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rPr>
          <w:caps/>
          <w:color w:val="6B7280"/>
          <w:spacing w:val="40"/>
          <w:sz w:val="20"/>
          <w:szCs w:val="20"/>
        </w:rPr>
        <w:t xml:space="preserve">HYDRONEXIS-AI · ACCOUNTING</w:t>
      </w:r>
    </w:p>
    <w:p>
      <w:pPr>
        <w:spacing w:after="200"/>
      </w:pPr>
      <w:r>
        <w:rPr>
          <w:b/>
          <w:bCs/>
          <w:color w:val="111827"/>
          <w:sz w:val="56"/>
          <w:szCs w:val="56"/>
        </w:rPr>
        <w:t xml:space="preserve">Purchasing sub-module</w:t>
      </w:r>
    </w:p>
    <w:p>
      <w:pPr>
        <w:spacing w:after="100"/>
      </w:pPr>
      <w:r>
        <w:rPr>
          <w:i/>
          <w:iCs/>
          <w:color w:val="1E7A5F"/>
          <w:sz w:val="30"/>
          <w:szCs w:val="30"/>
        </w:rPr>
        <w:t xml:space="preserve">Design specification for engineering</w:t>
      </w:r>
    </w:p>
    <w:p>
      <w:pPr>
        <w:pBdr>
          <w:bottom w:val="single" w:color="1E7A5F" w:sz="8" w:space="8"/>
        </w:pBdr>
        <w:spacing w:after="200" w:before="200"/>
      </w:pPr>
      <w:r>
        <w:rPr>
          <w:sz w:val="2"/>
          <w:szCs w:val="2"/>
        </w:rPr>
        <w:t xml:space="preserve"> </w:t>
      </w:r>
    </w:p>
    <w:p>
      <w:pPr>
        <w:spacing w:after="100"/>
      </w:pPr>
      <w:r>
        <w:rPr>
          <w:color w:val="111827"/>
          <w:sz w:val="24"/>
          <w:szCs w:val="24"/>
        </w:rPr>
        <w:t xml:space="preserve">Three-supplier comparison · SOS-integrated purchase history · Nexi RFQ outreach (email + SMS) · learning log · geo-scoped supplier search (radius scales with order value).</w:t>
      </w:r>
    </w:p>
    <w:p>
      <w:pPr>
        <w:spacing w:after="60" w:before="400"/>
      </w:pPr>
      <w:r>
        <w:rPr>
          <w:b/>
          <w:bCs/>
          <w:caps/>
          <w:color w:val="6B7280"/>
          <w:spacing w:val="40"/>
          <w:sz w:val="18"/>
          <w:szCs w:val="18"/>
        </w:rPr>
        <w:t xml:space="preserve">Repository</w:t>
      </w:r>
    </w:p>
    <w:p>
      <w:pPr>
        <w:spacing w:after="40"/>
      </w:pPr>
      <w:r>
        <w:rPr>
          <w:rFonts w:ascii="Consolas" w:cs="Consolas" w:eastAsia="Consolas" w:hAnsi="Consolas"/>
          <w:color w:val="111827"/>
          <w:sz w:val="22"/>
          <w:szCs w:val="22"/>
        </w:rPr>
        <w:t xml:space="preserve">eyalbenari99-star/hydropro</w:t>
      </w:r>
    </w:p>
    <w:p>
      <w:pPr>
        <w:spacing w:after="60" w:before="200"/>
      </w:pPr>
      <w:r>
        <w:rPr>
          <w:b/>
          <w:bCs/>
          <w:caps/>
          <w:color w:val="6B7280"/>
          <w:spacing w:val="40"/>
          <w:sz w:val="18"/>
          <w:szCs w:val="18"/>
        </w:rPr>
        <w:t xml:space="preserve">Branch</w:t>
      </w:r>
    </w:p>
    <w:p>
      <w:pPr>
        <w:spacing w:after="40"/>
      </w:pPr>
      <w:r>
        <w:rPr>
          <w:rFonts w:ascii="Consolas" w:cs="Consolas" w:eastAsia="Consolas" w:hAnsi="Consolas"/>
          <w:color w:val="111827"/>
          <w:sz w:val="22"/>
          <w:szCs w:val="22"/>
        </w:rPr>
        <w:t xml:space="preserve">claude/accounting-purchasing-suppliers-5p94sz</w:t>
      </w:r>
    </w:p>
    <w:p>
      <w:pPr>
        <w:spacing w:after="60" w:before="200"/>
      </w:pPr>
      <w:r>
        <w:rPr>
          <w:b/>
          <w:bCs/>
          <w:caps/>
          <w:color w:val="6B7280"/>
          <w:spacing w:val="40"/>
          <w:sz w:val="18"/>
          <w:szCs w:val="18"/>
        </w:rPr>
        <w:t xml:space="preserve">Head commit</w:t>
      </w:r>
    </w:p>
    <w:p>
      <w:pPr>
        <w:spacing w:after="40"/>
      </w:pPr>
      <w:r>
        <w:rPr>
          <w:rFonts w:ascii="Consolas" w:cs="Consolas" w:eastAsia="Consolas" w:hAnsi="Consolas"/>
          <w:color w:val="111827"/>
          <w:sz w:val="22"/>
          <w:szCs w:val="22"/>
        </w:rPr>
        <w:t xml:space="preserve">4fac878 · 2026-07-27</w:t>
      </w:r>
    </w:p>
    <w:p>
      <w:pPr>
        <w:spacing w:after="60" w:before="200"/>
      </w:pPr>
      <w:r>
        <w:rPr>
          <w:b/>
          <w:bCs/>
          <w:caps/>
          <w:color w:val="6B7280"/>
          <w:spacing w:val="40"/>
          <w:sz w:val="18"/>
          <w:szCs w:val="18"/>
        </w:rPr>
        <w:t xml:space="preserve">File touched</w:t>
      </w:r>
    </w:p>
    <w:p>
      <w:pPr>
        <w:spacing w:after="40"/>
      </w:pPr>
      <w:r>
        <w:rPr>
          <w:color w:val="111827"/>
          <w:sz w:val="22"/>
          <w:szCs w:val="22"/>
        </w:rPr>
        <w:t xml:space="preserve">index.html  (all changes are additive; ~1600 new lines around line 88400 and one small block in the Accountant-AI overlay ~line 164010)</w:t>
      </w:r>
    </w:p>
    <w:p>
      <w:r>
        <w:br w:type="page"/>
      </w:r>
    </w:p>
    <w:p>
      <w:pPr>
        <w:pStyle w:val="Heading1"/>
        <w:pBdr>
          <w:bottom w:val="single" w:color="1E7A5F" w:sz="12" w:space="6"/>
        </w:pBdr>
        <w:spacing w:after="200" w:before="360"/>
      </w:pPr>
      <w:r>
        <w:rPr>
          <w:b/>
          <w:bCs/>
          <w:color w:val="111827"/>
          <w:sz w:val="36"/>
          <w:szCs w:val="36"/>
        </w:rPr>
        <w:t xml:space="preserve">1. Purpose &amp; scope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Every non-trivial purchase at AteretPaz should be shopped across three suppliers. Today that shopping happens in email threads and paper quotes; nothing carries forward. </w:t>
      </w:r>
      <w:r>
        <w:rPr>
          <w:color w:val="111827"/>
          <w:sz w:val="22"/>
          <w:szCs w:val="22"/>
        </w:rPr>
        <w:t xml:space="preserve">The Purchasing sub-module is a place to do the comparison once, keep it, and let Nexi contact suppliers directly by email/SMS so every reply is stored — the next time the same product comes up, the answer is already half-written.</w:t>
      </w:r>
    </w:p>
    <w:p>
      <w:pPr>
        <w:pStyle w:val="Heading3"/>
        <w:spacing w:after="80" w:before="200"/>
      </w:pPr>
      <w:r>
        <w:rPr>
          <w:b/>
          <w:bCs/>
          <w:color w:val="1E7A5F"/>
          <w:sz w:val="24"/>
          <w:szCs w:val="24"/>
        </w:rPr>
        <w:t xml:space="preserve">It handles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Side-by-side comparison of up to three suppliers per product — unit / specs / quantity / cost / delivery / other.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Merged purchase history from SOS Inventory purchase-orders plus manual entries plus RFQ quotes.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Supplier ledger with per-supplier orders, spend, last purchase and activity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Nexi RFQ dispatch (email via existing EmailJS integration, or SMS via device sms: URL) with a full audit log of every attempt and reply.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Geo-scoped supplier search: radius grows with the estimated order value, with auto-widen safety.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Nexi Q&amp;A over all of the above via the app-wide domain-registry hook.</w:t>
      </w:r>
    </w:p>
    <w:p>
      <w:pPr>
        <w:pStyle w:val="Heading3"/>
        <w:spacing w:after="80" w:before="200"/>
      </w:pPr>
      <w:r>
        <w:rPr>
          <w:b/>
          <w:bCs/>
          <w:color w:val="1E7A5F"/>
          <w:sz w:val="24"/>
          <w:szCs w:val="24"/>
        </w:rPr>
        <w:t xml:space="preserve">It does NOT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Replace SOS Inventory as the system of record for POs or receipts (it reads from SOS, does not push back yet).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Replace QuickBooks as the ledger of bills.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Approve payments.</w:t>
      </w:r>
    </w:p>
    <w:p>
      <w:pPr>
        <w:pBdr>
          <w:top w:val="single" w:color="D1D5DB" w:sz="2" w:space="4"/>
          <w:bottom w:val="single" w:color="D1D5DB" w:sz="2" w:space="4"/>
          <w:left w:val="single" w:color="1E7A5F" w:sz="16" w:space="8"/>
          <w:right w:val="single" w:color="D1D5DB" w:sz="2" w:space="4"/>
        </w:pBdr>
        <w:shd w:fill="F5F7F3" w:color="auto" w:val="clear"/>
        <w:spacing w:after="160" w:before="100"/>
      </w:pPr>
      <w:r>
        <w:rPr>
          <w:b/>
          <w:bCs/>
          <w:color w:val="1E7A5F"/>
          <w:sz w:val="18"/>
          <w:szCs w:val="18"/>
        </w:rPr>
        <w:t xml:space="preserve">DESIGN STANCE  </w:t>
      </w:r>
      <w:r>
        <w:rPr>
          <w:color w:val="111827"/>
          <w:sz w:val="22"/>
          <w:szCs w:val="22"/>
        </w:rPr>
        <w:t xml:space="preserve">This is a decision-support and audit layer on top of SOS + QB. Every write goes to localStorage under the hydroPro_* prefix used throughout the app — no new backend services required to run it.</w:t>
      </w:r>
    </w:p>
    <w:p>
      <w:pPr>
        <w:pStyle w:val="Heading1"/>
        <w:pBdr>
          <w:bottom w:val="single" w:color="1E7A5F" w:sz="12" w:space="6"/>
        </w:pBdr>
        <w:spacing w:after="200" w:before="360"/>
      </w:pPr>
      <w:r>
        <w:rPr>
          <w:b/>
          <w:bCs/>
          <w:color w:val="111827"/>
          <w:sz w:val="36"/>
          <w:szCs w:val="36"/>
        </w:rPr>
        <w:t xml:space="preserve">2. Where it lives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Primary view: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acct_purchasing</w:t>
      </w:r>
      <w:r>
        <w:rPr>
          <w:color w:val="111827"/>
          <w:sz w:val="22"/>
          <w:szCs w:val="22"/>
        </w:rPr>
        <w:t xml:space="preserve"> — registered in the app-wide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switchView()</w:t>
      </w:r>
      <w:r>
        <w:rPr>
          <w:color w:val="111827"/>
          <w:sz w:val="22"/>
          <w:szCs w:val="22"/>
        </w:rPr>
        <w:t xml:space="preserve"> dispatcher the same way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acct_vendors</w:t>
      </w:r>
      <w:r>
        <w:rPr>
          <w:color w:val="11182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acct_customers</w:t>
      </w:r>
      <w:r>
        <w:rPr>
          <w:color w:val="111827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acct_invoices</w:t>
      </w:r>
      <w:r>
        <w:rPr>
          <w:color w:val="111827"/>
          <w:sz w:val="22"/>
          <w:szCs w:val="22"/>
        </w:rPr>
        <w:t xml:space="preserve"> are. Mounted lazily inside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#appMain</w:t>
      </w:r>
      <w:r>
        <w:rPr>
          <w:color w:val="11182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Module attribution: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VIEW_TO_MODULE</w:t>
      </w:r>
      <w:r>
        <w:rPr>
          <w:color w:val="111827"/>
          <w:sz w:val="22"/>
          <w:szCs w:val="22"/>
        </w:rPr>
        <w:t xml:space="preserve"> gets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acct_purchasing: 'accounting'</w:t>
      </w:r>
      <w:r>
        <w:rPr>
          <w:color w:val="111827"/>
          <w:sz w:val="22"/>
          <w:szCs w:val="22"/>
        </w:rPr>
        <w:t xml:space="preserve"> so the module header and permission checks resolve correctly.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Deep-link from Accountant-AI overlay: a new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purchasing</w:t>
      </w:r>
      <w:r>
        <w:rPr>
          <w:color w:val="111827"/>
          <w:sz w:val="22"/>
          <w:szCs w:val="22"/>
        </w:rPr>
        <w:t xml:space="preserve"> entry in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ACCT_TABS</w:t>
      </w:r>
      <w:r>
        <w:rPr>
          <w:color w:val="111827"/>
          <w:sz w:val="22"/>
          <w:szCs w:val="22"/>
        </w:rPr>
        <w:t xml:space="preserve"> renders a summary panel + an "Open Purchasing workspace" button that closes the overlay and calls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switchView('acct_purchasing')</w:t>
      </w:r>
      <w:r>
        <w:rPr>
          <w:color w:val="11182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Direct URL / console: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switchView('acct_purchasing')</w:t>
      </w:r>
      <w:r>
        <w:rPr>
          <w:color w:val="111827"/>
          <w:sz w:val="22"/>
          <w:szCs w:val="22"/>
        </w:rPr>
        <w:t xml:space="preserve"> from anywhere.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New header actions: </w:t>
      </w:r>
      <w:r>
        <w:rPr>
          <w:b/>
          <w:bCs/>
          <w:sz w:val="22"/>
          <w:szCs w:val="22"/>
        </w:rPr>
        <w:t xml:space="preserve">🤖 Nexi · Find &amp; contact suppliers</w:t>
      </w:r>
      <w:r>
        <w:rPr>
          <w:color w:val="111827"/>
          <w:sz w:val="22"/>
          <w:szCs w:val="22"/>
        </w:rPr>
        <w:t xml:space="preserve"> (opens the outreach modal), </w:t>
      </w:r>
      <w:r>
        <w:rPr>
          <w:b/>
          <w:bCs/>
          <w:sz w:val="22"/>
          <w:szCs w:val="22"/>
        </w:rPr>
        <w:t xml:space="preserve">📍 Location &amp; radius</w:t>
      </w:r>
      <w:r>
        <w:rPr>
          <w:color w:val="111827"/>
          <w:sz w:val="22"/>
          <w:szCs w:val="22"/>
        </w:rPr>
        <w:t xml:space="preserve"> (opens the geo settings), </w:t>
      </w:r>
      <w:r>
        <w:rPr>
          <w:b/>
          <w:bCs/>
          <w:sz w:val="22"/>
          <w:szCs w:val="22"/>
        </w:rPr>
        <w:t xml:space="preserve">⬇ Export CSV</w:t>
      </w:r>
      <w:r>
        <w:rPr>
          <w:color w:val="111827"/>
          <w:sz w:val="22"/>
          <w:szCs w:val="22"/>
        </w:rPr>
        <w:t xml:space="preserve">.</w:t>
      </w:r>
    </w:p>
    <w:p>
      <w:pPr>
        <w:pStyle w:val="Heading1"/>
        <w:pBdr>
          <w:bottom w:val="single" w:color="1E7A5F" w:sz="12" w:space="6"/>
        </w:pBdr>
        <w:spacing w:after="200" w:before="360"/>
      </w:pPr>
      <w:r>
        <w:rPr>
          <w:b/>
          <w:bCs/>
          <w:color w:val="111827"/>
          <w:sz w:val="36"/>
          <w:szCs w:val="36"/>
        </w:rPr>
        <w:t xml:space="preserve">3. Four tabs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The view surfaces one header (banner + integration status + action strip) and four working tabs.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5011"/>
        <w:gridCol w:w="1728"/>
      </w:tblGrid>
      <w:tr>
        <w:tc>
          <w:tcPr>
            <w:tcW w:type="dxa" w:w="1901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Tab</w:t>
            </w:r>
          </w:p>
        </w:tc>
        <w:tc>
          <w:tcPr>
            <w:tcW w:type="dxa" w:w="5011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728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Writes to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📊 Comparisons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Add a product to shop for; capture up to three supplier quotes side by side; expand a card to see the matrix, the cheapest badge, per-supplier history, and a SOS item hint. Actions: award a winner, close, delete, log a purchase from a chosen quote, or ask Nexi for more quotes.</w:t>
            </w:r>
          </w:p>
        </w:tc>
        <w:tc>
          <w:tcPr>
            <w:tcW w:type="dxa" w:w="172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hydroPro_acct_purch_comparisons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📜 Purchase History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Flat log of every purchase — product, supplier, unit, qty, unit cost, total, PO ref, notes. Filterable search, CSV export. Rows imported from SOS show a SOS badge and cannot be manually deleted.</w:t>
            </w:r>
          </w:p>
        </w:tc>
        <w:tc>
          <w:tcPr>
            <w:tcW w:type="dxa" w:w="172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hydroPro_acct_purch_history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🏭 Suppliers Ledger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Rollup per supplier: orders count, distinct products, total qty, total spend, last purchase date, activity status (ACTIVE / DORMANT / NEW), recent product chips.</w:t>
            </w:r>
          </w:p>
        </w:tc>
        <w:tc>
          <w:tcPr>
            <w:tcW w:type="dxa" w:w="172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(computed, read-only)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📬 Nexi RFQ Log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Every RFQ Nexi dispatched: sent-at, product, supplier, channel, response status, quoted unit cost, lead days, notes. Marking a row "quoted" with a unit price auto-appends a soft quote-record to Purchase History so it surfaces in future comparisons.</w:t>
            </w:r>
          </w:p>
        </w:tc>
        <w:tc>
          <w:tcPr>
            <w:tcW w:type="dxa" w:w="172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hydroPro_acct_purch_outreach</w:t>
            </w:r>
          </w:p>
        </w:tc>
      </w:tr>
    </w:tbl>
    <w:p>
      <w:pPr>
        <w:pStyle w:val="Heading1"/>
        <w:pBdr>
          <w:bottom w:val="single" w:color="1E7A5F" w:sz="12" w:space="6"/>
        </w:pBdr>
        <w:spacing w:after="200" w:before="360"/>
      </w:pPr>
      <w:r>
        <w:rPr>
          <w:b/>
          <w:bCs/>
          <w:color w:val="111827"/>
          <w:sz w:val="36"/>
          <w:szCs w:val="36"/>
        </w:rPr>
        <w:t xml:space="preserve">4. Data model — storage keys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Everything is stored in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localStorage</w:t>
      </w:r>
      <w:r>
        <w:rPr>
          <w:color w:val="111827"/>
          <w:sz w:val="22"/>
          <w:szCs w:val="22"/>
        </w:rPr>
        <w:t xml:space="preserve"> under the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hydroPro_*</w:t>
      </w:r>
      <w:r>
        <w:rPr>
          <w:color w:val="111827"/>
          <w:sz w:val="22"/>
          <w:szCs w:val="22"/>
        </w:rPr>
        <w:t xml:space="preserve"> prefix used across the app. Nothing new is written to a backend without going through the existing hnx-sync worker (SOS pulls only).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1296"/>
        <w:gridCol w:w="3888"/>
      </w:tblGrid>
      <w:tr>
        <w:tc>
          <w:tcPr>
            <w:tcW w:type="dxa" w:w="345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Key</w:t>
            </w:r>
          </w:p>
        </w:tc>
        <w:tc>
          <w:tcPr>
            <w:tcW w:type="dxa" w:w="129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Shape</w:t>
            </w:r>
          </w:p>
        </w:tc>
        <w:tc>
          <w:tcPr>
            <w:tcW w:type="dxa" w:w="3888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hydroPro_acct_purch_comparisons</w:t>
            </w:r>
          </w:p>
        </w:tc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array</w:t>
            </w:r>
          </w:p>
        </w:tc>
        <w:tc>
          <w:tcPr>
            <w:tcW w:type="dxa" w:w="388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Saved 3-supplier comparison sheets.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hydroPro_acct_purch_history</w:t>
            </w:r>
          </w:p>
        </w:tc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array</w:t>
            </w:r>
          </w:p>
        </w:tc>
        <w:tc>
          <w:tcPr>
            <w:tcW w:type="dxa" w:w="388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Merged purchase log — manual entries, SOS-imported PO lines, and RFQ-quote softlines.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hydroPro_acct_purch_outreach</w:t>
            </w:r>
          </w:p>
        </w:tc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array</w:t>
            </w:r>
          </w:p>
        </w:tc>
        <w:tc>
          <w:tcPr>
            <w:tcW w:type="dxa" w:w="388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RFQ send log with response tracking. The memory Nexi learns from.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hydroPro_acct_purch_sync_meta</w:t>
            </w:r>
          </w:p>
        </w:tc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object</w:t>
            </w:r>
          </w:p>
        </w:tc>
        <w:tc>
          <w:tcPr>
            <w:tcW w:type="dxa" w:w="388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SOS import status: {status, lastSync, poCount, added, updated}.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hydroPro_acct_purch_rfq_template</w:t>
            </w:r>
          </w:p>
        </w:tc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388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User-editable RFQ message template with variables.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hydroPro_acct_purch_base_location</w:t>
            </w:r>
          </w:p>
        </w:tc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object</w:t>
            </w:r>
          </w:p>
        </w:tc>
        <w:tc>
          <w:tcPr>
            <w:tcW w:type="dxa" w:w="388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Base coords + radius tiers + auto-widen floor (see §9).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hydroPro_acct_purch_supplier_locations</w:t>
            </w:r>
          </w:p>
        </w:tc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object (map)</w:t>
            </w:r>
          </w:p>
        </w:tc>
        <w:tc>
          <w:tcPr>
            <w:tcW w:type="dxa" w:w="388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Per-supplier {lat, lng, address, city, country}, keyed by lowercased supplier name.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hydroPro_acct_vendors</w:t>
            </w:r>
          </w:p>
        </w:tc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array</w:t>
            </w:r>
          </w:p>
        </w:tc>
        <w:tc>
          <w:tcPr>
            <w:tcW w:type="dxa" w:w="388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Existing Accounting Vendors list. Read for contacts; new web-found suppliers are written back here so Nexi remembers.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hydroPro_inv_suppliers_v1</w:t>
            </w:r>
          </w:p>
        </w:tc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array</w:t>
            </w:r>
          </w:p>
        </w:tc>
        <w:tc>
          <w:tcPr>
            <w:tcW w:type="dxa" w:w="388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Existing Inventory Master suppliers — richer contact + reliability score.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hydroPro_sos_items_v1</w:t>
            </w:r>
          </w:p>
        </w:tc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array (IDB)</w:t>
            </w:r>
          </w:p>
        </w:tc>
        <w:tc>
          <w:tcPr>
            <w:tcW w:type="dxa" w:w="388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SOS items cache. Read for preferred vendor and last purchase cost per SKU.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hydroPro_emailjs_config_v1</w:t>
            </w:r>
          </w:p>
        </w:tc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object</w:t>
            </w:r>
          </w:p>
        </w:tc>
        <w:tc>
          <w:tcPr>
            <w:tcW w:type="dxa" w:w="388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Existing EmailJS credentials. Reused for silent RFQ auto-send.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E7A5F"/>
          <w:sz w:val="24"/>
          <w:szCs w:val="24"/>
        </w:rPr>
        <w:t xml:space="preserve">4.1  Comparison record</w:t>
      </w:r>
    </w:p>
    <w:p>
      <w:pPr>
        <w:pBdr>
          <w:top w:val="single" w:color="D1D5DB" w:sz="4" w:space="4"/>
          <w:bottom w:val="single" w:color="D1D5DB" w:sz="4" w:space="4"/>
          <w:left w:val="single" w:color="1E7A5F" w:sz="12" w:space="8"/>
          <w:right w:val="single" w:color="D1D5DB" w:sz="4" w:space="4"/>
        </w:pBdr>
        <w:shd w:fill="F4F5F1" w:color="auto" w:val="clear"/>
        <w:spacing w:after="160" w:before="1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id: "pc_lqm7…",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product: "Rockwool cube 100×100",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category: "Growing media",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needBy:  "2026-08-14",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requester: "EB",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status: "open" | "awarded" | "closed",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chosenSupplier: 0 | 1 | 2 | null,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createdAt: 1721001600000,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awardedAt: 1721005200000,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suppliers: [                          // up to 3 slots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  { name, unit, qty, specs, unitCost,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    deliveryDays, payTerms, warranty, notes }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]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}</w:t>
      </w:r>
    </w:p>
    <w:p>
      <w:pPr>
        <w:pStyle w:val="Heading3"/>
        <w:spacing w:after="80" w:before="200"/>
      </w:pPr>
      <w:r>
        <w:rPr>
          <w:b/>
          <w:bCs/>
          <w:color w:val="1E7A5F"/>
          <w:sz w:val="24"/>
          <w:szCs w:val="24"/>
        </w:rPr>
        <w:t xml:space="preserve">4.2  Purchase-history record</w:t>
      </w:r>
    </w:p>
    <w:p>
      <w:pPr>
        <w:pBdr>
          <w:top w:val="single" w:color="D1D5DB" w:sz="4" w:space="4"/>
          <w:bottom w:val="single" w:color="D1D5DB" w:sz="4" w:space="4"/>
          <w:left w:val="single" w:color="1E7A5F" w:sz="12" w:space="8"/>
          <w:right w:val="single" w:color="D1D5DB" w:sz="4" w:space="4"/>
        </w:pBdr>
        <w:shd w:fill="F4F5F1" w:color="auto" w:val="clear"/>
        <w:spacing w:after="160" w:before="1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id: "ph_sos_2026-21-PO0528-01_0",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source: "sos" | "manual" | "rfq-quote",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poNumber: "2026-21-PO0528-01",         // sos only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lineIdx: 0,                            // sos only — dedup key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date: "2026-05-28",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product: "Business Card 2×3.5",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supplier: "Micropoint Graphics",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sku: "",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unit: "pc",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qty: 700,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receivedQty: 0,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unitCost: 6.75,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totalAmount: 4725,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ref: "2026-21-PO0528-01",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status: "open" | "partial" | "closed",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notes: "From SOS PO · open",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importedAt: 1721001600000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}</w:t>
      </w:r>
    </w:p>
    <w:p>
      <w:pPr>
        <w:pStyle w:val="Heading3"/>
        <w:spacing w:after="80" w:before="200"/>
      </w:pPr>
      <w:r>
        <w:rPr>
          <w:b/>
          <w:bCs/>
          <w:color w:val="1E7A5F"/>
          <w:sz w:val="24"/>
          <w:szCs w:val="24"/>
        </w:rPr>
        <w:t xml:space="preserve">4.3  Outreach record</w:t>
      </w:r>
    </w:p>
    <w:p>
      <w:pPr>
        <w:pBdr>
          <w:top w:val="single" w:color="D1D5DB" w:sz="4" w:space="4"/>
          <w:bottom w:val="single" w:color="D1D5DB" w:sz="4" w:space="4"/>
          <w:left w:val="single" w:color="1E7A5F" w:sz="12" w:space="8"/>
          <w:right w:val="single" w:color="D1D5DB" w:sz="4" w:space="4"/>
        </w:pBdr>
        <w:shd w:fill="F4F5F1" w:color="auto" w:val="clear"/>
        <w:spacing w:after="160" w:before="1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id: "rfq_lqmz…_0",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sentAt: 1721001600000,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product, qty, unit, specs, needBy, requester,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supplier, supplierEmail, supplierPhone,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subject: "RFQ · Rockwool cube 100×100",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message: "Hello …",                          // fully-rendered body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channel: "email" | "sms",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delivery: "emailjs" | "mailto" | "sms-app" | "error",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status: "sent" | "opened" | "error",         // dispatch result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responseStatus: "pending" | "quoted" | "declined" | "no-response",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responseAt: 1721005200000,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quotedUnitCost: 6.50,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quotedDeliveryDays: 4,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responseNotes: "…"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}</w:t>
      </w:r>
    </w:p>
    <w:p>
      <w:pPr>
        <w:pStyle w:val="Heading3"/>
        <w:spacing w:after="80" w:before="200"/>
      </w:pPr>
      <w:r>
        <w:rPr>
          <w:b/>
          <w:bCs/>
          <w:color w:val="1E7A5F"/>
          <w:sz w:val="24"/>
          <w:szCs w:val="24"/>
        </w:rPr>
        <w:t xml:space="preserve">4.4  Base-location record</w:t>
      </w:r>
    </w:p>
    <w:p>
      <w:pPr>
        <w:pBdr>
          <w:top w:val="single" w:color="D1D5DB" w:sz="4" w:space="4"/>
          <w:bottom w:val="single" w:color="D1D5DB" w:sz="4" w:space="4"/>
          <w:left w:val="single" w:color="1E7A5F" w:sz="12" w:space="8"/>
          <w:right w:val="single" w:color="D1D5DB" w:sz="4" w:space="4"/>
        </w:pBdr>
        <w:shd w:fill="F4F5F1" w:color="auto" w:val="clear"/>
        <w:spacing w:after="160" w:before="1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hydroPro_acct_purch_base_location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name: "AteretPaz farm",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address: "",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lat: 14.5995,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lng: 120.9842,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tiers: [                                                // sorted ascending by maxValue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  { maxValue: 10000,   radiusKm: 25,   label: "Small · local only" },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  { maxValue: 50000,   radiusKm: 100,  label: "Regular · metro" },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  { maxValue: 200000,  radiusKm: 500,  label: "Mid · regional" },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  { maxValue: 1000000, radiusKm: 2000, label: "Large · national" },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  { maxValue: Infinity, radiusKm: null, label: "Very large · worldwide" }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],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minSuppliersForRadius: 3,        // auto-widen floor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  includeUnknown: true             // include suppliers with no known location</w:t>
      </w:r>
      <w:r>
        <w:rPr>
          <w:rFonts w:ascii="Consolas" w:cs="Consolas" w:eastAsia="Consolas" w:hAnsi="Consolas"/>
          <w:color w:val="111827"/>
          <w:sz w:val="18"/>
          <w:szCs w:val="18"/>
        </w:rPr>
        <w:br/>
        <w:t xml:space="preserve">}</w:t>
      </w:r>
    </w:p>
    <w:p>
      <w:pPr>
        <w:pBdr>
          <w:top w:val="single" w:color="D1D5DB" w:sz="2" w:space="4"/>
          <w:bottom w:val="single" w:color="D1D5DB" w:sz="2" w:space="4"/>
          <w:left w:val="single" w:color="1E7A5F" w:sz="16" w:space="8"/>
          <w:right w:val="single" w:color="D1D5DB" w:sz="2" w:space="4"/>
        </w:pBdr>
        <w:shd w:fill="F5F7F3" w:color="auto" w:val="clear"/>
        <w:spacing w:after="160" w:before="100"/>
      </w:pPr>
      <w:r>
        <w:rPr>
          <w:b/>
          <w:bCs/>
          <w:color w:val="1E7A5F"/>
          <w:sz w:val="18"/>
          <w:szCs w:val="18"/>
        </w:rPr>
        <w:t xml:space="preserve">PERSISTENCE GOTCHA  </w:t>
      </w:r>
      <w:r>
        <w:rPr>
          <w:color w:val="111827"/>
          <w:sz w:val="22"/>
          <w:szCs w:val="22"/>
        </w:rPr>
        <w:t xml:space="preserve">Infinity cannot survive a JSON round-trip. On save the top tier’s maxValue is serialised as null; on load _purchGetBase() restores it to Infinity. Consumers that read through _purchGetBase() never see the sentinel.</w:t>
      </w:r>
    </w:p>
    <w:p>
      <w:pPr>
        <w:pStyle w:val="Heading1"/>
        <w:pBdr>
          <w:bottom w:val="single" w:color="1E7A5F" w:sz="12" w:space="6"/>
        </w:pBdr>
        <w:spacing w:after="200" w:before="360"/>
      </w:pPr>
      <w:r>
        <w:rPr>
          <w:b/>
          <w:bCs/>
          <w:color w:val="111827"/>
          <w:sz w:val="36"/>
          <w:szCs w:val="36"/>
        </w:rPr>
        <w:t xml:space="preserve">5. Comparison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Cheapest badge · </w:t>
      </w:r>
      <w:r>
        <w:rPr>
          <w:color w:val="111827"/>
          <w:sz w:val="22"/>
          <w:szCs w:val="22"/>
        </w:rPr>
        <w:t xml:space="preserve">for each supplier column,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total = qty × unitCost</w:t>
      </w:r>
      <w:r>
        <w:rPr>
          <w:color w:val="111827"/>
          <w:sz w:val="22"/>
          <w:szCs w:val="22"/>
        </w:rPr>
        <w:t xml:space="preserve">. Only columns with a positive total are eligible; the lowest wins the 💰 CHEAPEST tag. Ties resolve to first-filled.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Award vs cheapest · </w:t>
      </w:r>
      <w:r>
        <w:rPr>
          <w:color w:val="111827"/>
          <w:sz w:val="22"/>
          <w:szCs w:val="22"/>
        </w:rPr>
        <w:t xml:space="preserve">the buyer’s choice can differ from the cheapest — the column with the buyer’s award gets a green top-border and a ✓ Chosen action; the cheapest tag stays independently. When a comparison has no explicit award yet, the cheapest is used as the visual default.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NEW / EXISTING supplier badge · </w:t>
      </w:r>
      <w:r>
        <w:rPr>
          <w:color w:val="111827"/>
          <w:sz w:val="22"/>
          <w:szCs w:val="22"/>
        </w:rPr>
        <w:t xml:space="preserve">a supplier is EXISTING if their name appears in the merged history OR in the Vendors master (case-insensitive, trimmed). Otherwise NEW. Computed at render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Per-product history sub-row ·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_purchLookupHistory(product, supplier)</w:t>
      </w:r>
      <w:r>
        <w:rPr>
          <w:color w:val="111827"/>
          <w:sz w:val="22"/>
          <w:szCs w:val="22"/>
        </w:rPr>
        <w:t xml:space="preserve"> filters merged history and returns {times, totalQty, totalCost, lastDate, rows[]}. The card renders the last six line-items so drift in quantity and price is visible without opening another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SOS item hint row ·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_purchSosItemHint(product)</w:t>
      </w:r>
      <w:r>
        <w:rPr>
          <w:color w:val="111827"/>
          <w:sz w:val="22"/>
          <w:szCs w:val="22"/>
        </w:rPr>
        <w:t xml:space="preserve"> scans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window.__hnxSos.getItems()</w:t>
      </w:r>
      <w:r>
        <w:rPr>
          <w:color w:val="111827"/>
          <w:sz w:val="22"/>
          <w:szCs w:val="22"/>
        </w:rPr>
        <w:t xml:space="preserve"> for a name/sku match and returns the item’s preferred vendor, SKU, last purchase cost and on-hand. Rendered as a single blue-tinted row between the criteria table and the history rows. If the supplier under review matches SOS’s preferred vendor, an extra note surfaces on that column’s history cell.</w:t>
      </w:r>
    </w:p>
    <w:p>
      <w:pPr>
        <w:pStyle w:val="Heading1"/>
        <w:pBdr>
          <w:bottom w:val="single" w:color="1E7A5F" w:sz="12" w:space="6"/>
        </w:pBdr>
        <w:spacing w:after="200" w:before="360"/>
      </w:pPr>
      <w:r>
        <w:rPr>
          <w:b/>
          <w:bCs/>
          <w:color w:val="111827"/>
          <w:sz w:val="36"/>
          <w:szCs w:val="36"/>
        </w:rPr>
        <w:t xml:space="preserve">6. Purchase history sources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Three streams merged into one log; every row carries a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source</w:t>
      </w:r>
      <w:r>
        <w:rPr>
          <w:color w:val="111827"/>
          <w:sz w:val="22"/>
          <w:szCs w:val="22"/>
        </w:rPr>
        <w:t xml:space="preserve"> tag so an audit can trace it back.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5184"/>
        <w:gridCol w:w="1555"/>
      </w:tblGrid>
      <w:tr>
        <w:tc>
          <w:tcPr>
            <w:tcW w:type="dxa" w:w="1901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Source</w:t>
            </w:r>
          </w:p>
        </w:tc>
        <w:tc>
          <w:tcPr>
            <w:tcW w:type="dxa" w:w="5184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How it lands</w:t>
            </w:r>
          </w:p>
        </w:tc>
        <w:tc>
          <w:tcPr>
            <w:tcW w:type="dxa" w:w="1555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Editable?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SOS Inventory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_purchSyncFromSOS() calls /sos/purchase-orders through the existing hnx-sync Cloudflare Worker. Every PO line becomes one history row. Dedup key: poNumber + lineIdx.</w:t>
            </w:r>
          </w:p>
        </w:tc>
        <w:tc>
          <w:tcPr>
            <w:tcW w:type="dxa" w:w="155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No — re-sync overwrites. Bulk clear only.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Manual entry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The History tab has an add form. Also written by "➕ Log purchase" on a comparison card, using the chosen quote.</w:t>
            </w:r>
          </w:p>
        </w:tc>
        <w:tc>
          <w:tcPr>
            <w:tcW w:type="dxa" w:w="155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Yes — fully editable + deletable.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RFQ quotes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When an outreach row is marked "quoted" with a unit price, a soft row is auto-appended with qty:0 so it prices future comparisons without pretending a purchase happened.</w:t>
            </w:r>
          </w:p>
        </w:tc>
        <w:tc>
          <w:tcPr>
            <w:tcW w:type="dxa" w:w="155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Deletable when RFQ is deleted.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QuickBooks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Deferred. QB currently caches only trial-balance and aging in hydroPro_acct_qb_v1. The banner reads its connection state as a hint.</w:t>
            </w:r>
          </w:p>
        </w:tc>
        <w:tc>
          <w:tcPr>
            <w:tcW w:type="dxa" w:w="155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n/a</w:t>
            </w:r>
          </w:p>
        </w:tc>
      </w:tr>
    </w:tbl>
    <w:p>
      <w:pPr>
        <w:pBdr>
          <w:top w:val="single" w:color="D1D5DB" w:sz="2" w:space="4"/>
          <w:bottom w:val="single" w:color="D1D5DB" w:sz="2" w:space="4"/>
          <w:left w:val="single" w:color="1E7A5F" w:sz="16" w:space="8"/>
          <w:right w:val="single" w:color="D1D5DB" w:sz="2" w:space="4"/>
        </w:pBdr>
        <w:shd w:fill="F5F7F3" w:color="auto" w:val="clear"/>
        <w:spacing w:after="160" w:before="100"/>
      </w:pPr>
      <w:r>
        <w:rPr>
          <w:b/>
          <w:bCs/>
          <w:color w:val="1E7A5F"/>
          <w:sz w:val="18"/>
          <w:szCs w:val="18"/>
        </w:rPr>
        <w:t xml:space="preserve">GUARANTEE  </w:t>
      </w:r>
      <w:r>
        <w:rPr>
          <w:color w:val="111827"/>
          <w:sz w:val="22"/>
          <w:szCs w:val="22"/>
        </w:rPr>
        <w:t xml:space="preserve">Once _purchSyncFromSOS() has run, every comparison card’s per-supplier “n× before · ₱x total · last DATE” row is real. The buyer never types history — they type comparisons.</w:t>
      </w:r>
    </w:p>
    <w:p>
      <w:pPr>
        <w:pStyle w:val="Heading1"/>
        <w:pBdr>
          <w:bottom w:val="single" w:color="1E7A5F" w:sz="12" w:space="6"/>
        </w:pBdr>
        <w:spacing w:after="200" w:before="360"/>
      </w:pPr>
      <w:r>
        <w:rPr>
          <w:b/>
          <w:bCs/>
          <w:color w:val="111827"/>
          <w:sz w:val="36"/>
          <w:szCs w:val="36"/>
        </w:rPr>
        <w:t xml:space="preserve">7. Nexi outreach flow — RFQ email &amp; SMS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Entry points: the header primary button, or "🤖 Ask Nexi for more quotes" on any comparison card. Both open the outreach modal, prefilled with product / qty / unit / need-by from the card if launched from context.</w:t>
      </w:r>
    </w:p>
    <w:p>
      <w:pPr>
        <w:pStyle w:val="Heading3"/>
        <w:spacing w:after="80" w:before="200"/>
      </w:pPr>
      <w:r>
        <w:rPr>
          <w:b/>
          <w:bCs/>
          <w:color w:val="1E7A5F"/>
          <w:sz w:val="24"/>
          <w:szCs w:val="24"/>
        </w:rPr>
        <w:t xml:space="preserve">7.1  Five-step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Step 1 · Gather candidates.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_purchGatherAllSuppliers(product)</w:t>
      </w:r>
      <w:r>
        <w:rPr>
          <w:color w:val="111827"/>
          <w:sz w:val="22"/>
          <w:szCs w:val="22"/>
        </w:rPr>
        <w:t xml:space="preserve"> unions Inventory Master, Accounting Vendors, SOS items’ preferred vendors, past PO vendors, and past-outreach responders.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Step 2 · Rank &amp; tag. </w:t>
      </w:r>
      <w:r>
        <w:rPr>
          <w:color w:val="111827"/>
          <w:sz w:val="22"/>
          <w:szCs w:val="22"/>
        </w:rPr>
        <w:t xml:space="preserve">Product-history match &gt; has email &gt; has phone &gt; reliability score &gt; alpha. Each row shows source chips, EXISTING / NEW / HAS-HISTORY, past reply-rate, and the 📍 distance chip (see §9).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Step 3 · User picks. </w:t>
      </w:r>
      <w:r>
        <w:rPr>
          <w:color w:val="111827"/>
          <w:sz w:val="22"/>
          <w:szCs w:val="22"/>
        </w:rPr>
        <w:t xml:space="preserve">Manual checkboxes, or one-click "Top 3 in range" / "Existing in range" / "All in range". A separate form lets the user add a web-found supplier; saved to Vendors master so Nexi remembers.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Step 4 · Compose. </w:t>
      </w:r>
      <w:r>
        <w:rPr>
          <w:color w:val="111827"/>
          <w:sz w:val="22"/>
          <w:szCs w:val="22"/>
        </w:rPr>
        <w:t xml:space="preserve">Editable RFQ template with variable substitution: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{{product}} {{qty}} {{unit}} {{specs}} {{needBy}} {{supplierContact}} {{requester}} {{companyName}}</w:t>
      </w:r>
      <w:r>
        <w:rPr>
          <w:color w:val="111827"/>
          <w:sz w:val="22"/>
          <w:szCs w:val="22"/>
        </w:rPr>
        <w:t xml:space="preserve">. "Save as default" persists in localStorage.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Step 5 · Send &amp; log. </w:t>
      </w:r>
      <w:r>
        <w:rPr>
          <w:color w:val="111827"/>
          <w:sz w:val="22"/>
          <w:szCs w:val="22"/>
        </w:rPr>
        <w:t xml:space="preserve">Email via existing EmailJS auto-send (silent) or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mailto:</w:t>
      </w:r>
      <w:r>
        <w:rPr>
          <w:color w:val="111827"/>
          <w:sz w:val="22"/>
          <w:szCs w:val="22"/>
        </w:rPr>
        <w:t xml:space="preserve">. SMS via device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sms:</w:t>
      </w:r>
      <w:r>
        <w:rPr>
          <w:color w:val="111827"/>
          <w:sz w:val="22"/>
          <w:szCs w:val="22"/>
        </w:rPr>
        <w:t xml:space="preserve"> URL scheme with body ≤ 380 chars. Every dispatch appends one row to the outreach log with the full body archived.</w:t>
      </w:r>
    </w:p>
    <w:p>
      <w:pPr>
        <w:pStyle w:val="Heading3"/>
        <w:spacing w:after="80" w:before="200"/>
      </w:pPr>
      <w:r>
        <w:rPr>
          <w:b/>
          <w:bCs/>
          <w:color w:val="1E7A5F"/>
          <w:sz w:val="24"/>
          <w:szCs w:val="24"/>
        </w:rPr>
        <w:t xml:space="preserve">7.2  Channel semantics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5"/>
        <w:gridCol w:w="1901"/>
        <w:gridCol w:w="5184"/>
      </w:tblGrid>
      <w:tr>
        <w:tc>
          <w:tcPr>
            <w:tcW w:type="dxa" w:w="1555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Channel</w:t>
            </w:r>
          </w:p>
        </w:tc>
        <w:tc>
          <w:tcPr>
            <w:tcW w:type="dxa" w:w="1901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Delivery mode</w:t>
            </w:r>
          </w:p>
        </w:tc>
        <w:tc>
          <w:tcPr>
            <w:tcW w:type="dxa" w:w="5184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155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✉ Email</w:t>
            </w:r>
          </w:p>
        </w:tc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emailjs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Silent send via existing EmailJS integration. Status "sent". Requires the shared EmailJS config already used for report auto-send.</w:t>
            </w:r>
          </w:p>
        </w:tc>
      </w:tr>
      <w:tr>
        <w:tc>
          <w:tcPr>
            <w:tcW w:type="dxa" w:w="155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mailto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Fallback when EmailJS is not configured. Opens the device mail client with recipient, subject, and body pre-filled. Status "opened" — the app can’t verify actual send.</w:t>
            </w:r>
          </w:p>
        </w:tc>
      </w:tr>
      <w:tr>
        <w:tc>
          <w:tcPr>
            <w:tcW w:type="dxa" w:w="155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📱 SMS</w:t>
            </w:r>
          </w:p>
        </w:tc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sms-app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Opens the device SMS composer via sms: URL scheme. Body auto-shortened to 380 chars with an ellipsis. Status "opened".</w:t>
            </w:r>
          </w:p>
        </w:tc>
      </w:tr>
      <w:tr>
        <w:tc>
          <w:tcPr>
            <w:tcW w:type="dxa" w:w="155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error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Dispatch threw. Full error stored in the row’s error field.</w:t>
            </w:r>
          </w:p>
        </w:tc>
      </w:tr>
    </w:tbl>
    <w:p>
      <w:pPr>
        <w:pStyle w:val="Heading1"/>
        <w:pBdr>
          <w:bottom w:val="single" w:color="1E7A5F" w:sz="12" w:space="6"/>
        </w:pBdr>
        <w:spacing w:after="200" w:before="360"/>
      </w:pPr>
      <w:r>
        <w:rPr>
          <w:b/>
          <w:bCs/>
          <w:color w:val="111827"/>
          <w:sz w:val="36"/>
          <w:szCs w:val="36"/>
        </w:rPr>
        <w:t xml:space="preserve">8. Nexi intelligence — registered domain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The purchasing sub-module registers a Nexi domain via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registerNexiDomain()</w:t>
      </w:r>
      <w:r>
        <w:rPr>
          <w:color w:val="111827"/>
          <w:sz w:val="22"/>
          <w:szCs w:val="22"/>
        </w:rPr>
        <w:t xml:space="preserve"> (the same hook Irrigation, Logistics, Inventory etc. use). The registration exposes the three collections and provides a custom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answer(qLower)</w:t>
      </w:r>
      <w:r>
        <w:rPr>
          <w:color w:val="111827"/>
          <w:sz w:val="22"/>
          <w:szCs w:val="22"/>
        </w:rPr>
        <w:t xml:space="preserve"> function.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2592"/>
        <w:gridCol w:w="3456"/>
      </w:tblGrid>
      <w:tr>
        <w:tc>
          <w:tcPr>
            <w:tcW w:type="dxa" w:w="2592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Ask Nexi</w:t>
            </w:r>
          </w:p>
        </w:tc>
        <w:tc>
          <w:tcPr>
            <w:tcW w:type="dxa" w:w="2592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She reads</w:t>
            </w:r>
          </w:p>
        </w:tc>
        <w:tc>
          <w:tcPr>
            <w:tcW w:type="dxa" w:w="345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She returns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"who supplies rockwool?"</w:t>
            </w:r>
          </w:p>
        </w:tc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All supplier sources + history</w:t>
            </w:r>
          </w:p>
        </w:tc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Ranked list with contact info + past-order counts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"best price on rockwool cubes"</w:t>
            </w:r>
          </w:p>
        </w:tc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Purchase history incl. RFQ quotes</w:t>
            </w:r>
          </w:p>
        </w:tc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Cheapest supplier + next two, with reply-rate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"supplier reply rate"</w:t>
            </w:r>
          </w:p>
        </w:tc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Outreach log</w:t>
            </w:r>
          </w:p>
        </w:tc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Per-supplier quoted/sent scoreboard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"how many RFQs have I sent"</w:t>
            </w:r>
          </w:p>
        </w:tc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Outreach log</w:t>
            </w:r>
          </w:p>
        </w:tc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Totals + open comparisons + records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"suppliers near me" / "within 50 km"</w:t>
            </w:r>
          </w:p>
        </w:tc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Base location + supplier coords</w:t>
            </w:r>
          </w:p>
        </w:tc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Ranked by distance, honours the tier ladder or the explicit km</w:t>
            </w:r>
          </w:p>
        </w:tc>
      </w:tr>
    </w:tbl>
    <w:p>
      <w:pPr>
        <w:pBdr>
          <w:top w:val="single" w:color="D1D5DB" w:sz="2" w:space="4"/>
          <w:bottom w:val="single" w:color="D1D5DB" w:sz="2" w:space="4"/>
          <w:left w:val="single" w:color="1E7A5F" w:sz="16" w:space="8"/>
          <w:right w:val="single" w:color="D1D5DB" w:sz="2" w:space="4"/>
        </w:pBdr>
        <w:shd w:fill="F5F7F3" w:color="auto" w:val="clear"/>
        <w:spacing w:after="160" w:before="100"/>
      </w:pPr>
      <w:r>
        <w:rPr>
          <w:b/>
          <w:bCs/>
          <w:color w:val="1E7A5F"/>
          <w:sz w:val="18"/>
          <w:szCs w:val="18"/>
        </w:rPr>
        <w:t xml:space="preserve">THE COMPOUNDING EFFECT  </w:t>
      </w:r>
      <w:r>
        <w:rPr>
          <w:color w:val="111827"/>
          <w:sz w:val="22"/>
          <w:szCs w:val="22"/>
        </w:rPr>
        <w:t xml:space="preserve">Every outreach is logged. Every quote reply is logged. Every awarded winner is logged. On the third comparison for the same product, Nexi’s ranking already knows: who quoted, who replied within a day, who was cheapest, who won last time. Manual entry is only ever for what hasn’t happened yet.</w:t>
      </w:r>
    </w:p>
    <w:p>
      <w:pPr>
        <w:pStyle w:val="Heading1"/>
        <w:pBdr>
          <w:bottom w:val="single" w:color="1E7A5F" w:sz="12" w:space="6"/>
        </w:pBdr>
        <w:spacing w:after="200" w:before="360"/>
      </w:pPr>
      <w:r>
        <w:rPr>
          <w:b/>
          <w:bCs/>
          <w:color w:val="111827"/>
          <w:sz w:val="36"/>
          <w:szCs w:val="36"/>
        </w:rPr>
        <w:t xml:space="preserve">9. Geo-scoped supplier search — the rule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Value determines geography. </w:t>
      </w:r>
      <w:r>
        <w:rPr>
          <w:color w:val="111827"/>
          <w:sz w:val="22"/>
          <w:szCs w:val="22"/>
        </w:rPr>
        <w:t xml:space="preserve">A ₱4,000 pack of consumables shouldn’t be sourced from another country. A ₱1.2M capex order shouldn’t be limited to the barangay. The system encodes that judgement so Nexi doesn’t need to be reminded, and every buyer follows the same rule.</w:t>
      </w:r>
    </w:p>
    <w:p>
      <w:pPr>
        <w:pStyle w:val="Heading3"/>
        <w:spacing w:after="80" w:before="200"/>
      </w:pPr>
      <w:r>
        <w:rPr>
          <w:b/>
          <w:bCs/>
          <w:color w:val="1E7A5F"/>
          <w:sz w:val="24"/>
          <w:szCs w:val="24"/>
        </w:rPr>
        <w:t xml:space="preserve">9.1  Default tier ladder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5"/>
        <w:gridCol w:w="1296"/>
        <w:gridCol w:w="5789"/>
      </w:tblGrid>
      <w:tr>
        <w:tc>
          <w:tcPr>
            <w:tcW w:type="dxa" w:w="1555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Up to ₱</w:t>
            </w:r>
          </w:p>
        </w:tc>
        <w:tc>
          <w:tcPr>
            <w:tcW w:type="dxa" w:w="129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Radius</w:t>
            </w:r>
          </w:p>
        </w:tc>
        <w:tc>
          <w:tcPr>
            <w:tcW w:type="dxa" w:w="5789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Meaning · when it fires</w:t>
            </w:r>
          </w:p>
        </w:tc>
      </w:tr>
      <w:tr>
        <w:tc>
          <w:tcPr>
            <w:tcW w:type="dxa" w:w="155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10,000</w:t>
            </w:r>
          </w:p>
        </w:tc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25 km</w:t>
            </w:r>
          </w:p>
        </w:tc>
        <w:tc>
          <w:tcPr>
            <w:tcW w:type="dxa" w:w="578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Small · local only — consumables, replacements, urgent top-ups. Freight would dwarf the order.</w:t>
            </w:r>
          </w:p>
        </w:tc>
      </w:tr>
      <w:tr>
        <w:tc>
          <w:tcPr>
            <w:tcW w:type="dxa" w:w="155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50,000</w:t>
            </w:r>
          </w:p>
        </w:tc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100 km</w:t>
            </w:r>
          </w:p>
        </w:tc>
        <w:tc>
          <w:tcPr>
            <w:tcW w:type="dxa" w:w="578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Regular · metro — weekly resupply, mid-size components. Same-day / next-day trucking still economic.</w:t>
            </w:r>
          </w:p>
        </w:tc>
      </w:tr>
      <w:tr>
        <w:tc>
          <w:tcPr>
            <w:tcW w:type="dxa" w:w="155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200,000</w:t>
            </w:r>
          </w:p>
        </w:tc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500 km</w:t>
            </w:r>
          </w:p>
        </w:tc>
        <w:tc>
          <w:tcPr>
            <w:tcW w:type="dxa" w:w="578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Mid · regional — bulk media, quarterly packaging runs. Willing to wait a few days for better price.</w:t>
            </w:r>
          </w:p>
        </w:tc>
      </w:tr>
      <w:tr>
        <w:tc>
          <w:tcPr>
            <w:tcW w:type="dxa" w:w="155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1,000,000</w:t>
            </w:r>
          </w:p>
        </w:tc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2,000 km</w:t>
            </w:r>
          </w:p>
        </w:tc>
        <w:tc>
          <w:tcPr>
            <w:tcW w:type="dxa" w:w="578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Large · national — equipment, project-scale inputs. Whole-country search opens meaningful competition.</w:t>
            </w:r>
          </w:p>
        </w:tc>
      </w:tr>
      <w:tr>
        <w:tc>
          <w:tcPr>
            <w:tcW w:type="dxa" w:w="155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∞</w:t>
            </w:r>
          </w:p>
        </w:tc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∞</w:t>
            </w:r>
          </w:p>
        </w:tc>
        <w:tc>
          <w:tcPr>
            <w:tcW w:type="dxa" w:w="578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Very large · worldwide — capex, imports, one-off large-ticket. International freight is a rounding error against the deal.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E7A5F"/>
          <w:sz w:val="24"/>
          <w:szCs w:val="24"/>
        </w:rPr>
        <w:t xml:space="preserve">9.2  How the value is inferred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From SOS hint · </w:t>
      </w:r>
      <w:r>
        <w:rPr>
          <w:color w:val="111827"/>
          <w:sz w:val="22"/>
          <w:szCs w:val="22"/>
        </w:rPr>
        <w:t xml:space="preserve">if the product matches a SOS item with a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purchaseCost</w:t>
      </w:r>
      <w:r>
        <w:rPr>
          <w:color w:val="111827"/>
          <w:sz w:val="22"/>
          <w:szCs w:val="22"/>
        </w:rPr>
        <w:t xml:space="preserve">, estimated value = qty × lastCost. Primary path once SOS is connected.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From past history · </w:t>
      </w:r>
      <w:r>
        <w:rPr>
          <w:color w:val="111827"/>
          <w:sz w:val="22"/>
          <w:szCs w:val="22"/>
        </w:rPr>
        <w:t xml:space="preserve">if any past PO line has the same product name, the median past unit cost × current qty is used as a fallback (roadmap).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Buyer override · </w:t>
      </w:r>
      <w:r>
        <w:rPr>
          <w:color w:val="111827"/>
          <w:sz w:val="22"/>
          <w:szCs w:val="22"/>
        </w:rPr>
        <w:t xml:space="preserve">typing a number in the Est. value ₱ field wins over any guess. The Override km field wins over the tier the value picks.</w:t>
      </w:r>
    </w:p>
    <w:p>
      <w:pPr>
        <w:pStyle w:val="Heading3"/>
        <w:spacing w:after="80" w:before="200"/>
      </w:pPr>
      <w:r>
        <w:rPr>
          <w:b/>
          <w:bCs/>
          <w:color w:val="1E7A5F"/>
          <w:sz w:val="24"/>
          <w:szCs w:val="24"/>
        </w:rPr>
        <w:t xml:space="preserve">9.3  Auto-widen safety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Every tier has a floor —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minSuppliersForRadius</w:t>
      </w:r>
      <w:r>
        <w:rPr>
          <w:color w:val="111827"/>
          <w:sz w:val="22"/>
          <w:szCs w:val="22"/>
        </w:rPr>
        <w:t xml:space="preserve"> (default 3). If the requested radius surfaces fewer than that many contactable suppliers, Nexi automatically promotes the search to the next larger tier and re-runs. The status strip in the modal flags the widen explicitly: </w:t>
      </w:r>
      <w:r>
        <w:rPr>
          <w:i/>
          <w:iCs/>
        </w:rPr>
        <w:t xml:space="preserve">"auto-widened · fewer than min in the requested tier"</w:t>
      </w:r>
      <w:r>
        <w:rPr>
          <w:color w:val="111827"/>
          <w:sz w:val="22"/>
          <w:szCs w:val="22"/>
        </w:rPr>
        <w:t xml:space="preserve">.</w:t>
      </w:r>
    </w:p>
    <w:p>
      <w:pPr>
        <w:pStyle w:val="Heading3"/>
        <w:spacing w:after="80" w:before="200"/>
      </w:pPr>
      <w:r>
        <w:rPr>
          <w:b/>
          <w:bCs/>
          <w:color w:val="1E7A5F"/>
          <w:sz w:val="24"/>
          <w:szCs w:val="24"/>
        </w:rPr>
        <w:t xml:space="preserve">9.4  Distance computation</w:t>
      </w:r>
    </w:p>
    <w:p>
      <w:pPr>
        <w:spacing w:after="120" w:line="3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_purchDistanceKm(lat1, lng1, lat2, lng2)</w:t>
      </w:r>
      <w:r>
        <w:rPr>
          <w:color w:val="111827"/>
          <w:sz w:val="22"/>
          <w:szCs w:val="22"/>
        </w:rPr>
        <w:t xml:space="preserve"> uses the Haversine formula. Great-circle, not driving distance — cheap, deterministic, no external service, correct within a fraction of a percent at country-scale distances. Correct trade-off for a filter; driving distance is a roadmap item only if lead-time promises depend on it.</w:t>
      </w:r>
    </w:p>
    <w:p>
      <w:pPr>
        <w:pStyle w:val="Heading3"/>
        <w:spacing w:after="80" w:before="200"/>
      </w:pPr>
      <w:r>
        <w:rPr>
          <w:b/>
          <w:bCs/>
          <w:color w:val="1E7A5F"/>
          <w:sz w:val="24"/>
          <w:szCs w:val="24"/>
        </w:rPr>
        <w:t xml:space="preserve">9.5  Base location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Set once from the header button 📍 Location &amp; radius. The modal captures a display name, address, latitude, longitude — and offers a 📡 Use my current location button that reads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navigator.geolocation</w:t>
      </w:r>
      <w:r>
        <w:rPr>
          <w:color w:val="111827"/>
          <w:sz w:val="22"/>
          <w:szCs w:val="22"/>
        </w:rPr>
        <w:t xml:space="preserve"> and fills the coords in place. Default until edited: Manila metro at 14.5995, 120.9842.</w:t>
      </w:r>
    </w:p>
    <w:p>
      <w:pPr>
        <w:pStyle w:val="Heading3"/>
        <w:spacing w:after="80" w:before="200"/>
      </w:pPr>
      <w:r>
        <w:rPr>
          <w:b/>
          <w:bCs/>
          <w:color w:val="1E7A5F"/>
          <w:sz w:val="24"/>
          <w:szCs w:val="24"/>
        </w:rPr>
        <w:t xml:space="preserve">9.6  Supplier coordinates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Explicit coords stored per supplier in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hydroPro_acct_purch_supplier_locations</w:t>
      </w:r>
      <w:r>
        <w:rPr>
          <w:color w:val="111827"/>
          <w:sz w:val="22"/>
          <w:szCs w:val="22"/>
        </w:rPr>
        <w:t xml:space="preserve">, keyed by lowercased name so a rename in one place doesn’t sever the link. Fallback: if a supplier has no explicit coord record,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_purchGetSupplierLocation()</w:t>
      </w:r>
      <w:r>
        <w:rPr>
          <w:color w:val="111827"/>
          <w:sz w:val="22"/>
          <w:szCs w:val="22"/>
        </w:rPr>
        <w:t xml:space="preserve"> reads any address/city/country on the existing Vendors records. Every supplier row in the outreach modal shows a 📍 chip; rows without coords get a clickable "no location · add" chip that prompts for lat/lng inline.</w:t>
      </w:r>
    </w:p>
    <w:p>
      <w:pPr>
        <w:pStyle w:val="Heading3"/>
        <w:spacing w:after="80" w:before="200"/>
      </w:pPr>
      <w:r>
        <w:rPr>
          <w:b/>
          <w:bCs/>
          <w:color w:val="1E7A5F"/>
          <w:sz w:val="24"/>
          <w:szCs w:val="24"/>
        </w:rPr>
        <w:t xml:space="preserve">9.7  UI changes to the outreach modal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6739"/>
      </w:tblGrid>
      <w:tr>
        <w:tc>
          <w:tcPr>
            <w:tcW w:type="dxa" w:w="1901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Where</w:t>
            </w:r>
          </w:p>
        </w:tc>
        <w:tc>
          <w:tcPr>
            <w:tcW w:type="dxa" w:w="6739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What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Top strip</w:t>
            </w:r>
          </w:p>
        </w:tc>
        <w:tc>
          <w:tcPr>
            <w:tcW w:type="dxa" w:w="673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New "Est. value ₱" field (auto-guessed) and "Override km" input.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Status banner</w:t>
            </w:r>
          </w:p>
        </w:tc>
        <w:tc>
          <w:tcPr>
            <w:tcW w:type="dxa" w:w="673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🎯 Radius X km · tier Y · in-range vs outside count · widen flag · base name + coords.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Each row</w:t>
            </w:r>
          </w:p>
        </w:tc>
        <w:tc>
          <w:tcPr>
            <w:tcW w:type="dxa" w:w="673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📍 distance chip. In-range rows full opacity, out-of-range rows dimmed. Unknown-location rows get a "add" chip.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Selectors</w:t>
            </w:r>
          </w:p>
        </w:tc>
        <w:tc>
          <w:tcPr>
            <w:tcW w:type="dxa" w:w="673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Top 3 / Existing / All-in-range — all respect the in-range flag by default. Nexi never sends RFQs outside the effective radius unless the buyer explicitly checks the box.</w:t>
            </w:r>
          </w:p>
        </w:tc>
      </w:tr>
    </w:tbl>
    <w:p>
      <w:pPr>
        <w:pStyle w:val="Heading1"/>
        <w:pBdr>
          <w:bottom w:val="single" w:color="1E7A5F" w:sz="12" w:space="6"/>
        </w:pBdr>
        <w:spacing w:after="200" w:before="360"/>
      </w:pPr>
      <w:r>
        <w:rPr>
          <w:b/>
          <w:bCs/>
          <w:color w:val="111827"/>
          <w:sz w:val="36"/>
          <w:szCs w:val="36"/>
        </w:rPr>
        <w:t xml:space="preserve">10. Permissions &amp;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Accounting role has full manageHR/payroll access and read-only on operational modules — the Purchasing sub-tab sits within Accounting and inherits the module’s permission gate.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Each outreach row records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requester</w:t>
      </w:r>
      <w:r>
        <w:rPr>
          <w:color w:val="111827"/>
          <w:sz w:val="22"/>
          <w:szCs w:val="22"/>
        </w:rPr>
        <w:t xml:space="preserve"> from the current user profile (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getCurrentUser()</w:t>
      </w:r>
      <w:r>
        <w:rPr>
          <w:color w:val="111827"/>
          <w:sz w:val="22"/>
          <w:szCs w:val="22"/>
        </w:rPr>
        <w:t xml:space="preserve">). Once dispatched, an RFQ’s body and dispatch metadata are immutable; only the response fields (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responseStatus, quotedUnitCost, quotedDeliveryDays, responseNotes</w:t>
      </w:r>
      <w:r>
        <w:rPr>
          <w:color w:val="111827"/>
          <w:sz w:val="22"/>
          <w:szCs w:val="22"/>
        </w:rPr>
        <w:t xml:space="preserve">) are editable.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SOS-imported history rows are protected from manual deletion.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_purchDeleteHistory()</w:t>
      </w:r>
      <w:r>
        <w:rPr>
          <w:color w:val="111827"/>
          <w:sz w:val="22"/>
          <w:szCs w:val="22"/>
        </w:rPr>
        <w:t xml:space="preserve"> explicitly refuses them and tells the user to delete the PO in SOS or use "Clear SOS-imported rows".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CSV export writes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source, status, ref, receivedQty</w:t>
      </w:r>
      <w:r>
        <w:rPr>
          <w:color w:val="111827"/>
          <w:sz w:val="22"/>
          <w:szCs w:val="22"/>
        </w:rPr>
        <w:t xml:space="preserve"> alongside numeric fields, so an offline audit can trace every row to its origin.</w:t>
      </w:r>
    </w:p>
    <w:p>
      <w:pPr>
        <w:pStyle w:val="Heading1"/>
        <w:pBdr>
          <w:bottom w:val="single" w:color="1E7A5F" w:sz="12" w:space="6"/>
        </w:pBdr>
        <w:spacing w:after="200" w:before="360"/>
      </w:pPr>
      <w:r>
        <w:rPr>
          <w:b/>
          <w:bCs/>
          <w:color w:val="111827"/>
          <w:sz w:val="36"/>
          <w:szCs w:val="36"/>
        </w:rPr>
        <w:t xml:space="preserve">11. Wiring points — globals &amp; hooks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1728"/>
        <w:gridCol w:w="3456"/>
      </w:tblGrid>
      <w:tr>
        <w:tc>
          <w:tcPr>
            <w:tcW w:type="dxa" w:w="345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Global / hook</w:t>
            </w:r>
          </w:p>
        </w:tc>
        <w:tc>
          <w:tcPr>
            <w:tcW w:type="dxa" w:w="1728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Direction</w:t>
            </w:r>
          </w:p>
        </w:tc>
        <w:tc>
          <w:tcPr>
            <w:tcW w:type="dxa" w:w="345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switchView(v)</w:t>
            </w:r>
          </w:p>
        </w:tc>
        <w:tc>
          <w:tcPr>
            <w:tcW w:type="dxa" w:w="172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hooked</w:t>
            </w:r>
          </w:p>
        </w:tc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Registers acct_purchasing in the dispatcher.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VIEW_TO_MODULE</w:t>
            </w:r>
          </w:p>
        </w:tc>
        <w:tc>
          <w:tcPr>
            <w:tcW w:type="dxa" w:w="172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write (merge)</w:t>
            </w:r>
          </w:p>
        </w:tc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Adds acct_purchasing: "accounting".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ACCT_TABS</w:t>
            </w:r>
          </w:p>
        </w:tc>
        <w:tc>
          <w:tcPr>
            <w:tcW w:type="dxa" w:w="172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write (splice)</w:t>
            </w:r>
          </w:p>
        </w:tc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Adds the purchasing sub-tab to the Accountant-AI overlay dropdown.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window.__hnxApi()</w:t>
            </w:r>
          </w:p>
        </w:tc>
        <w:tc>
          <w:tcPr>
            <w:tcW w:type="dxa" w:w="172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call</w:t>
            </w:r>
          </w:p>
        </w:tc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Fetches /sos/purchase-orders for history import.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window.__hnxSos.getItems()</w:t>
            </w:r>
          </w:p>
        </w:tc>
        <w:tc>
          <w:tcPr>
            <w:tcW w:type="dxa" w:w="172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call</w:t>
            </w:r>
          </w:p>
        </w:tc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Reads cached SOS items for the item hint row + fallback vendors.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window.__hnxSos.getMeta()</w:t>
            </w:r>
          </w:p>
        </w:tc>
        <w:tc>
          <w:tcPr>
            <w:tcW w:type="dxa" w:w="172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call</w:t>
            </w:r>
          </w:p>
        </w:tc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SOS connection state for the banner.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_sendViaEmailJs(to, subj, body)</w:t>
            </w:r>
          </w:p>
        </w:tc>
        <w:tc>
          <w:tcPr>
            <w:tcW w:type="dxa" w:w="172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call</w:t>
            </w:r>
          </w:p>
        </w:tc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Silent RFQ auto-send via existing EmailJS integration.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registerNexiDomain({…})</w:t>
            </w:r>
          </w:p>
        </w:tc>
        <w:tc>
          <w:tcPr>
            <w:tcW w:type="dxa" w:w="172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call</w:t>
            </w:r>
          </w:p>
        </w:tc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Exposes purchasing intelligence to Nexi’s chat/brain.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showToast(msg, tone)</w:t>
            </w:r>
          </w:p>
        </w:tc>
        <w:tc>
          <w:tcPr>
            <w:tcW w:type="dxa" w:w="172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call</w:t>
            </w:r>
          </w:p>
        </w:tc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User feedback on sync / send / save.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getCurrentUser()</w:t>
            </w:r>
          </w:p>
        </w:tc>
        <w:tc>
          <w:tcPr>
            <w:tcW w:type="dxa" w:w="172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call</w:t>
            </w:r>
          </w:p>
        </w:tc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Requester name in the outreach signature.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navigator.geolocation</w:t>
            </w:r>
          </w:p>
        </w:tc>
        <w:tc>
          <w:tcPr>
            <w:tcW w:type="dxa" w:w="172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call</w:t>
            </w:r>
          </w:p>
        </w:tc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"📡 Use my current location" button in the base-location settings.</w:t>
            </w:r>
          </w:p>
        </w:tc>
      </w:tr>
    </w:tbl>
    <w:p>
      <w:pPr>
        <w:pStyle w:val="Heading1"/>
        <w:pBdr>
          <w:bottom w:val="single" w:color="1E7A5F" w:sz="12" w:space="6"/>
        </w:pBdr>
        <w:spacing w:after="200" w:before="360"/>
      </w:pPr>
      <w:r>
        <w:rPr>
          <w:b/>
          <w:bCs/>
          <w:color w:val="111827"/>
          <w:sz w:val="36"/>
          <w:szCs w:val="36"/>
        </w:rPr>
        <w:t xml:space="preserve">12. Public function surface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Functions the developer will most often need to reach for or extend. All are on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window</w:t>
      </w:r>
      <w:r>
        <w:rPr>
          <w:color w:val="111827"/>
          <w:sz w:val="22"/>
          <w:szCs w:val="22"/>
        </w:rPr>
        <w:t xml:space="preserve"> unless noted.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4"/>
        <w:gridCol w:w="4666"/>
      </w:tblGrid>
      <w:tr>
        <w:tc>
          <w:tcPr>
            <w:tcW w:type="dxa" w:w="3974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Function</w:t>
            </w:r>
          </w:p>
        </w:tc>
        <w:tc>
          <w:tcPr>
            <w:tcW w:type="dxa" w:w="466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9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_renderAcctPurchasing()</w:t>
            </w:r>
          </w:p>
        </w:tc>
        <w:tc>
          <w:tcPr>
            <w:tcW w:type="dxa" w:w="466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Full re-render of the view. Called by switchView hook + every write.</w:t>
            </w:r>
          </w:p>
        </w:tc>
      </w:tr>
      <w:tr>
        <w:tc>
          <w:tcPr>
            <w:tcW w:type="dxa" w:w="39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_purchGatherAllSuppliers(productHint)</w:t>
            </w:r>
          </w:p>
        </w:tc>
        <w:tc>
          <w:tcPr>
            <w:tcW w:type="dxa" w:w="466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Unions all supplier sources, enriched with history + outreach stats + hasProductHistory flag.</w:t>
            </w:r>
          </w:p>
        </w:tc>
      </w:tr>
      <w:tr>
        <w:tc>
          <w:tcPr>
            <w:tcW w:type="dxa" w:w="39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_purchLookupHistory(product, supplier)</w:t>
            </w:r>
          </w:p>
        </w:tc>
        <w:tc>
          <w:tcPr>
            <w:tcW w:type="dxa" w:w="466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Returns {isNew, times, totalQty, totalCost, lastDate, rows} for a product-supplier pair.</w:t>
            </w:r>
          </w:p>
        </w:tc>
      </w:tr>
      <w:tr>
        <w:tc>
          <w:tcPr>
            <w:tcW w:type="dxa" w:w="39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_purchSosItemHint(product)</w:t>
            </w:r>
          </w:p>
        </w:tc>
        <w:tc>
          <w:tcPr>
            <w:tcW w:type="dxa" w:w="466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SOS item hint {vendor, lastCost, sku, onHand} used in comparison cards.</w:t>
            </w:r>
          </w:p>
        </w:tc>
      </w:tr>
      <w:tr>
        <w:tc>
          <w:tcPr>
            <w:tcW w:type="dxa" w:w="39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_purchSyncFromSOS(cb)</w:t>
            </w:r>
          </w:p>
        </w:tc>
        <w:tc>
          <w:tcPr>
            <w:tcW w:type="dxa" w:w="466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Pull /sos/purchase-orders and merge into history. cb({ok, added, updated, poCount}).</w:t>
            </w:r>
          </w:p>
        </w:tc>
      </w:tr>
      <w:tr>
        <w:tc>
          <w:tcPr>
            <w:tcW w:type="dxa" w:w="39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_purchClearSOSHistory()</w:t>
            </w:r>
          </w:p>
        </w:tc>
        <w:tc>
          <w:tcPr>
            <w:tcW w:type="dxa" w:w="466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Wipe SOS-imported rows (keeps manual).</w:t>
            </w:r>
          </w:p>
        </w:tc>
      </w:tr>
      <w:tr>
        <w:tc>
          <w:tcPr>
            <w:tcW w:type="dxa" w:w="39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_purchOpenOutreach(prefill)</w:t>
            </w:r>
          </w:p>
        </w:tc>
        <w:tc>
          <w:tcPr>
            <w:tcW w:type="dxa" w:w="466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Open the Nexi outreach modal. prefill accepts {product, specs, qty, unit, needBy, company, estimatedValue, overrideRadiusKm}.</w:t>
            </w:r>
          </w:p>
        </w:tc>
      </w:tr>
      <w:tr>
        <w:tc>
          <w:tcPr>
            <w:tcW w:type="dxa" w:w="39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_purchOutreachSend()</w:t>
            </w:r>
          </w:p>
        </w:tc>
        <w:tc>
          <w:tcPr>
            <w:tcW w:type="dxa" w:w="466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Dispatch RFQs for every checked supplier. Reads modal DOM.</w:t>
            </w:r>
          </w:p>
        </w:tc>
      </w:tr>
      <w:tr>
        <w:tc>
          <w:tcPr>
            <w:tcW w:type="dxa" w:w="39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_purchOutreachSetResponse(id, field, value)</w:t>
            </w:r>
          </w:p>
        </w:tc>
        <w:tc>
          <w:tcPr>
            <w:tcW w:type="dxa" w:w="466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Update a logged RFQ. Marking "quoted" with unit cost auto-appends to history.</w:t>
            </w:r>
          </w:p>
        </w:tc>
      </w:tr>
      <w:tr>
        <w:tc>
          <w:tcPr>
            <w:tcW w:type="dxa" w:w="39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_purchGetBase() / _purchSaveBase(b)</w:t>
            </w:r>
          </w:p>
        </w:tc>
        <w:tc>
          <w:tcPr>
            <w:tcW w:type="dxa" w:w="466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Base-location config accessor. Restores Infinity on load.</w:t>
            </w:r>
          </w:p>
        </w:tc>
      </w:tr>
      <w:tr>
        <w:tc>
          <w:tcPr>
            <w:tcW w:type="dxa" w:w="39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_purchGetSupplierLocation(name)</w:t>
            </w:r>
          </w:p>
        </w:tc>
        <w:tc>
          <w:tcPr>
            <w:tcW w:type="dxa" w:w="466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Lookup coords for a supplier (falls back to address on Vendors master).</w:t>
            </w:r>
          </w:p>
        </w:tc>
      </w:tr>
      <w:tr>
        <w:tc>
          <w:tcPr>
            <w:tcW w:type="dxa" w:w="39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_purchSetSupplierLocation(name, loc)</w:t>
            </w:r>
          </w:p>
        </w:tc>
        <w:tc>
          <w:tcPr>
            <w:tcW w:type="dxa" w:w="466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Write per-supplier coord record.</w:t>
            </w:r>
          </w:p>
        </w:tc>
      </w:tr>
      <w:tr>
        <w:tc>
          <w:tcPr>
            <w:tcW w:type="dxa" w:w="39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_purchDistanceKm(a,b,c,d)</w:t>
            </w:r>
          </w:p>
        </w:tc>
        <w:tc>
          <w:tcPr>
            <w:tcW w:type="dxa" w:w="466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Haversine great-circle distance in km.</w:t>
            </w:r>
          </w:p>
        </w:tc>
      </w:tr>
      <w:tr>
        <w:tc>
          <w:tcPr>
            <w:tcW w:type="dxa" w:w="39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_purchTierForValue(value)</w:t>
            </w:r>
          </w:p>
        </w:tc>
        <w:tc>
          <w:tcPr>
            <w:tcW w:type="dxa" w:w="466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First tier whose maxValue ≥ value. Returns {maxValue, radiusKm, label}.</w:t>
            </w:r>
          </w:p>
        </w:tc>
      </w:tr>
      <w:tr>
        <w:tc>
          <w:tcPr>
            <w:tcW w:type="dxa" w:w="39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_purchApplyRadius(suppliers, value, overrideKm)</w:t>
            </w:r>
          </w:p>
        </w:tc>
        <w:tc>
          <w:tcPr>
            <w:tcW w:type="dxa" w:w="466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Enrich each supplier with distanceKm + inRadius, run auto-widen. Returns {suppliers, tier, radius, requestedRadius, widened, base}.</w:t>
            </w:r>
          </w:p>
        </w:tc>
      </w:tr>
      <w:tr>
        <w:tc>
          <w:tcPr>
            <w:tcW w:type="dxa" w:w="39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_purchOpenLocationSettings()</w:t>
            </w:r>
          </w:p>
        </w:tc>
        <w:tc>
          <w:tcPr>
            <w:tcW w:type="dxa" w:w="466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Base-location + tier-ladder settings modal.</w:t>
            </w:r>
          </w:p>
        </w:tc>
      </w:tr>
      <w:tr>
        <w:tc>
          <w:tcPr>
            <w:tcW w:type="dxa" w:w="39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_purchExportCsv()</w:t>
            </w:r>
          </w:p>
        </w:tc>
        <w:tc>
          <w:tcPr>
            <w:tcW w:type="dxa" w:w="466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CSV of the merged purchase history.</w:t>
            </w:r>
          </w:p>
        </w:tc>
      </w:tr>
    </w:tbl>
    <w:p>
      <w:pPr>
        <w:pStyle w:val="Heading1"/>
        <w:pBdr>
          <w:bottom w:val="single" w:color="1E7A5F" w:sz="12" w:space="6"/>
        </w:pBdr>
        <w:spacing w:after="200" w:before="360"/>
      </w:pPr>
      <w:r>
        <w:rPr>
          <w:b/>
          <w:bCs/>
          <w:color w:val="111827"/>
          <w:sz w:val="36"/>
          <w:szCs w:val="36"/>
        </w:rPr>
        <w:t xml:space="preserve">13. Limits &amp; roadmap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Nothing on this list breaks the current model. Each extension either adds a stored field, adds one worker route, or plugs a new signal into the same tier lookup / merged history log.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2765"/>
        <w:gridCol w:w="3283"/>
      </w:tblGrid>
      <w:tr>
        <w:tc>
          <w:tcPr>
            <w:tcW w:type="dxa" w:w="2592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Not yet</w:t>
            </w:r>
          </w:p>
        </w:tc>
        <w:tc>
          <w:tcPr>
            <w:tcW w:type="dxa" w:w="2765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Why</w:t>
            </w:r>
          </w:p>
        </w:tc>
        <w:tc>
          <w:tcPr>
            <w:tcW w:type="dxa" w:w="3283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What unlocks it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Automated web supplier search</w:t>
            </w:r>
          </w:p>
        </w:tc>
        <w:tc>
          <w:tcPr>
            <w:tcW w:type="dxa" w:w="276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Browser HTML app can’t crawl external sites (CORS, no server).</w:t>
            </w:r>
          </w:p>
        </w:tc>
        <w:tc>
          <w:tcPr>
            <w:tcW w:type="dxa" w:w="3283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Add /nexi/supplier-search?q= to the hnx-sync worker; the modal already has a slot for it.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Silent SMS auto-send</w:t>
            </w:r>
          </w:p>
        </w:tc>
        <w:tc>
          <w:tcPr>
            <w:tcW w:type="dxa" w:w="276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Browsers have no direct SMS API; sms: hands off to the device app.</w:t>
            </w:r>
          </w:p>
        </w:tc>
        <w:tc>
          <w:tcPr>
            <w:tcW w:type="dxa" w:w="3283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Add a Twilio-backed /nexi/sms worker route; swap the sms: handoff for a POST.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QB bill-line import</w:t>
            </w:r>
          </w:p>
        </w:tc>
        <w:tc>
          <w:tcPr>
            <w:tcW w:type="dxa" w:w="276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Current QB cache is TB/aging only.</w:t>
            </w:r>
          </w:p>
        </w:tc>
        <w:tc>
          <w:tcPr>
            <w:tcW w:type="dxa" w:w="3283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Add a Make scenario for "Bills by Vendor with Lines"; feed _purchSyncFromQB().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Automatic reply detection</w:t>
            </w:r>
          </w:p>
        </w:tc>
        <w:tc>
          <w:tcPr>
            <w:tcW w:type="dxa" w:w="276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Response state is human-set today.</w:t>
            </w:r>
          </w:p>
        </w:tc>
        <w:tc>
          <w:tcPr>
            <w:tcW w:type="dxa" w:w="3283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Inbound-email webhook (Zapier/Make on quotes inbox) → /nexi/rfq-reply?rfqId= → auto-flip responseStatus.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Multi-currency &amp; VAT split</w:t>
            </w:r>
          </w:p>
        </w:tc>
        <w:tc>
          <w:tcPr>
            <w:tcW w:type="dxa" w:w="276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Amounts are single-currency, VAT-inclusive.</w:t>
            </w:r>
          </w:p>
        </w:tc>
        <w:tc>
          <w:tcPr>
            <w:tcW w:type="dxa" w:w="3283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Add currency, vatRate, vatMode to history + quote fields; render alt-currency next to totals.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Approval workflow &gt; ₱X</w:t>
            </w:r>
          </w:p>
        </w:tc>
        <w:tc>
          <w:tcPr>
            <w:tcW w:type="dxa" w:w="276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Awards are direct today.</w:t>
            </w:r>
          </w:p>
        </w:tc>
        <w:tc>
          <w:tcPr>
            <w:tcW w:type="dxa" w:w="3283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Add a threshold rule + approver assignment on the comparison card, gated by role.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PO creation back into SOS</w:t>
            </w:r>
          </w:p>
        </w:tc>
        <w:tc>
          <w:tcPr>
            <w:tcW w:type="dxa" w:w="276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Only pulls from SOS, doesn’t push.</w:t>
            </w:r>
          </w:p>
        </w:tc>
        <w:tc>
          <w:tcPr>
            <w:tcW w:type="dxa" w:w="3283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POST via a new /sos/purchase-orders worker route on award.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Geocode supplier address</w:t>
            </w:r>
          </w:p>
        </w:tc>
        <w:tc>
          <w:tcPr>
            <w:tcW w:type="dxa" w:w="276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Manual coord entry today.</w:t>
            </w:r>
          </w:p>
        </w:tc>
        <w:tc>
          <w:tcPr>
            <w:tcW w:type="dxa" w:w="3283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/nexi/geocode?address= on the worker; auto-fill supplier coords from any address on the vendor record.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Driving distance / travel time</w:t>
            </w:r>
          </w:p>
        </w:tc>
        <w:tc>
          <w:tcPr>
            <w:tcW w:type="dxa" w:w="276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Great-circle only.</w:t>
            </w:r>
          </w:p>
        </w:tc>
        <w:tc>
          <w:tcPr>
            <w:tcW w:type="dxa" w:w="3283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OSRM or Google Distance Matrix through the worker. Only worth adding if lead-time promises depend on it.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Freight-cost-aware radius</w:t>
            </w:r>
          </w:p>
        </w:tc>
        <w:tc>
          <w:tcPr>
            <w:tcW w:type="dxa" w:w="276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Radius is set by ordered ₱, not delivered ₱.</w:t>
            </w:r>
          </w:p>
        </w:tc>
        <w:tc>
          <w:tcPr>
            <w:tcW w:type="dxa" w:w="3283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Multiply qty×unitCost by freight-per-km rate before tier lookup so the tier reflects delivered cost.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Per-category tier overrides</w:t>
            </w:r>
          </w:p>
        </w:tc>
        <w:tc>
          <w:tcPr>
            <w:tcW w:type="dxa" w:w="276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One ladder for all products.</w:t>
            </w:r>
          </w:p>
        </w:tc>
        <w:tc>
          <w:tcPr>
            <w:tcW w:type="dxa" w:w="3283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Attach a categoryOverrides map on the base — e.g. "perishables never past 200 km".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Multi-site (per-farm) bases</w:t>
            </w:r>
          </w:p>
        </w:tc>
        <w:tc>
          <w:tcPr>
            <w:tcW w:type="dxa" w:w="276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Single base pin.</w:t>
            </w:r>
          </w:p>
        </w:tc>
        <w:tc>
          <w:tcPr>
            <w:tcW w:type="dxa" w:w="3283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Promote the base record to an array keyed by site; the modal picks the site the buyer selects.</w:t>
            </w:r>
          </w:p>
        </w:tc>
      </w:tr>
    </w:tbl>
    <w:p>
      <w:pPr>
        <w:pStyle w:val="Heading1"/>
        <w:pBdr>
          <w:bottom w:val="single" w:color="1E7A5F" w:sz="12" w:space="6"/>
        </w:pBdr>
        <w:spacing w:after="200" w:before="360"/>
      </w:pPr>
      <w:r>
        <w:rPr>
          <w:b/>
          <w:bCs/>
          <w:color w:val="111827"/>
          <w:sz w:val="36"/>
          <w:szCs w:val="36"/>
        </w:rPr>
        <w:t xml:space="preserve">14. Deliverable checklist for the developer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Pull branch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claude/accounting-purchasing-suppliers-5p94sz</w:t>
      </w:r>
      <w:r>
        <w:rPr>
          <w:color w:val="11182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Open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index.html</w:t>
      </w:r>
      <w:r>
        <w:rPr>
          <w:color w:val="111827"/>
          <w:sz w:val="22"/>
          <w:szCs w:val="22"/>
        </w:rPr>
        <w:t xml:space="preserve"> in a browser. Sign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Console: </w:t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switchView('acct_purchasing')</w:t>
      </w:r>
      <w:r>
        <w:rPr>
          <w:color w:val="111827"/>
          <w:sz w:val="22"/>
          <w:szCs w:val="22"/>
        </w:rPr>
        <w:t xml:space="preserve"> to open the sub-tab.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Verify the 4 tabs render: 📊 Comparisons · 📜 Purchase History · 🏭 Suppliers Ledger · 📬 Nexi RFQ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Open 📍 Location &amp; radius, save a base coord (or click "📡 Use my current location"). Adjust tiers.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Add a comparison with 3 suppliers. Verify the cheapest badge, the SOS item hint (once SOS is connected), and the NEW/EXISTING flags.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Connect SOS if not already (Admin → 📦 SOS Inventory Sync). Click "📥 Sync purchase history from SOS" and verify PO lines land in the History tab tagged as 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Open "🤖 Nexi · Find &amp; contact suppliers". Verify: est. value auto-fills, radius chip shows, in-range vs outside counts are correct, distance chips render per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Send a test RFQ (email to yourself). Verify a row lands in 📬 Nexi RFQ Log with full body. Mark it "quoted" with a unit cost; verify a soft row appears in Purchase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In the Nexi chat panel, ask: </w:t>
      </w:r>
      <w:r>
        <w:rPr>
          <w:i/>
          <w:iCs/>
        </w:rPr>
        <w:t xml:space="preserve">"who supplies rockwool"</w:t>
      </w:r>
      <w:r>
        <w:rPr>
          <w:color w:val="111827"/>
          <w:sz w:val="22"/>
          <w:szCs w:val="22"/>
        </w:rPr>
        <w:t xml:space="preserve">, </w:t>
      </w:r>
      <w:r>
        <w:rPr>
          <w:i/>
          <w:iCs/>
        </w:rPr>
        <w:t xml:space="preserve">"best price on X"</w:t>
      </w:r>
      <w:r>
        <w:rPr>
          <w:color w:val="111827"/>
          <w:sz w:val="22"/>
          <w:szCs w:val="22"/>
        </w:rPr>
        <w:t xml:space="preserve">, </w:t>
      </w:r>
      <w:r>
        <w:rPr>
          <w:i/>
          <w:iCs/>
        </w:rPr>
        <w:t xml:space="preserve">"suppliers near me"</w:t>
      </w:r>
      <w:r>
        <w:rPr>
          <w:color w:val="111827"/>
          <w:sz w:val="22"/>
          <w:szCs w:val="22"/>
        </w:rPr>
        <w:t xml:space="preserve">, </w:t>
      </w:r>
      <w:r>
        <w:rPr>
          <w:i/>
          <w:iCs/>
        </w:rPr>
        <w:t xml:space="preserve">"suppliers within 50 km"</w:t>
      </w:r>
      <w:r>
        <w:rPr>
          <w:color w:val="111827"/>
          <w:sz w:val="22"/>
          <w:szCs w:val="22"/>
        </w:rPr>
        <w:t xml:space="preserve">. Confirm grounded answers.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827"/>
          <w:sz w:val="22"/>
          <w:szCs w:val="22"/>
        </w:rPr>
        <w:t xml:space="preserve">Read this document’s §11 (Wiring points) + §12 (Public function surface) before extending anything.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6"/>
        <w:szCs w:val="16"/>
      </w:rPr>
      <w:t xml:space="preserve">HydroNexis-AI · Accounting · Purchasing sub-module · design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Purchasing sub-module — design specification</dc:title>
  <dc:creator>HydroNexis-AI</dc:creator>
  <dc:description>Design spec for the Accounting → Purchasing sub-module</dc:description>
  <cp:lastModifiedBy>Un-named</cp:lastModifiedBy>
  <cp:revision>1</cp:revision>
  <dcterms:created xsi:type="dcterms:W3CDTF">2026-07-27T16:51:19.718Z</dcterms:created>
  <dcterms:modified xsi:type="dcterms:W3CDTF">2026-07-27T16:51:19.718Z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