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22.18 · 8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once, by themselves,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Add that as a one-time payment.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The four-times-a-day round</w:t>
      </w:r>
    </w:p>
    <w:p>
      <w:r>
        <w:t>Fill rules (v21.71, Eyal): GH1–GH6 are filled to 60 cm in the morning round, and at any round when the level is under 30 cm (the water may be hot — the temperature is recorded and flagged); 1 L of A and 1 L of B per 10 cm added, pure water, whole liters. GH7 and GH8: fill to 100 cm when under 50 cm, 1 L per 12 cm. GH9: fill to 50 cm, 2 L per 10 cm. GH10: 1 L per 10 cm, and when the EC is still under 1.7 after mixing add 1 L more of A and B, re-check, until about 1.7. EC should be around 1.7 (ok 1.6–1.8), pH 5.6–6.5. The Nexi says column states the rule it applied. Pools without a rule (PRJ11–16) still use the EC matrix.</w:t>
      </w:r>
    </w:p>
    <w:p>
      <w:r>
        <w:t>Two meters (v21.70, Eyal): each pool is read with the controller AND the handheld meter. When both EC readings (and both pH readings) agree within the drift thresholds, Nexi doses on the average; when they differ beyond the critical drift the row says CALIBRATE in red and gives no A/B/C until they agree. Water source per fill — Pure, Over-tank or Mix % — reduces the A/B dose by the nutrient share the added water already carries (over-tank EC set in the toolbar). The last column, Nexi says, is the instruction for Reven in one line; 📋 Export for Reven writes the whole round as one Excel sheet.</w:t>
      </w:r>
    </w:p>
    <w:p>
      <w:r>
        <w:t>🏊 Pool Monitor is the core of this module. Readings are taken 4× a day and are colour-coded live against the thresholds set in ⚙️ Pool &amp; Drum Setup — so a figure that is out of range is obvious as you type it.</w:t>
      </w:r>
    </w:p>
    <w:p>
      <w:pPr>
        <w:pStyle w:val="ListNumber"/>
      </w:pPr>
      <w:r>
        <w:t>Open 🏊 Pool Monitor.</w:t>
      </w:r>
    </w:p>
    <w:p>
      <w:pPr>
        <w:pStyle w:val="ListNumber"/>
      </w:pPr>
      <w:r>
        <w:t>Enter water level, EC and pH for each pool.</w:t>
      </w:r>
    </w:p>
    <w:p>
      <w:pPr>
        <w:pStyle w:val="ListNumber"/>
      </w:pPr>
      <w:r>
        <w:t>A red or amber figure is a fault: log it, and dose or refill as the next screen tells you.</w:t>
      </w:r>
    </w:p>
    <w:p>
      <w:pPr>
        <w:pStyle w:val="Heading2"/>
      </w:pPr>
      <w:r>
        <w:t>Dosing</w:t>
      </w:r>
    </w:p>
    <w:p>
      <w:r>
        <w:t>🎯 Smart Dosing takes each pool and recommends the water in litres plus the A/B/C amounts needed to bring level, EC and pH back to target. A low EC means more A and B; a high pH means more C.</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what the office daily rate paid against what it should be (v21.45)</w:t>
      </w:r>
    </w:p>
    <w:p>
      <w:r>
        <w:t>Payroll ▸ ⚖️ Rate audit is READ-ONLY evidence for a rule decision. The engine builds the office daily rate as half of the monthly basic ÷ the Mon–Fri scheduled days of the cut-off (less regular holidays), about monthly ÷ 22. The owner's rule is monthly basic ÷ the calendar days of the month minus its Sundays, about monthly ÷ 26. The screen takes every APPROVED office line of the year and shows both rates and, item by item, what was paid and what it should be: Sunday premium (paid 130% of the old rate; should = Sunday days × new rate × 100% — that day's basic — or 130%, chosen on the screen), a Saturday signed on a five-day card (paid as a 130% rest day; should = a plain basic day), holiday pay, tardiness and unauthorised-absence deductions (scaled to the new rate).</w:t>
      </w:r>
    </w:p>
    <w:p>
      <w:r>
        <w:t>Δ = paid − should: orange positive = overpaid, teal negative = underpaid. Totals per person, per month and for the year; a cut-off that straddles two months uses the month holding most of its days. Weekly labour has no monthly basic and is not compared. Nothing is changed by this screen: approved runs are frozen and the engine rule stays until the owner decides; then the fix is a new version and the back-pay or recovery is a memo per person.</w:t>
      </w:r>
    </w:p>
    <w:p>
      <w:pPr>
        <w:pStyle w:val="ListNumber"/>
      </w:pPr>
      <w:r>
        <w:t>Payroll ▸ ⚖️ Rate audit</w:t>
      </w:r>
    </w:p>
    <w:p>
      <w:pPr>
        <w:pStyle w:val="ListNumber"/>
      </w:pPr>
      <w:r>
        <w:t>Pick the year and the Sunday % (100 or 130)</w:t>
      </w:r>
    </w:p>
    <w:p>
      <w:pPr>
        <w:pStyle w:val="ListNumber"/>
      </w:pPr>
      <w:r>
        <w:t>Click a name for every cut-off</w:t>
      </w:r>
    </w:p>
    <w:p>
      <w:pPr>
        <w:pStyle w:val="ListNumber"/>
      </w:pPr>
      <w:r>
        <w:t>⬇ Excel: By employee &amp; cut-off, By employee (year), By month, Notes</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