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ABA PARDES AGRITECH CORP. · HydroNexis-AI EIOS</w:t>
      </w:r>
    </w:p>
    <w:p>
      <w:pPr>
        <w:spacing w:after="240"/>
        <w:jc w:val="center"/>
      </w:pPr>
      <w:r>
        <w:rPr>
          <w:b/>
          <w:bCs/>
          <w:color w:val="1F6FD0"/>
          <w:sz w:val="30"/>
          <w:szCs w:val="30"/>
        </w:rPr>
        <w:t xml:space="preserve">R&amp;D &amp; Planning Master Spec v1.0 — DEVELOPER REVIEW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Responding to</w:t>
            </w:r>
          </w:p>
        </w:tc>
        <w:tc>
          <w:tcPr>
            <w:tcW w:type="dxa" w:w="7160"/>
          </w:tcPr>
          <w:p>
            <w:r>
              <w:rPr>
                <w:sz w:val="19"/>
                <w:szCs w:val="19"/>
              </w:rPr>
              <w:t xml:space="preserve">HYDRONEXIS_RND_PLANNING_NEXI_ENGINEERING_MASTER_SPEC v1.0 (2026-08-09)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Response date</w:t>
            </w:r>
          </w:p>
        </w:tc>
        <w:tc>
          <w:tcPr>
            <w:tcW w:type="dxa" w:w="7160"/>
          </w:tcPr>
          <w:p>
            <w:r>
              <w:rPr>
                <w:sz w:val="19"/>
                <w:szCs w:val="19"/>
              </w:rPr>
              <w:t xml:space="preserve">2026-08-09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7160"/>
          </w:tcPr>
          <w:p>
            <w:r>
              <w:rPr>
                <w:sz w:val="19"/>
                <w:szCs w:val="19"/>
              </w:rPr>
              <w:t xml:space="preserve">Claude (EIOS in-host development) — for the incoming R&amp;D platform team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</w:tcPr>
          <w:p>
            <w:r>
              <w:rPr>
                <w:sz w:val="19"/>
                <w:szCs w:val="19"/>
              </w:rPr>
              <w:t xml:space="preserve">Accepted with adaptations proposed below · Release 0 host duties ALREADY DELIVERED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Change-record rule</w:t>
            </w:r>
          </w:p>
        </w:tc>
        <w:tc>
          <w:tcPr>
            <w:tcW w:type="dxa" w:w="7160"/>
          </w:tcPr>
          <w:p>
            <w:r>
              <w:rPr>
                <w:sz w:val="19"/>
                <w:szCs w:val="19"/>
              </w:rPr>
              <w:t xml:space="preserve">All FR/AC/NFR/WF/policy IDs preserved; nothing removed</w:t>
            </w:r>
          </w:p>
        </w:tc>
      </w:tr>
    </w:tbl>
    <w:p>
      <w:pPr>
        <w:pStyle w:val="Heading1"/>
      </w:pPr>
      <w:r>
        <w:t xml:space="preserve">1. Overall position</w:t>
      </w:r>
    </w:p>
    <w:p>
      <w:pPr>
        <w:spacing w:after="120"/>
      </w:pPr>
      <w:r>
        <w:rPr>
          <w:sz w:val="21"/>
          <w:szCs w:val="21"/>
        </w:rPr>
        <w:t xml:space="preserve">The specification is accepted as the implementation contract. The hybrid architecture (§3.1–3.3) is the correct call: the 20 MB single-file host with ~80 stacked injection layers cannot carry professional CAD, OCR, collaborative transactions, durable jobs, or secret-holding AI services. The React/TypeScript studio behind a #hnx-rnd-root mount, FastAPI services, PostgreSQL and private object storage match both the audit findings and the earlier internal design document (docs/rnd-planning-module-design.md in the repository, which the team should read together with this spec — it contains exact line numbers, storage-key schemas and the destructive-trimmer analysis referenced by §22).</w:t>
      </w:r>
    </w:p>
    <w:p>
      <w:pPr>
        <w:pStyle w:val="Heading1"/>
      </w:pPr>
      <w:r>
        <w:t xml:space="preserve">2. Release 0 host duties — delivered today (v14.41-rndprotect)</w:t>
      </w:r>
    </w:p>
    <w:p>
      <w:pPr>
        <w:spacing w:after="120"/>
      </w:pPr>
      <w:r>
        <w:rPr>
          <w:sz w:val="21"/>
          <w:szCs w:val="21"/>
        </w:rPr>
        <w:t xml:space="preserve">The following §14.1 / §14.3 / §3.1 obligations that live inside the existing EIOS host are implemented, tested and deployed with app version 14.41: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460"/>
      </w:tblGrid>
      <w:tr>
        <w:tc>
          <w:tcPr>
            <w:tcW w:type="dxa" w:w="130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 ref</w:t>
            </w:r>
          </w:p>
        </w:tc>
        <w:tc>
          <w:tcPr>
            <w:tcW w:type="dxa" w:w="260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Obligation</w:t>
            </w:r>
          </w:p>
        </w:tc>
        <w:tc>
          <w:tcPr>
            <w:tcW w:type="dxa" w:w="546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Delivered implementation</w:t>
            </w:r>
          </w:p>
        </w:tc>
      </w:tr>
      <w:tr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§14.3 / audit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Stop silent deletion of legacy R&amp;D data</w:t>
            </w:r>
          </w:p>
        </w:tc>
        <w:tc>
          <w:tcPr>
            <w:tcW w:type="dxa" w:w="5460"/>
          </w:tcPr>
          <w:p>
            <w:r>
              <w:rPr>
                <w:sz w:val="19"/>
                <w:szCs w:val="19"/>
              </w:rPr>
              <w:t xml:space="preserve">The v26 (15-min) and v27 (10-min) automatic cleaners no longer touch hydroPro_rnd_* data. Drawing geometry verified intact after both cleaners run.</w:t>
            </w:r>
          </w:p>
        </w:tc>
      </w:tr>
      <w:tr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§14.3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Guard remaining destructive actions</w:t>
            </w:r>
          </w:p>
        </w:tc>
        <w:tc>
          <w:tcPr>
            <w:tcW w:type="dxa" w:w="5460"/>
          </w:tcPr>
          <w:p>
            <w:r>
              <w:rPr>
                <w:sz w:val="19"/>
                <w:szCs w:val="19"/>
              </w:rPr>
              <w:t xml:space="preserve">The manual "Shrink R&amp;D items" button now requires typing DELETE, downloads a full backup first, and writes an audit entry.</w:t>
            </w:r>
          </w:p>
        </w:tc>
      </w:tr>
      <w:tr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§14.1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Read-after-write validation on current save paths</w:t>
            </w:r>
          </w:p>
        </w:tc>
        <w:tc>
          <w:tcPr>
            <w:tcW w:type="dxa" w:w="5460"/>
          </w:tcPr>
          <w:p>
            <w:r>
              <w:rPr>
                <w:sz w:val="19"/>
                <w:szCs w:val="19"/>
              </w:rPr>
              <w:t xml:space="preserve">Every hydroPro_rnd_* localStorage write is read back and length-verified; a mismatch (the quota failure mode) raises a persistent red banner instructing an immediate backup, and is audited.</w:t>
            </w:r>
          </w:p>
        </w:tc>
      </w:tr>
      <w:tr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§14.1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Inventory of legacy keys with hashes</w:t>
            </w:r>
          </w:p>
        </w:tc>
        <w:tc>
          <w:tcPr>
            <w:tcW w:type="dxa" w:w="5460"/>
          </w:tcPr>
          <w:p>
            <w:r>
              <w:rPr>
                <w:sz w:val="19"/>
                <w:szCs w:val="19"/>
              </w:rPr>
              <w:t xml:space="preserve">📦 "Backup R&amp;D data" button in the R&amp;D view exports one JSON containing every hydroPro_rnd_* key: bytes, record counts and FNV-1a hashes — the reconciliation baseline for §14.2 migration.</w:t>
            </w:r>
          </w:p>
        </w:tc>
      </w:tr>
      <w:tr>
        <w:tc>
          <w:tcPr>
            <w:tcW w:type="dxa" w:w="1300"/>
          </w:tcPr>
          <w:p>
            <w:r>
              <w:rPr>
                <w:sz w:val="19"/>
                <w:szCs w:val="19"/>
              </w:rPr>
              <w:t xml:space="preserve">§3.1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Thin mount adapter, no new injection layers</w:t>
            </w:r>
          </w:p>
        </w:tc>
        <w:tc>
          <w:tcPr>
            <w:tcW w:type="dxa" w:w="5460"/>
          </w:tcPr>
          <w:p>
            <w:r>
              <w:rPr>
                <w:sz w:val="19"/>
                <w:szCs w:val="19"/>
              </w:rPr>
              <w:t xml:space="preserve">#hnx-rnd-root div is created inside the existing R&amp;D view; window.HNX_RND_ADAPTER v1 exposes user(), can(), navigate(), toast(), legacyKeys(); setting hydroPro_rnd_bundle_url loads the compiled bundle. The injection freeze is declared in the adapter (frozen:true) and honored — all future R&amp;D work must arrive as the compiled bundle.</w:t>
            </w:r>
          </w:p>
        </w:tc>
      </w:tr>
    </w:tbl>
    <w:p>
      <w:pPr>
        <w:pStyle w:val="Heading1"/>
      </w:pPr>
      <w:r>
        <w:t xml:space="preserve">3. Proposed adaptations (for approval — none remove spec IDs)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900"/>
        <w:gridCol w:w="3160"/>
      </w:tblGrid>
      <w:tr>
        <w:tc>
          <w:tcPr>
            <w:tcW w:type="dxa" w:w="50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 area</w:t>
            </w:r>
          </w:p>
        </w:tc>
        <w:tc>
          <w:tcPr>
            <w:tcW w:type="dxa" w:w="390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Proposal</w:t>
            </w:r>
          </w:p>
        </w:tc>
        <w:tc>
          <w:tcPr>
            <w:tcW w:type="dxa" w:w="3160"/>
            <w:shd w:fill="2F5D8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§3.3 Object storage</w:t>
            </w:r>
          </w:p>
        </w:tc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Reuse the existing Cloudflare account (current hnx-sync worker + R2) as the S3-compatible store with short-lived signed URLs served by the new API</w:t>
            </w:r>
          </w:p>
        </w:tc>
        <w:tc>
          <w:tcPr>
            <w:tcW w:type="dxa" w:w="3160"/>
          </w:tcPr>
          <w:p>
            <w:r>
              <w:rPr>
                <w:sz w:val="19"/>
                <w:szCs w:val="19"/>
              </w:rPr>
              <w:t xml:space="preserve">One vendor, credentials already provisioned; R2 scene versioning partially exists in the legacy module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§3.3 Realtime</w:t>
            </w:r>
          </w:p>
        </w:tc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Start with Cloudflare Durable Objects / WebSocket on the same account before introducing a separate realtime stack</w:t>
            </w:r>
          </w:p>
        </w:tc>
        <w:tc>
          <w:tcPr>
            <w:tcW w:type="dxa" w:w="3160"/>
          </w:tcPr>
          <w:p>
            <w:r>
              <w:rPr>
                <w:sz w:val="19"/>
                <w:szCs w:val="19"/>
              </w:rPr>
              <w:t xml:space="preserve">Smaller ops surface for a small team; upgrade path stays open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§7.14 EIOS integrations</w:t>
            </w:r>
          </w:p>
        </w:tc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Phase EIOS event-bus consumers: Tasks and Documents first, Finance/Procurement after Release 1D</w:t>
            </w:r>
          </w:p>
        </w:tc>
        <w:tc>
          <w:tcPr>
            <w:tcW w:type="dxa" w:w="3160"/>
          </w:tcPr>
          <w:p>
            <w:r>
              <w:rPr>
                <w:sz w:val="19"/>
                <w:szCs w:val="19"/>
              </w:rPr>
              <w:t xml:space="preserve">The legacy task-link API has zero callers today (audit); wiring all nine consumers at once risks the Release 1 date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§14.2 Migration</w:t>
            </w:r>
          </w:p>
        </w:tc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Use the 📦 backup JSON (counts + FNV-1a hashes) as the canonical source for the ID-mapping table</w:t>
            </w:r>
          </w:p>
        </w:tc>
        <w:tc>
          <w:tcPr>
            <w:tcW w:type="dxa" w:w="3160"/>
          </w:tcPr>
          <w:p>
            <w:r>
              <w:rPr>
                <w:sz w:val="19"/>
                <w:szCs w:val="19"/>
              </w:rPr>
              <w:t xml:space="preserve">Already exported from production devices; deterministic and reproducible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§16 Acceptance</w:t>
            </w:r>
          </w:p>
        </w:tc>
        <w:tc>
          <w:tcPr>
            <w:tcW w:type="dxa" w:w="3900"/>
          </w:tcPr>
          <w:p>
            <w:r>
              <w:rPr>
                <w:sz w:val="19"/>
                <w:szCs w:val="19"/>
              </w:rPr>
              <w:t xml:space="preserve">Add one explicit acceptance test: "auto-cleaners run twice; every legacy scene byte-identical"</w:t>
            </w:r>
          </w:p>
        </w:tc>
        <w:tc>
          <w:tcPr>
            <w:tcW w:type="dxa" w:w="3160"/>
          </w:tcPr>
          <w:p>
            <w:r>
              <w:rPr>
                <w:sz w:val="19"/>
                <w:szCs w:val="19"/>
              </w:rPr>
              <w:t xml:space="preserve">Regression-locks the data-loss fix delivered in Release 0</w:t>
            </w:r>
          </w:p>
        </w:tc>
      </w:tr>
    </w:tbl>
    <w:p>
      <w:pPr>
        <w:pStyle w:val="Heading1"/>
      </w:pPr>
      <w:r>
        <w:t xml:space="preserve">4. Risks the team must plan around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localStorage quota remains the live constraint until Release 1A ships — the cleaners are off, so large new drawings can now hit hard save failures; the red banner + backup flow is the mitigation, not a fix. Prioritize moving scene payloads to object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Cloud sync semantics: id-carrying arrays merge per-id newest-wins, id-less objects deep-union, scalars adopt cloud copy. Any interim host-side feature must respect this or data resurrects/reverts (see resolved incidents: employee tombstones v14.29, seedling folds v14.39).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Per §12, browser code must never hold AI or R2 secrets — the current legacy module and the speech worker pattern (Bearer token, server-side model call) is the template.</w:t>
      </w:r>
    </w:p>
    <w:p>
      <w:pPr>
        <w:pStyle w:val="Heading1"/>
      </w:pPr>
      <w:r>
        <w:t xml:space="preserve">5. Verification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Automated browser test: 8 R&amp;D items with 50-object scenes seeded; v26 runAutoClean and v27 runAggressive executed; all scenes verified intact (previously stripped to top-3).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Backup export verified: JSON with per-key bytes, record counts, FNV-1a hashes downloads and parses.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Adapter verified: HNX_RND_ADAPTER present, frozen=true, legacyKeys() enumerates hydroPro_rnd_* keys; #hnx-rnd-root mounts inside view-rnd_home.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Read-after-write: normal saves raise no banner (no false alarms); mismatch path unit-verified.</w:t>
      </w:r>
    </w:p>
    <w:p>
      <w:pPr>
        <w:pStyle w:val="Heading1"/>
      </w:pPr>
      <w:r>
        <w:t xml:space="preserve">6. Requested decisions from Product Owner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Approve adaptations A1–A5 above (or mark individually).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Confirm the pilot user set for §14.2 step 4 (read-only migrated projects validation).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Provide the private-cloud environment credentials for Release 0 backend foundations (PostgreSQL, object storage, CI/CD) to the platform team.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Prepared inside the EIOS host per §22 starting points. This response accompanies commit history on branch claude/logistic-3ldcgz and the design document docs/rnd-planning-module-design.md.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2026-08-09T04:57:10.425Z</dcterms:created>
  <dcterms:modified xsi:type="dcterms:W3CDTF">2026-08-09T04:57:10.425Z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