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DejaVu Sans Mono" w:hAnsi="DejaVu Sans Mono" w:cs="DejaVu Sans Mono"/>
          <w:b/>
          <w:color w:val="143454"/>
          <w:sz w:val="44"/>
        </w:rPr>
        <w:t>Portfolio, Capital Allocation and Market Regime v0.1</w:t>
      </w:r>
    </w:p>
    <w:p>
      <w:pPr>
        <w:pStyle w:val="Subtitle"/>
        <w:bidi/>
        <w:spacing w:after="140"/>
        <w:jc w:val="right"/>
      </w:pPr>
      <w:r>
        <w:rPr>
          <w:rFonts w:ascii="Arial" w:hAnsi="Arial" w:cs="Arial"/>
          <w:b w:val="0"/>
          <w:color w:val="4B5563"/>
          <w:sz w:val="28"/>
        </w:rPr>
        <w:t>הקצאת הון, מניעת כפילות והתאמת אסטרטגיות לתנאי שוק</w:t>
      </w:r>
    </w:p>
    <w:p>
      <w:pPr>
        <w:bidi/>
        <w:spacing w:after="20"/>
        <w:jc w:val="right"/>
      </w:pPr>
      <w:r>
        <w:rPr>
          <w:rFonts w:ascii="Arial" w:hAnsi="Arial" w:cs="Arial"/>
          <w:b w:val="0"/>
          <w:sz w:val="20"/>
        </w:rPr>
        <w:t>תאריך: 5 ביולי 2026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sz w:val="20"/>
        </w:rPr>
        <w:t>סטטוס: Baseline Candidate פנימי; טרם נמסר ל-Claude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2F0D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Strategy טובה ברמת מניה יכולה להיות עסקה רעה ברמת התיק אם היא מכפילה סקטור, מקור או סיכון שכבר קיים. Portfolio Engine פועל לאחר Fusion ולפני Risk sizing סופי.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1. מטרות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לנהל Risk Budgets בין אסטרטגיות ומודלים.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למנוע כפילויות ופוזיציות סותרות.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למדוד חשיפה לסקטור, Theme ו-Correlation Cluster.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להפעיל אסטרטגיות בהתאם למשטר שוק.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לשמור על Cash/Capacity ולא לכפות שימוש בהון.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2. Portfolio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005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מדד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תיאור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NAV / Risk Budget Equity</w:t>
            </w:r>
          </w:p>
        </w:tc>
        <w:tc>
          <w:tcPr>
            <w:tcW w:type="dxa" w:w="680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הון ייחוס קנוני.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Open Risk</w:t>
            </w:r>
          </w:p>
        </w:tc>
        <w:tc>
          <w:tcPr>
            <w:tcW w:type="dxa" w:w="680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הפסד מתוכנן עד Stops.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Gross/Net Notional</w:t>
            </w:r>
          </w:p>
        </w:tc>
        <w:tc>
          <w:tcPr>
            <w:tcW w:type="dxa" w:w="680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חשיפה כספית.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Cash/Buying Power</w:t>
            </w:r>
          </w:p>
        </w:tc>
        <w:tc>
          <w:tcPr>
            <w:tcW w:type="dxa" w:w="680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יכולת ביצוע.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Sector/Theme Exposure</w:t>
            </w:r>
          </w:p>
        </w:tc>
        <w:tc>
          <w:tcPr>
            <w:tcW w:type="dxa" w:w="680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חשיפה מצטברת.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Correlation Exposure</w:t>
            </w:r>
          </w:p>
        </w:tc>
        <w:tc>
          <w:tcPr>
            <w:tcW w:type="dxa" w:w="680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אשכולות נכסים דומים.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Strategy Allocation</w:t>
            </w:r>
          </w:p>
        </w:tc>
        <w:tc>
          <w:tcPr>
            <w:tcW w:type="dxa" w:w="680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Risk budget ו-usage לכל Strategy.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 Concentration</w:t>
            </w:r>
          </w:p>
        </w:tc>
        <w:tc>
          <w:tcPr>
            <w:tcW w:type="dxa" w:w="6803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תלות במקור/ערוץ/מודל.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3. Capital Allocation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Strategy מקבלת risk budget share, max open positions ו-priority.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Unused budget אינו מועבר אוטומטית לאסטרטגיה אחרת ללא Policy.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Portfolio Engine יכול להקטין Quantity אך לא להגדיל מעבר ל-Risk Engine.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Cash reserve ו-emergency capacity נשמרים לפי Policy.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4. Conflict and Duplicate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3231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תרחיש</w:t>
            </w:r>
          </w:p>
        </w:tc>
        <w:tc>
          <w:tcPr>
            <w:tcW w:type="dxa" w:w="6576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תגובה</w:t>
            </w:r>
          </w:p>
        </w:tc>
      </w:tr>
      <w:tr>
        <w:tc>
          <w:tcPr>
            <w:tcW w:type="dxa" w:w="3231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שתי אסטרטגיות Long לאותו Symbol</w:t>
            </w:r>
          </w:p>
        </w:tc>
        <w:tc>
          <w:tcPr>
            <w:tcW w:type="dxa" w:w="657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בחירת Winner או מיזוג Evidence; Position אחת בלבד ב-MVP.</w:t>
            </w:r>
          </w:p>
        </w:tc>
      </w:tr>
      <w:tr>
        <w:tc>
          <w:tcPr>
            <w:tcW w:type="dxa" w:w="3231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אות Long מול Exit/Negative thesis</w:t>
            </w:r>
          </w:p>
        </w:tc>
        <w:tc>
          <w:tcPr>
            <w:tcW w:type="dxa" w:w="657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Exit/Veto גובר; אין כניסה חדשה.</w:t>
            </w:r>
          </w:p>
        </w:tc>
      </w:tr>
      <w:tr>
        <w:tc>
          <w:tcPr>
            <w:tcW w:type="dxa" w:w="3231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אותות מאותו News Cluster</w:t>
            </w:r>
          </w:p>
        </w:tc>
        <w:tc>
          <w:tcPr>
            <w:tcW w:type="dxa" w:w="657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אינם נחשבים אישורים עצמאיים.</w:t>
            </w:r>
          </w:p>
        </w:tc>
      </w:tr>
      <w:tr>
        <w:tc>
          <w:tcPr>
            <w:tcW w:type="dxa" w:w="3231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שני Symbols באותו Correlation Cluster</w:t>
            </w:r>
          </w:p>
        </w:tc>
        <w:tc>
          <w:tcPr>
            <w:tcW w:type="dxa" w:w="657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הקטנת Quantity או דחייה לפי cap.</w:t>
            </w:r>
          </w:p>
        </w:tc>
      </w:tr>
      <w:tr>
        <w:tc>
          <w:tcPr>
            <w:tcW w:type="dxa" w:w="3231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פוזיציה קיימת עם Update</w:t>
            </w:r>
          </w:p>
        </w:tc>
        <w:tc>
          <w:tcPr>
            <w:tcW w:type="dxa" w:w="6576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Position Coordinator מחליט; אין Order מקביל.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5. Market Regime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324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Regime</w:t>
            </w:r>
          </w:p>
        </w:tc>
        <w:tc>
          <w:tcPr>
            <w:tcW w:type="dxa" w:w="3855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מאפיינים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השפעה</w:t>
            </w:r>
          </w:p>
        </w:tc>
      </w:tr>
      <w:tr>
        <w:tc>
          <w:tcPr>
            <w:tcW w:type="dxa" w:w="232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TRENDING_RISK_ON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מדדים, breadth ו-sector momentum חיוביים.</w:t>
            </w:r>
          </w:p>
        </w:tc>
        <w:tc>
          <w:tcPr>
            <w:tcW w:type="dxa" w:w="362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Breakout/continuation פעילים יותר.</w:t>
            </w:r>
          </w:p>
        </w:tc>
      </w:tr>
      <w:tr>
        <w:tc>
          <w:tcPr>
            <w:tcW w:type="dxa" w:w="232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RANGE_BOUND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מגמה חלשה ו-reversion.</w:t>
            </w:r>
          </w:p>
        </w:tc>
        <w:tc>
          <w:tcPr>
            <w:tcW w:type="dxa" w:w="362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Breakout מופחת; mean-reversion עתידי.</w:t>
            </w:r>
          </w:p>
        </w:tc>
      </w:tr>
      <w:tr>
        <w:tc>
          <w:tcPr>
            <w:tcW w:type="dxa" w:w="232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HIGH_VOLATILITY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ATR/VIX-like measures ו-gaps גבוהים.</w:t>
            </w:r>
          </w:p>
        </w:tc>
        <w:tc>
          <w:tcPr>
            <w:tcW w:type="dxa" w:w="362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Risk קטן, liquidity gates גבוהים.</w:t>
            </w:r>
          </w:p>
        </w:tc>
      </w:tr>
      <w:tr>
        <w:tc>
          <w:tcPr>
            <w:tcW w:type="dxa" w:w="232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RISK_OFF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breadth שלילי, correlation עולה.</w:t>
            </w:r>
          </w:p>
        </w:tc>
        <w:tc>
          <w:tcPr>
            <w:tcW w:type="dxa" w:w="362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Entry budgets מצטמצמים או Halt.</w:t>
            </w:r>
          </w:p>
        </w:tc>
      </w:tr>
      <w:tr>
        <w:tc>
          <w:tcPr>
            <w:tcW w:type="dxa" w:w="232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EVENT_STRESS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מאקרו/חדשות מערכתיות.</w:t>
            </w:r>
          </w:p>
        </w:tc>
        <w:tc>
          <w:tcPr>
            <w:tcW w:type="dxa" w:w="362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Manual/Shadow לפי Policy.</w:t>
            </w:r>
          </w:p>
        </w:tc>
      </w:tr>
      <w:tr>
        <w:tc>
          <w:tcPr>
            <w:tcW w:type="dxa" w:w="232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UNKNOWN</w:t>
            </w:r>
          </w:p>
        </w:tc>
        <w:tc>
          <w:tcPr>
            <w:tcW w:type="dxa" w:w="385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נתונים חסרים או Confidence נמוך.</w:t>
            </w:r>
          </w:p>
        </w:tc>
        <w:tc>
          <w:tcPr>
            <w:tcW w:type="dxa" w:w="362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5"/>
              </w:rPr>
              <w:t>Reduced/Manual; לא מניחים מצב רגיל.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6. Regime Contract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{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"regime": "TRENDING_RISK_ON",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"confidence_state": "HEURISTIC|CALIBRATED",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"score": 0.81,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"observed_at": "...",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"valid_until": "...",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"evidence": [...],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"model_version": "regime.heuristic.v1"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}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7. Events and Calendars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Earnings, splits, dividends, major macro releases ו-market holidays נשמרים כ-Calendar Events.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Strategy מגדירה האם אירוע הוא VETO, SOFT_SCORE או CONTEXT.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ימים מקוצרים ו-DST מגיעים מ-Trading Calendar סמכותי.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Corporate action unresolved גורם Symbol Halt עד Reconciliation.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8. Portfolio Pre-Check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Candidate + Proposed Trade Plan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existing positions/orders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strategy budget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symbol/sector/theme/correlation caps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regime compatibility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 xml:space="preserve">  -&gt; portfolio action: ALLOW | REDUCE | MANUAL | REJECT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9. Monitoring and UI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Portfolio Cockpit מציג exposure, open risk, capacity ו-reasons for reduction.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Regime panel מציג history ו-compatible strategies.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Alerts מופקים עבור concentration, correlation spike, budget exhaustion ו-regime uncertainty.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10. Acceptance Criteria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שתי פוזיציות עצמאיות לאותו Symbol ב-MVP.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סכום Budgets אינו חורג מ-Safety Envelope.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Quantity reduction מוסברת ומבוססת Policy version.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UNKNOWN regime אינו מטופל כ-NORMAL.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Corporate action unresolved חוסם כניסה חדשה.</w:t>
      </w:r>
    </w:p>
    <w:sectPr w:rsidR="00FC693F" w:rsidRPr="0006063C" w:rsidSect="00034616">
      <w:footerReference w:type="default" r:id="rId9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sz w:val="16"/>
      </w:rPr>
      <w:t>Portfolio, Capital Allocation and Market Regime v0.1 | מערכת מסחר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45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434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