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Eyal Espresso Server Simulator Requirements and Design</w:t>
      </w:r>
    </w:p>
    <w:p>
      <w:r>
        <w:t>Document Status: Working Baseline</w:t>
      </w:r>
    </w:p>
    <w:p>
      <w:r>
        <w:t>Version: 0.1.4</w:t>
      </w:r>
    </w:p>
    <w:p>
      <w:r>
        <w:t>Reviewed on: 11-Mar-26 11:47:51</w:t>
      </w:r>
    </w:p>
    <w:p/>
    <w:p>
      <w:r>
        <w:t>1. Product Overview</w:t>
      </w:r>
    </w:p>
    <w:p>
      <w:r>
        <w:t>Purpose: Simulate the Gaggia controller side of the espresso system and expose test and operator controls through FastAPI.</w:t>
      </w:r>
    </w:p>
    <w:p/>
    <w:p>
      <w:r>
        <w:t>2. Functional Requirements</w:t>
      </w:r>
    </w:p>
    <w:p>
      <w:r>
        <w:t>FR-001: The simulator shall own one serial COM interface through a single background transport manager.</w:t>
      </w:r>
    </w:p>
    <w:p>
      <w:r>
        <w:t>FR-002: The simulator shall expose get and set operations through FastAPI endpoints.</w:t>
      </w:r>
    </w:p>
    <w:p>
      <w:r>
        <w:t>FR-003: The simulator shall provide controller telemetry and command logging.</w:t>
      </w:r>
    </w:p>
    <w:p>
      <w:r>
        <w:t>FR-004: The simulator backend shall be started through a deterministic repo-local launcher that runs uvicorn from the repository root.</w:t>
      </w:r>
    </w:p>
    <w:p>
      <w:r>
        <w:t>FR-005: The simulator shall prefer the repository virtual environment interpreter before any global Python installation.</w:t>
      </w:r>
    </w:p>
    <w:p>
      <w:r>
        <w:t>FR-006: The backend launch flow shall preserve stdout and stderr visibility or redirect them into repo-local logs for diagnosis.</w:t>
      </w:r>
    </w:p>
    <w:p>
      <w:r>
        <w:t>FR-007: The simulator UI shall open only after a concrete readiness check succeeds, including a successful GET /health response.</w:t>
      </w:r>
    </w:p>
    <w:p>
      <w:r>
        <w:t>FR-008: The launch design shall treat backend correctness separately from editor, sandbox, or task-runner process lifetime.</w:t>
      </w:r>
    </w:p>
    <w:p/>
    <w:p>
      <w:r>
        <w:t>3. Architecture Notes</w:t>
      </w:r>
    </w:p>
    <w:p>
      <w:r>
        <w:t>Modules: API layer, serial transport layer, simulator state machine, and tests.</w:t>
      </w:r>
    </w:p>
    <w:p>
      <w:r>
        <w:t>Runtime Stack: Python, FastAPI, pyserial, and uvicorn.</w:t>
      </w:r>
    </w:p>
    <w:p>
      <w:r>
        <w:t>Launch Design: use scripts\run_simulator.ps1 as the deterministic launcher so uvicorn starts from the repository root with the local .venv when available.</w:t>
      </w:r>
    </w:p>
    <w:p>
      <w:r>
        <w:t>Supervision Rule: if the backend must outlive the initiating shell, run it under a stable supervising host rather than a transient detached task.</w:t>
      </w:r>
    </w:p>
    <w:p>
      <w:r>
        <w:t>Readiness Rule: do not open the browser until the backend proves readiness through GET /health.</w:t>
      </w:r>
    </w:p>
    <w:p>
      <w:r>
        <w:t>Frontend Freshness Rule: use a cache-busting URL or equivalent fresh-load behavior when opening the UI.</w:t>
      </w:r>
    </w:p>
    <w:p>
      <w:r>
        <w:t>Best-Practice Rationale: use a deterministic launcher or service wrapper, capture stdout and stderr, require a concrete readiness signal, supervise long-lived processes with a stable host, and separate application correctness from tool lifetime.</w:t>
      </w:r>
    </w:p>
    <w:sectPr>
      <w:pgSz w:w="12240" w:h="15840"/>
      <w:pgMar w:top="1440" w:right="1440" w:bottom="1440" w:left="1440" w:header="708" w:footer="708" w:gutter="0"/>
    </w:sectPr>
  </w:body>
</w:document>
</file>