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8"/>
          <w:szCs w:val="48"/>
        </w:rPr>
        <w:t xml:space="preserve">Week 5 — Smoothing Filters</w:t>
      </w:r>
    </w:p>
    <w:p>
      <w:pPr>
        <w:spacing w:before="0" w:after="60"/>
        <w:jc w:val="center"/>
      </w:pPr>
      <w:r>
        <w:rPr>
          <w:rFonts w:ascii="Arial" w:cs="Arial" w:eastAsia="Arial" w:hAnsi="Arial"/>
          <w:color w:val="2E74B5"/>
          <w:sz w:val="28"/>
          <w:szCs w:val="28"/>
        </w:rPr>
        <w:t xml:space="preserve">SuperSmoother 2-Pole, 3-Pole &amp; Ultimate Smoother</w:t>
      </w:r>
    </w:p>
    <w:p>
      <w:pPr>
        <w:spacing w:before="0" w:after="360"/>
        <w:jc w:val="center"/>
      </w:pPr>
      <w:r>
        <w:rPr>
          <w:rFonts w:ascii="Arial" w:cs="Arial" w:eastAsia="Arial" w:hAnsi="Arial"/>
          <w:i/>
          <w:iCs/>
          <w:color w:val="666666"/>
          <w:sz w:val="22"/>
          <w:szCs w:val="22"/>
        </w:rPr>
        <w:t xml:space="preserve">FX &amp; Crypto Algorithmic Trading — Phase 2 Indicator Deep Dive</w:t>
      </w:r>
    </w:p>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1. Week Overview</w:t>
      </w:r>
    </w:p>
    <w:p>
      <w:pPr>
        <w:spacing w:before="60" w:after="60"/>
      </w:pPr>
      <w:r>
        <w:rPr>
          <w:rFonts w:ascii="Arial" w:cs="Arial" w:eastAsia="Arial" w:hAnsi="Arial"/>
          <w:sz w:val="22"/>
          <w:szCs w:val="22"/>
        </w:rPr>
        <w:t xml:space="preserve">Week 5 covered Ehlers' foundational smoothing filter family — the building blocks that appear inside MAMA, Cyber Cycle, Roofing Filter, and most other indicators in the Weeks 6-14 plan. Three indicators were implemented, validated on EUR/USD D1 and BTC/USD H4, and approved for library entry.</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NNFX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SuperSmoother 2-pole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SuperSmoother2Pole.c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 preprocessing / Baseline smoothing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SuperSmoother 3-pole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SuperSmoother3Pole.c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VALIDATED ✅</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 smoothing / Oscillator pre-filter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Ultimate Smoother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UltimateSmoother.c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following (lag-critical contexts)</w:t>
            </w:r>
          </w:p>
        </w:tc>
      </w:tr>
    </w:tbl>
    <w:p>
      <w:pPr>
        <w:spacing w:before="120" w:after="0"/>
      </w:pPr>
    </w:p>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2. Core Theory (Days 1-2)</w:t>
      </w:r>
    </w:p>
    <w:p>
      <w:pPr>
        <w:pStyle w:val="Heading2"/>
        <w:spacing w:before="240" w:after="80"/>
      </w:pPr>
      <w:r>
        <w:rPr>
          <w:rFonts w:ascii="Arial" w:cs="Arial" w:eastAsia="Arial" w:hAnsi="Arial"/>
          <w:b/>
          <w:bCs/>
          <w:color w:val="2E74B5"/>
          <w:sz w:val="28"/>
          <w:szCs w:val="28"/>
        </w:rPr>
        <w:t xml:space="preserve">2.1 The Smoothing vs Lag Tradeoff</w:t>
      </w:r>
    </w:p>
    <w:p>
      <w:pPr>
        <w:spacing w:before="60" w:after="60"/>
      </w:pPr>
      <w:r>
        <w:rPr>
          <w:rFonts w:ascii="Arial" w:cs="Arial" w:eastAsia="Arial" w:hAnsi="Arial"/>
          <w:sz w:val="22"/>
          <w:szCs w:val="22"/>
        </w:rPr>
        <w:t xml:space="preserve">Every moving average faces the same fundamental constraint: smooth more and you introduce lag; reduce lag and you let noise through. Ehlers approaches this from a DSP (Digital Signal Processing) perspective — price is treated as a signal, and the goal is to design a principled low-pass filter rather than an ad-hoc averaging rule.</w:t>
      </w:r>
    </w:p>
    <w:p>
      <w:pPr>
        <w:pStyle w:val="Heading2"/>
        <w:spacing w:before="240" w:after="80"/>
      </w:pPr>
      <w:r>
        <w:rPr>
          <w:rFonts w:ascii="Arial" w:cs="Arial" w:eastAsia="Arial" w:hAnsi="Arial"/>
          <w:b/>
          <w:bCs/>
          <w:color w:val="2E74B5"/>
          <w:sz w:val="28"/>
          <w:szCs w:val="28"/>
        </w:rPr>
        <w:t xml:space="preserve">2.2 Frequencies vs Periods</w:t>
      </w:r>
    </w:p>
    <w:p>
      <w:pPr>
        <w:spacing w:before="60" w:after="60"/>
      </w:pPr>
      <w:r>
        <w:rPr>
          <w:rFonts w:ascii="Arial" w:cs="Arial" w:eastAsia="Arial" w:hAnsi="Arial"/>
          <w:sz w:val="22"/>
          <w:szCs w:val="22"/>
        </w:rPr>
        <w:t xml:space="preserve">Frequency (f) and period (T) are reciprocals: f = 1/T. A 20-bar cycle has frequency 0.05 cycles/bar. A low-pass filter with cutoff period 20 passes everything slower than 20 bars (frequency &lt; 0.05) and blocks everything faster. The Nyquist limit — the fastest detectable cycle — is 2 bars (0.5 cycles/bar). Anything faster is aliased noise.</w:t>
      </w:r>
    </w:p>
    <w:p>
      <w:pPr>
        <w:pStyle w:val="Heading2"/>
        <w:spacing w:before="240" w:after="80"/>
      </w:pPr>
      <w:r>
        <w:rPr>
          <w:rFonts w:ascii="Arial" w:cs="Arial" w:eastAsia="Arial" w:hAnsi="Arial"/>
          <w:b/>
          <w:bCs/>
          <w:color w:val="2E74B5"/>
          <w:sz w:val="28"/>
          <w:szCs w:val="28"/>
        </w:rPr>
        <w:t xml:space="preserve">2.3 IIR vs FIR Filters</w:t>
      </w:r>
    </w:p>
    <w:p>
      <w:pPr>
        <w:spacing w:before="60" w:after="60"/>
      </w:pPr>
      <w:r>
        <w:rPr>
          <w:rFonts w:ascii="Arial" w:cs="Arial" w:eastAsia="Arial" w:hAnsi="Arial"/>
          <w:sz w:val="22"/>
          <w:szCs w:val="22"/>
        </w:rPr>
        <w:t xml:space="preserve">FIR filters (e.g. SMA) depend only on past price inputs. To achieve good smoothing they need long windows, which means high lag. IIR filters feed previous output values back into the current output — this feedback gives the filter a memory that decays gradually, allowing sharp frequency cutoff with very few coefficients and much less lag. EMA is the simplest IIR filter (1-pole). SuperSmoother is a 2-pole or 3-pole IIR.</w:t>
      </w:r>
    </w:p>
    <w:p>
      <w:pPr>
        <w:pStyle w:val="Heading2"/>
        <w:spacing w:before="240" w:after="80"/>
      </w:pPr>
      <w:r>
        <w:rPr>
          <w:rFonts w:ascii="Arial" w:cs="Arial" w:eastAsia="Arial" w:hAnsi="Arial"/>
          <w:b/>
          <w:bCs/>
          <w:color w:val="2E74B5"/>
          <w:sz w:val="28"/>
          <w:szCs w:val="28"/>
        </w:rPr>
        <w:t xml:space="preserve">2.4 Butterworth Design</w:t>
      </w:r>
    </w:p>
    <w:p>
      <w:pPr>
        <w:spacing w:before="60" w:after="60"/>
      </w:pPr>
      <w:r>
        <w:rPr>
          <w:rFonts w:ascii="Arial" w:cs="Arial" w:eastAsia="Arial" w:hAnsi="Arial"/>
          <w:sz w:val="22"/>
          <w:szCs w:val="22"/>
        </w:rPr>
        <w:t xml:space="preserve">Butterworth filters are designed to be maximally flat in the passband — frequencies below the cutoff pass through with minimal distortion, no ripple, no artificial amplification. This is the ideal choice for price data because it preserves signal shape without introducing artifacts that could look like trading signals. The √2 constant in the 2-pole formula and √3 in the 3-pole formula are the specific Butterworth design constants for each filter order.</w:t>
      </w:r>
    </w:p>
    <w:p>
      <w:pPr>
        <w:pStyle w:val="Heading2"/>
        <w:spacing w:before="240" w:after="80"/>
      </w:pPr>
      <w:r>
        <w:rPr>
          <w:rFonts w:ascii="Arial" w:cs="Arial" w:eastAsia="Arial" w:hAnsi="Arial"/>
          <w:b/>
          <w:bCs/>
          <w:color w:val="2E74B5"/>
          <w:sz w:val="28"/>
          <w:szCs w:val="28"/>
        </w:rPr>
        <w:t xml:space="preserve">2.5 Poles and Rolloff Steepness</w:t>
      </w:r>
    </w:p>
    <w:p>
      <w:pPr>
        <w:spacing w:before="60" w:after="60"/>
      </w:pPr>
      <w:r>
        <w:rPr>
          <w:rFonts w:ascii="Arial" w:cs="Arial" w:eastAsia="Arial" w:hAnsi="Arial"/>
          <w:sz w:val="22"/>
          <w:szCs w:val="22"/>
        </w:rPr>
        <w:t xml:space="preserve">Each additional pole adds -20 dB/decade of rolloff steepness above the cutoff frequency. A 2-pole filter rolls off at -40 dB/decade; a 3-pole at -60 dB/decade. Concretely: at 10x the cutoff frequency, the 2-pole reduces noise to 1% amplitude; the 3-pole reduces it to 0.1%. More poles = steeper noise rejection = slightly more lag.</w:t>
      </w:r>
    </w:p>
    <w:p>
      <w:pPr>
        <w:pStyle w:val="Heading2"/>
        <w:spacing w:before="240" w:after="80"/>
      </w:pPr>
      <w:r>
        <w:rPr>
          <w:rFonts w:ascii="Arial" w:cs="Arial" w:eastAsia="Arial" w:hAnsi="Arial"/>
          <w:b/>
          <w:bCs/>
          <w:color w:val="2E74B5"/>
          <w:sz w:val="28"/>
          <w:szCs w:val="28"/>
        </w:rPr>
        <w:t xml:space="preserve">2.6 The 2-Pole Formula — Coefficient by Coefficient</w:t>
      </w:r>
    </w:p>
    <w:p>
      <w:pPr>
        <w:spacing w:before="60" w:after="60"/>
      </w:pPr>
      <w:r>
        <w:rPr>
          <w:rFonts w:ascii="Arial" w:cs="Arial" w:eastAsia="Arial" w:hAnsi="Arial"/>
          <w:sz w:val="22"/>
          <w:szCs w:val="22"/>
        </w:rPr>
        <w:t xml:space="preserve">For Period = 20 (computed values):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38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Coefficient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(P=20)</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exp(-√2 · π / Period)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Decay rate — filter memory horizon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c1 · cos(√2 · 180 / Period)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1.5622</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Resonance — frequency tuning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weight on SS[1]</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-c1²</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-0.6413</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Feedback weight on SS[2] — second pole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b1 + c1²) /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0.0396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gain — normalizes DC to 1.0</w:t>
            </w:r>
          </w:p>
        </w:tc>
      </w:tr>
    </w:tbl>
    <w:p>
      <w:pPr>
        <w:spacing w:before="120" w:after="60"/>
      </w:pPr>
    </w:p>
    <w:p>
      <w:pPr>
        <w:spacing w:before="60" w:after="60"/>
      </w:pPr>
      <w:r>
        <w:rPr>
          <w:rFonts w:ascii="Arial" w:cs="Arial" w:eastAsia="Arial" w:hAnsi="Arial"/>
          <w:sz w:val="22"/>
          <w:szCs w:val="22"/>
        </w:rPr>
        <w:t xml:space="preserve">Key insight: c2 &gt; 1 does not cause instability — c3 is negative and pulls back. The net feedback magnitude (c2 - |c3|) is always &lt; 1, guaranteeing stability. The decay factor c1 controls how fast the filter forgets its past state — after ~20 bars (2× Period) the influence decays to ~1%.</w:t>
      </w:r>
    </w:p>
    <w:p>
      <w:pPr>
        <w:pStyle w:val="Heading2"/>
        <w:spacing w:before="240" w:after="80"/>
      </w:pPr>
      <w:r>
        <w:rPr>
          <w:rFonts w:ascii="Arial" w:cs="Arial" w:eastAsia="Arial" w:hAnsi="Arial"/>
          <w:b/>
          <w:bCs/>
          <w:color w:val="2E74B5"/>
          <w:sz w:val="28"/>
          <w:szCs w:val="28"/>
        </w:rPr>
        <w:t xml:space="preserve">2.7 DC Gain — The /2.0 vs /4.0 Issue</w:t>
      </w:r>
    </w:p>
    <w:p>
      <w:pPr>
        <w:spacing w:before="60" w:after="60"/>
      </w:pPr>
      <w:r>
        <w:rPr>
          <w:rFonts w:ascii="Arial" w:cs="Arial" w:eastAsia="Arial" w:hAnsi="Arial"/>
          <w:sz w:val="22"/>
          <w:szCs w:val="22"/>
        </w:rPr>
        <w:t xml:space="preserve">The c0 formula normalizes DC gain to 1.0 — ensuring a flat, constant price passes through unchanged. Some Ehlers publications show division by 4 in the c0 formula. This is a transcription error — the correct divisor is 2. Using /4.0 produces a systematic DC gain of 0.5, making the output exactly half the price level. Verified analytically and confirmed empirically.</w:t>
      </w:r>
    </w:p>
    <w:p>
      <w:pPr>
        <w:pStyle w:val="Heading2"/>
        <w:spacing w:before="240" w:after="80"/>
      </w:pPr>
      <w:r>
        <w:rPr>
          <w:rFonts w:ascii="Arial" w:cs="Arial" w:eastAsia="Arial" w:hAnsi="Arial"/>
          <w:b/>
          <w:bCs/>
          <w:color w:val="2E74B5"/>
          <w:sz w:val="28"/>
          <w:szCs w:val="28"/>
        </w:rPr>
        <w:t xml:space="preserve">2.8 The Ultimate Smoother — Lag Correction</w:t>
      </w:r>
    </w:p>
    <w:p>
      <w:pPr>
        <w:spacing w:before="60" w:after="60"/>
      </w:pPr>
      <w:r>
        <w:rPr>
          <w:rFonts w:ascii="Arial" w:cs="Arial" w:eastAsia="Arial" w:hAnsi="Arial"/>
          <w:sz w:val="22"/>
          <w:szCs w:val="22"/>
        </w:rPr>
        <w:t xml:space="preserve">The Ultimate Smoother applies SuperSmoother, measures the residual (Price - SS), smooths the residual to isolate the lag component without reintroducing noise, then adds a scaled version back to the smoothed output. The correction term approximates the lag error and cancels it. The zero-lag claim means 'significantly less lag than SuperSmoother' — verified to hold in practice.</w:t>
      </w:r>
    </w:p>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3. Implementation Notes (Day 3)</w:t>
      </w:r>
    </w:p>
    <w:p>
      <w:pPr>
        <w:pStyle w:val="Heading2"/>
        <w:spacing w:before="240" w:after="80"/>
      </w:pPr>
      <w:r>
        <w:rPr>
          <w:rFonts w:ascii="Arial" w:cs="Arial" w:eastAsia="Arial" w:hAnsi="Arial"/>
          <w:b/>
          <w:bCs/>
          <w:color w:val="2E74B5"/>
          <w:sz w:val="28"/>
          <w:szCs w:val="28"/>
        </w:rPr>
        <w:t xml:space="preserve">3.1 Zorro-Specific Gotchas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Wrong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 units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cos(sqrt(2)*PI/Period)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cos(sqrt(2)*180/Period)  — Zorro uses degrees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Series size 2-pole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series(Price[0], 2)</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series(Price[0], 3)  — needs 3 elements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 size 3-pole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series(Price[0],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series(Price[0], 4)  — needs 4 elements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Initialization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series(0.0, 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series(Price[0], 3)  — start at price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Warmup handling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if(is(LOOKBACK)) return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if(Init) { Filt[0] = Price[0]; return;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DC gain divisor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c0 = (...) / 4.0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c0 = (...) / 2.0  — published formula error</w:t>
            </w:r>
          </w:p>
        </w:tc>
      </w:tr>
    </w:tbl>
    <w:p>
      <w:pPr>
        <w:spacing w:before="120" w:after="60"/>
      </w:pPr>
    </w:p>
    <w:p>
      <w:pPr>
        <w:pStyle w:val="Heading2"/>
        <w:spacing w:before="240" w:after="80"/>
      </w:pPr>
      <w:r>
        <w:rPr>
          <w:rFonts w:ascii="Arial" w:cs="Arial" w:eastAsia="Arial" w:hAnsi="Arial"/>
          <w:b/>
          <w:bCs/>
          <w:color w:val="2E74B5"/>
          <w:sz w:val="28"/>
          <w:szCs w:val="28"/>
        </w:rPr>
        <w:t xml:space="preserve">3.2 3-Pole Stability Issue</w:t>
      </w:r>
    </w:p>
    <w:p>
      <w:pPr>
        <w:spacing w:before="60" w:after="60"/>
      </w:pPr>
      <w:r>
        <w:rPr>
          <w:rFonts w:ascii="Arial" w:cs="Arial" w:eastAsia="Arial" w:hAnsi="Arial"/>
          <w:sz w:val="22"/>
          <w:szCs w:val="22"/>
        </w:rPr>
        <w:t xml:space="preserve">The naive published 3-pole formula produces net feedback &gt; 1.0, causing exponential blowup. The fix is to derive coefficients from the pole combination directly (one real pole a1 + one complex conjugate pair b1), which gives net feedback = 0.988 and unity DC gain. The stable formula:</w:t>
      </w:r>
    </w:p>
    <w:p>
      <w:pPr>
        <w:spacing w:before="60" w:after="60"/>
      </w:pPr>
    </w:p>
    <w:p>
      <w:pPr>
        <w:spacing w:before="60" w:after="60"/>
      </w:pPr>
      <w:r>
        <w:rPr>
          <w:rFonts w:ascii="Courier New" w:cs="Courier New" w:eastAsia="Courier New" w:hAnsi="Courier New"/>
          <w:sz w:val="20"/>
          <w:szCs w:val="20"/>
        </w:rPr>
        <w:t xml:space="preserve">c1 = b1 + a1   |   c2 = -(b1·a1 + a1²)   |   c3 = a1³   |   c0 = (1 - c1 - c2 - c3) / 2</w:t>
      </w:r>
    </w:p>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4. Validation Results (Days 4-5)</w:t>
      </w:r>
    </w:p>
    <w:p>
      <w:pPr>
        <w:pStyle w:val="Heading2"/>
        <w:spacing w:before="240" w:after="80"/>
      </w:pPr>
      <w:r>
        <w:rPr>
          <w:rFonts w:ascii="Arial" w:cs="Arial" w:eastAsia="Arial" w:hAnsi="Arial"/>
          <w:b/>
          <w:bCs/>
          <w:color w:val="2E74B5"/>
          <w:sz w:val="28"/>
          <w:szCs w:val="28"/>
        </w:rPr>
        <w:t xml:space="preserve">4.1 EUR/USD D1 (2015-2024)</w:t>
      </w:r>
    </w:p>
    <w:p>
      <w:pPr>
        <w:spacing w:before="60" w:after="8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600"/>
        <w:gridCol w:w="1400"/>
        <w:gridCol w:w="1200"/>
        <w:gridCol w:w="120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SNR (dB)</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vs SMA Baseline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|diff|</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SMA(20)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 2-pole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14.18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+1.95 dB ✅</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0.007876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 3-pole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+3.91 dB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Ultimate Smoother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14.45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+2.22 dB ✅</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0.007632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w:t>
            </w:r>
          </w:p>
        </w:tc>
      </w:tr>
    </w:tbl>
    <w:p>
      <w:pPr>
        <w:spacing w:before="120" w:after="60"/>
      </w:pPr>
    </w:p>
    <w:p>
      <w:pPr>
        <w:pStyle w:val="Heading2"/>
        <w:spacing w:before="240" w:after="80"/>
      </w:pPr>
      <w:r>
        <w:rPr>
          <w:rFonts w:ascii="Arial" w:cs="Arial" w:eastAsia="Arial" w:hAnsi="Arial"/>
          <w:b/>
          <w:bCs/>
          <w:color w:val="2E74B5"/>
          <w:sz w:val="28"/>
          <w:szCs w:val="28"/>
        </w:rPr>
        <w:t xml:space="preserve">4.2 BTC/USD H4 (2020-2024)</w:t>
      </w:r>
    </w:p>
    <w:p>
      <w:pPr>
        <w:spacing w:before="60" w:after="8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600"/>
        <w:gridCol w:w="1400"/>
        <w:gridCol w:w="120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SNR (dB)</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vs SMA Baseline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Smoothing%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SMA(20)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 2-pole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23.04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+2.29 dB ✅</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 3-pole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 dB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Ultimate Smoother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23.32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+2.57 dB ✅</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w:t>
            </w:r>
          </w:p>
        </w:tc>
      </w:tr>
    </w:tbl>
    <w:p>
      <w:pPr>
        <w:spacing w:before="120" w:after="60"/>
      </w:pPr>
    </w:p>
    <w:p>
      <w:pPr>
        <w:pStyle w:val="Heading2"/>
        <w:spacing w:before="240" w:after="80"/>
      </w:pPr>
      <w:r>
        <w:rPr>
          <w:rFonts w:ascii="Arial" w:cs="Arial" w:eastAsia="Arial" w:hAnsi="Arial"/>
          <w:b/>
          <w:bCs/>
          <w:color w:val="2E74B5"/>
          <w:sz w:val="28"/>
          <w:szCs w:val="28"/>
        </w:rPr>
        <w:t xml:space="preserve">4.3 Parameter Sensitivity (SS 2-pole, EUR/USD D1)</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57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SNR (dB)</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|diff|</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0.005354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responsive for D1 — use for scalping only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19.86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0.004070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Sweet spot — best SNR + tightest tracking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0.007876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Valid — more smoothing, more distance from price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18.99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0.004624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Diminishing returns — more lag, similar to 14</w:t>
            </w:r>
          </w:p>
        </w:tc>
      </w:tr>
    </w:tbl>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5. Key Findings &amp; Insights</w:t>
      </w:r>
    </w:p>
    <w:p>
      <w:pPr>
        <w:pStyle w:val="Heading2"/>
        <w:spacing w:before="240" w:after="80"/>
      </w:pPr>
      <w:r>
        <w:rPr>
          <w:rFonts w:ascii="Arial" w:cs="Arial" w:eastAsia="Arial" w:hAnsi="Arial"/>
          <w:b/>
          <w:bCs/>
          <w:color w:val="2E74B5"/>
          <w:sz w:val="28"/>
          <w:szCs w:val="28"/>
        </w:rPr>
        <w:t xml:space="preserve">5.1 Technical Findings</w:t>
      </w:r>
    </w:p>
    <w:p>
      <w:pPr>
        <w:pStyle w:val="ListParagraph"/>
        <w:numPr>
          <w:ilvl w:val="0"/>
          <w:numId w:val="2"/>
        </w:numPr>
        <w:spacing w:before="40" w:after="40"/>
      </w:pPr>
      <w:r>
        <w:rPr>
          <w:rFonts w:ascii="Arial" w:cs="Arial" w:eastAsia="Arial" w:hAnsi="Arial"/>
          <w:sz w:val="22"/>
          <w:szCs w:val="22"/>
        </w:rPr>
        <w:t xml:space="preserve">DC gain fix: c0 must use /2.0 not /4.0 — published formula has a transcription error present in several TASC articles.</w:t>
      </w:r>
    </w:p>
    <w:p>
      <w:pPr>
        <w:pStyle w:val="ListParagraph"/>
        <w:numPr>
          <w:ilvl w:val="0"/>
          <w:numId w:val="2"/>
        </w:numPr>
        <w:spacing w:before="40" w:after="40"/>
      </w:pPr>
      <w:r>
        <w:rPr>
          <w:rFonts w:ascii="Arial" w:cs="Arial" w:eastAsia="Arial" w:hAnsi="Arial"/>
          <w:sz w:val="22"/>
          <w:szCs w:val="22"/>
        </w:rPr>
        <w:t xml:space="preserve">3-pole instability: The naive published formula is unstable (net feedback &gt; 1.0). Stable coefficients must be derived from pole combination, not the published recursive form.</w:t>
      </w:r>
    </w:p>
    <w:p>
      <w:pPr>
        <w:pStyle w:val="ListParagraph"/>
        <w:numPr>
          <w:ilvl w:val="0"/>
          <w:numId w:val="2"/>
        </w:numPr>
        <w:spacing w:before="40" w:after="40"/>
      </w:pPr>
      <w:r>
        <w:rPr>
          <w:rFonts w:ascii="Arial" w:cs="Arial" w:eastAsia="Arial" w:hAnsi="Arial"/>
          <w:sz w:val="22"/>
          <w:szCs w:val="22"/>
        </w:rPr>
        <w:t xml:space="preserve">SS3 apparent anomaly resolved: SS3 appeared more responsive than SS2 in bar-to-bar analysis. Frequency response analysis confirmed SS3 is correct — its effective cutoff period is longer than SS2's for the same Period parameter, which explains the behavior. SS3 beats SS2 at every frequency as theory predicts.</w:t>
      </w:r>
    </w:p>
    <w:p>
      <w:pPr>
        <w:pStyle w:val="ListParagraph"/>
        <w:numPr>
          <w:ilvl w:val="0"/>
          <w:numId w:val="2"/>
        </w:numPr>
        <w:spacing w:before="40" w:after="40"/>
      </w:pPr>
      <w:r>
        <w:rPr>
          <w:rFonts w:ascii="Arial" w:cs="Arial" w:eastAsia="Arial" w:hAnsi="Arial"/>
          <w:sz w:val="22"/>
          <w:szCs w:val="22"/>
        </w:rPr>
        <w:t xml:space="preserve">Detrended cross-correlation: Standard cross-correlation fails on trending financial data — the shared trend component dominates and masks true lag. First-differencing before correlation is mandatory.</w:t>
      </w:r>
    </w:p>
    <w:p>
      <w:pPr>
        <w:pStyle w:val="Heading2"/>
        <w:spacing w:before="240" w:after="80"/>
      </w:pPr>
      <w:r>
        <w:rPr>
          <w:rFonts w:ascii="Arial" w:cs="Arial" w:eastAsia="Arial" w:hAnsi="Arial"/>
          <w:b/>
          <w:bCs/>
          <w:color w:val="2E74B5"/>
          <w:sz w:val="28"/>
          <w:szCs w:val="28"/>
        </w:rPr>
        <w:t xml:space="preserve">5.2 Cross-Asset Findings</w:t>
      </w:r>
    </w:p>
    <w:p>
      <w:pPr>
        <w:pStyle w:val="ListParagraph"/>
        <w:numPr>
          <w:ilvl w:val="0"/>
          <w:numId w:val="2"/>
        </w:numPr>
        <w:spacing w:before="40" w:after="40"/>
      </w:pPr>
      <w:r>
        <w:rPr>
          <w:rFonts w:ascii="Arial" w:cs="Arial" w:eastAsia="Arial" w:hAnsi="Arial"/>
          <w:sz w:val="22"/>
          <w:szCs w:val="22"/>
        </w:rPr>
        <w:t xml:space="preserve">Same Period=20 works on both EUR/USD D1 and BTC/USD H4 without retuning — smoothing ratios nearly identical (29-37% of price movement).</w:t>
      </w:r>
    </w:p>
    <w:p>
      <w:pPr>
        <w:pStyle w:val="ListParagraph"/>
        <w:numPr>
          <w:ilvl w:val="0"/>
          <w:numId w:val="2"/>
        </w:numPr>
        <w:spacing w:before="40" w:after="40"/>
      </w:pPr>
      <w:r>
        <w:rPr>
          <w:rFonts w:ascii="Arial" w:cs="Arial" w:eastAsia="Arial" w:hAnsi="Arial"/>
          <w:sz w:val="22"/>
          <w:szCs w:val="22"/>
        </w:rPr>
        <w:t xml:space="preserve">SNR ranking consistent across both assets: SS3 &gt; US &gt; SS2.</w:t>
      </w:r>
    </w:p>
    <w:p>
      <w:pPr>
        <w:pStyle w:val="ListParagraph"/>
        <w:numPr>
          <w:ilvl w:val="0"/>
          <w:numId w:val="2"/>
        </w:numPr>
        <w:spacing w:before="40" w:after="40"/>
      </w:pPr>
      <w:r>
        <w:rPr>
          <w:rFonts w:ascii="Arial" w:cs="Arial" w:eastAsia="Arial" w:hAnsi="Arial"/>
          <w:sz w:val="22"/>
          <w:szCs w:val="22"/>
        </w:rPr>
        <w:t xml:space="preserve">BTC SNR values are higher overall — explained by stronger trending in 2020-2024 bull run dominating the variance.</w:t>
      </w:r>
    </w:p>
    <w:p>
      <w:pPr>
        <w:pStyle w:val="ListParagraph"/>
        <w:numPr>
          <w:ilvl w:val="0"/>
          <w:numId w:val="2"/>
        </w:numPr>
        <w:spacing w:before="40" w:after="40"/>
      </w:pPr>
      <w:r>
        <w:rPr>
          <w:rFonts w:ascii="Arial" w:cs="Arial" w:eastAsia="Arial" w:hAnsi="Arial"/>
          <w:sz w:val="22"/>
          <w:szCs w:val="22"/>
        </w:rPr>
        <w:t xml:space="preserve">No parameter adjustment needed when moving between FX and crypto for this indicator family.</w:t>
      </w:r>
    </w:p>
    <w:p>
      <w:pPr>
        <w:pStyle w:val="Heading2"/>
        <w:spacing w:before="240" w:after="80"/>
      </w:pPr>
      <w:r>
        <w:rPr>
          <w:rFonts w:ascii="Arial" w:cs="Arial" w:eastAsia="Arial" w:hAnsi="Arial"/>
          <w:b/>
          <w:bCs/>
          <w:color w:val="2E74B5"/>
          <w:sz w:val="28"/>
          <w:szCs w:val="28"/>
        </w:rPr>
        <w:t xml:space="preserve">5.3 Conceptual Insights</w:t>
      </w:r>
    </w:p>
    <w:p>
      <w:pPr>
        <w:pStyle w:val="ListParagraph"/>
        <w:numPr>
          <w:ilvl w:val="0"/>
          <w:numId w:val="2"/>
        </w:numPr>
        <w:spacing w:before="40" w:after="40"/>
      </w:pPr>
      <w:r>
        <w:rPr>
          <w:rFonts w:ascii="Arial" w:cs="Arial" w:eastAsia="Arial" w:hAnsi="Arial"/>
          <w:sz w:val="22"/>
          <w:szCs w:val="22"/>
        </w:rPr>
        <w:t xml:space="preserve">IIR feedback loop: The filter does not directly remember old price bars. Instead SS[1] and SS[2] carry a compressed summary of all prior history, and c1 controls how fast that summary decays (~20 bars for Period=20).</w:t>
      </w:r>
    </w:p>
    <w:p>
      <w:pPr>
        <w:pStyle w:val="ListParagraph"/>
        <w:numPr>
          <w:ilvl w:val="0"/>
          <w:numId w:val="2"/>
        </w:numPr>
        <w:spacing w:before="40" w:after="40"/>
      </w:pPr>
      <w:r>
        <w:rPr>
          <w:rFonts w:ascii="Arial" w:cs="Arial" w:eastAsia="Arial" w:hAnsi="Arial"/>
          <w:sz w:val="22"/>
          <w:szCs w:val="22"/>
        </w:rPr>
        <w:t xml:space="preserve">Butterworth = maximally flat passband: The choice of Butterworth design means no ripple, no frequency coloring — the filter preserves the shape of what passes through. Critical for price data where ripple would look like signals.</w:t>
      </w:r>
    </w:p>
    <w:p>
      <w:pPr>
        <w:pStyle w:val="ListParagraph"/>
        <w:numPr>
          <w:ilvl w:val="0"/>
          <w:numId w:val="2"/>
        </w:numPr>
        <w:spacing w:before="40" w:after="40"/>
      </w:pPr>
      <w:r>
        <w:rPr>
          <w:rFonts w:ascii="Arial" w:cs="Arial" w:eastAsia="Arial" w:hAnsi="Arial"/>
          <w:sz w:val="22"/>
          <w:szCs w:val="22"/>
        </w:rPr>
        <w:t xml:space="preserve">dB/decade intuition: Each pole adds -20 dB/decade of rolloff steepness. At 10x the cutoff frequency, a 2-pole filter reduces amplitude to 1%; a 3-pole to 0.1%.</w:t>
      </w:r>
    </w:p>
    <w:p>
      <w:pPr>
        <w:pStyle w:val="ListParagraph"/>
        <w:numPr>
          <w:ilvl w:val="0"/>
          <w:numId w:val="2"/>
        </w:numPr>
        <w:spacing w:before="40" w:after="40"/>
      </w:pPr>
      <w:r>
        <w:rPr>
          <w:rFonts w:ascii="Arial" w:cs="Arial" w:eastAsia="Arial" w:hAnsi="Arial"/>
          <w:sz w:val="22"/>
          <w:szCs w:val="22"/>
        </w:rPr>
        <w:t xml:space="preserve">Period=14 sweet spot: For EUR/USD D1, Period=14 gives the best combination of SNR and closeness to price. Period=20 is valid when more smoothing is desired at the cost of distance.</w:t>
      </w:r>
    </w:p>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6. NNFX Component Mapping</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NNFX Role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Secondary Role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 2-pole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 input preprocessing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smoothing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 used inside Week 6-14 indicators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 3-pole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Oscillator pre-filter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 smoothing contexts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when smoothness &gt; responsiveness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Ultimate Smoother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following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 candidate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choice when lag reduction is critical</w:t>
            </w:r>
          </w:p>
        </w:tc>
      </w:tr>
    </w:tbl>
    <w:p>
      <w:pPr>
        <w:spacing w:before="120" w:after="60"/>
      </w:pPr>
    </w:p>
    <w:p>
      <w:pPr>
        <w:spacing w:before="60" w:after="60"/>
      </w:pPr>
      <w:r>
        <w:rPr>
          <w:rFonts w:ascii="Arial" w:cs="Arial" w:eastAsia="Arial" w:hAnsi="Arial"/>
          <w:sz w:val="22"/>
          <w:szCs w:val="22"/>
        </w:rPr>
        <w:t xml:space="preserve">Note: SS2 and SS3 are the foundational building blocks of the entire Week 5-14 indicator library. They appear inside MAMA (Week 7), Roofing Filter (Week 6), Cyber Cycle (Week 8), and most other Ehlers indicators. Deep understanding of this week's content is a prerequisite for all subsequent weeks.</w:t>
      </w:r>
    </w:p>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7. Parameter Recommendations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00"/>
        <w:gridCol w:w="1300"/>
        <w:gridCol w:w="1300"/>
        <w:gridCol w:w="28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SS2 Period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SS3 Period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 Period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EUR/USD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14 = sweet spot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BTC/USD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14-20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14-20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14-20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params work — no retuning needed</w:t>
            </w:r>
          </w:p>
        </w:tc>
      </w:tr>
    </w:tbl>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8. Files Committed This Week</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SuperSmoother2Pole.c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indicators/ehlers/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2-pole Butterworth IIR smoothing filter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SuperSmoother3Pole.c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indicators/ehlers/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3-pole Butterworth IIR smoothing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UltimateSmoother.c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indicators/ehlers/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Near-zero-lag SuperSmoother variant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Test_SuperSmoother.c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strategies/tests/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 export script for all three indicators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SuperSmoother_Analysis.ipynb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analysis/notebooks/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validation notebook — EUR/USD D1 + BTC/USD H4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SuperSmoother_Notes.md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docs/indicators/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Implementation notes and validation summary</w:t>
            </w:r>
          </w:p>
        </w:tc>
      </w:tr>
    </w:tbl>
    <w:p>
      <w:pPr>
        <w:pBdr>
          <w:bottom w:val="single" w:color="2E74B5" w:sz="4" w:space="1"/>
        </w:pBdr>
        <w:spacing w:before="120" w:after="120"/>
      </w:pPr>
    </w:p>
    <w:p>
      <w:pPr>
        <w:pStyle w:val="Heading1"/>
        <w:spacing w:before="360" w:after="120"/>
      </w:pPr>
      <w:r>
        <w:rPr>
          <w:rFonts w:ascii="Arial" w:cs="Arial" w:eastAsia="Arial" w:hAnsi="Arial"/>
          <w:b/>
          <w:bCs/>
          <w:color w:val="1F4E79"/>
          <w:sz w:val="36"/>
          <w:szCs w:val="36"/>
        </w:rPr>
        <w:t xml:space="preserve">9. Week 5 Retrospective</w:t>
      </w:r>
    </w:p>
    <w:p>
      <w:pPr>
        <w:pStyle w:val="Heading2"/>
        <w:spacing w:before="240" w:after="80"/>
      </w:pPr>
      <w:r>
        <w:rPr>
          <w:rFonts w:ascii="Arial" w:cs="Arial" w:eastAsia="Arial" w:hAnsi="Arial"/>
          <w:b/>
          <w:bCs/>
          <w:color w:val="2E74B5"/>
          <w:sz w:val="28"/>
          <w:szCs w:val="28"/>
        </w:rPr>
        <w:t xml:space="preserve">What went well</w:t>
      </w:r>
    </w:p>
    <w:p>
      <w:pPr>
        <w:pStyle w:val="ListParagraph"/>
        <w:numPr>
          <w:ilvl w:val="0"/>
          <w:numId w:val="2"/>
        </w:numPr>
        <w:spacing w:before="40" w:after="40"/>
      </w:pPr>
      <w:r>
        <w:rPr>
          <w:rFonts w:ascii="Arial" w:cs="Arial" w:eastAsia="Arial" w:hAnsi="Arial"/>
          <w:sz w:val="22"/>
          <w:szCs w:val="22"/>
        </w:rPr>
        <w:t xml:space="preserve">Theory-first approach paid off — formula coefficient debugging on Day 3 was much faster because the math was already internalized.</w:t>
      </w:r>
    </w:p>
    <w:p>
      <w:pPr>
        <w:pStyle w:val="ListParagraph"/>
        <w:numPr>
          <w:ilvl w:val="0"/>
          <w:numId w:val="2"/>
        </w:numPr>
        <w:spacing w:before="40" w:after="40"/>
      </w:pPr>
      <w:r>
        <w:rPr>
          <w:rFonts w:ascii="Arial" w:cs="Arial" w:eastAsia="Arial" w:hAnsi="Arial"/>
          <w:sz w:val="22"/>
          <w:szCs w:val="22"/>
        </w:rPr>
        <w:t xml:space="preserve">The /2.0 bug was caught quickly because DC gain was understood analytically before running code.</w:t>
      </w:r>
    </w:p>
    <w:p>
      <w:pPr>
        <w:pStyle w:val="ListParagraph"/>
        <w:numPr>
          <w:ilvl w:val="0"/>
          <w:numId w:val="2"/>
        </w:numPr>
        <w:spacing w:before="40" w:after="40"/>
      </w:pPr>
      <w:r>
        <w:rPr>
          <w:rFonts w:ascii="Arial" w:cs="Arial" w:eastAsia="Arial" w:hAnsi="Arial"/>
          <w:sz w:val="22"/>
          <w:szCs w:val="22"/>
        </w:rPr>
        <w:t xml:space="preserve">The SS3 anomaly investigation (Day 5 frequency response analysis) turned a confusing result into a deep insight about effective cutoff periods.</w:t>
      </w:r>
    </w:p>
    <w:p>
      <w:pPr>
        <w:pStyle w:val="ListParagraph"/>
        <w:numPr>
          <w:ilvl w:val="0"/>
          <w:numId w:val="2"/>
        </w:numPr>
        <w:spacing w:before="40" w:after="40"/>
      </w:pPr>
      <w:r>
        <w:rPr>
          <w:rFonts w:ascii="Arial" w:cs="Arial" w:eastAsia="Arial" w:hAnsi="Arial"/>
          <w:sz w:val="22"/>
          <w:szCs w:val="22"/>
        </w:rPr>
        <w:t xml:space="preserve">Cross-asset validation confirmed the formula is robust — same parameters, consistent behavior on completely different markets.</w:t>
      </w:r>
    </w:p>
    <w:p>
      <w:pPr>
        <w:pStyle w:val="Heading2"/>
        <w:spacing w:before="240" w:after="80"/>
      </w:pPr>
      <w:r>
        <w:rPr>
          <w:rFonts w:ascii="Arial" w:cs="Arial" w:eastAsia="Arial" w:hAnsi="Arial"/>
          <w:b/>
          <w:bCs/>
          <w:color w:val="2E74B5"/>
          <w:sz w:val="28"/>
          <w:szCs w:val="28"/>
        </w:rPr>
        <w:t xml:space="preserve">What was harder than expected</w:t>
      </w:r>
    </w:p>
    <w:p>
      <w:pPr>
        <w:pStyle w:val="ListParagraph"/>
        <w:numPr>
          <w:ilvl w:val="0"/>
          <w:numId w:val="2"/>
        </w:numPr>
        <w:spacing w:before="40" w:after="40"/>
      </w:pPr>
      <w:r>
        <w:rPr>
          <w:rFonts w:ascii="Arial" w:cs="Arial" w:eastAsia="Arial" w:hAnsi="Arial"/>
          <w:sz w:val="22"/>
          <w:szCs w:val="22"/>
        </w:rPr>
        <w:t xml:space="preserve">The 3-pole published formula being unstable was unexpected — required first-principles coefficient re-derivation.</w:t>
      </w:r>
    </w:p>
    <w:p>
      <w:pPr>
        <w:pStyle w:val="ListParagraph"/>
        <w:numPr>
          <w:ilvl w:val="0"/>
          <w:numId w:val="2"/>
        </w:numPr>
        <w:spacing w:before="40" w:after="40"/>
      </w:pPr>
      <w:r>
        <w:rPr>
          <w:rFonts w:ascii="Arial" w:cs="Arial" w:eastAsia="Arial" w:hAnsi="Arial"/>
          <w:sz w:val="22"/>
          <w:szCs w:val="22"/>
        </w:rPr>
        <w:t xml:space="preserve">Detrended cross-correlation: the naive lag measurement gave misleading results, requiring a methodological fix before meaningful lag numbers could be obtained.</w:t>
      </w:r>
    </w:p>
    <w:p>
      <w:pPr>
        <w:pStyle w:val="ListParagraph"/>
        <w:numPr>
          <w:ilvl w:val="0"/>
          <w:numId w:val="2"/>
        </w:numPr>
        <w:spacing w:before="40" w:after="40"/>
      </w:pPr>
      <w:r>
        <w:rPr>
          <w:rFonts w:ascii="Arial" w:cs="Arial" w:eastAsia="Arial" w:hAnsi="Arial"/>
          <w:sz w:val="22"/>
          <w:szCs w:val="22"/>
        </w:rPr>
        <w:t xml:space="preserve">Zorro series() initialization behavior — the warmup convergence issue required more investigation than anticipated.</w:t>
      </w:r>
    </w:p>
    <w:p>
      <w:pPr>
        <w:pStyle w:val="Heading2"/>
        <w:spacing w:before="240" w:after="80"/>
      </w:pPr>
      <w:r>
        <w:rPr>
          <w:rFonts w:ascii="Arial" w:cs="Arial" w:eastAsia="Arial" w:hAnsi="Arial"/>
          <w:b/>
          <w:bCs/>
          <w:color w:val="2E74B5"/>
          <w:sz w:val="28"/>
          <w:szCs w:val="28"/>
        </w:rPr>
        <w:t xml:space="preserve">Heading into Week 6</w:t>
      </w:r>
    </w:p>
    <w:p>
      <w:pPr>
        <w:pStyle w:val="ListParagraph"/>
        <w:numPr>
          <w:ilvl w:val="0"/>
          <w:numId w:val="2"/>
        </w:numPr>
        <w:spacing w:before="40" w:after="40"/>
      </w:pPr>
      <w:r>
        <w:rPr>
          <w:rFonts w:ascii="Arial" w:cs="Arial" w:eastAsia="Arial" w:hAnsi="Arial"/>
          <w:sz w:val="22"/>
          <w:szCs w:val="22"/>
        </w:rPr>
        <w:t xml:space="preserve">High-Pass Filters and Roofing Filter — these build directly on SuperSmoother from this week.</w:t>
      </w:r>
    </w:p>
    <w:p>
      <w:pPr>
        <w:pStyle w:val="ListParagraph"/>
        <w:numPr>
          <w:ilvl w:val="0"/>
          <w:numId w:val="2"/>
        </w:numPr>
        <w:spacing w:before="40" w:after="40"/>
      </w:pPr>
      <w:r>
        <w:rPr>
          <w:rFonts w:ascii="Arial" w:cs="Arial" w:eastAsia="Arial" w:hAnsi="Arial"/>
          <w:sz w:val="22"/>
          <w:szCs w:val="22"/>
        </w:rPr>
        <w:t xml:space="preserve">The Roofing Filter (HP + SS) will be the standard input preprocessor for all oscillator indicators in Weeks 8-10.</w:t>
      </w:r>
    </w:p>
    <w:p>
      <w:pPr>
        <w:pStyle w:val="ListParagraph"/>
        <w:numPr>
          <w:ilvl w:val="0"/>
          <w:numId w:val="2"/>
        </w:numPr>
        <w:spacing w:before="40" w:after="40"/>
      </w:pPr>
      <w:r>
        <w:rPr>
          <w:rFonts w:ascii="Arial" w:cs="Arial" w:eastAsia="Arial" w:hAnsi="Arial"/>
          <w:sz w:val="22"/>
          <w:szCs w:val="22"/>
        </w:rPr>
        <w:t xml:space="preserve">Week 5 foundation is solid. Library entry approved for all three indicators.</w:t>
      </w:r>
    </w:p>
    <w:p>
      <w:pPr>
        <w:spacing w:before="240" w:after="0"/>
      </w:pPr>
    </w:p>
    <w:p>
      <w:pPr>
        <w:jc w:val="center"/>
      </w:pPr>
      <w:r>
        <w:rPr>
          <w:rFonts w:ascii="Arial" w:cs="Arial" w:eastAsia="Arial" w:hAnsi="Arial"/>
          <w:b/>
          <w:bCs/>
          <w:i/>
          <w:iCs/>
          <w:color w:val="1F4E79"/>
          <w:sz w:val="22"/>
          <w:szCs w:val="22"/>
        </w:rPr>
        <w:t xml:space="preserve">Week 5 Complete ✅  —  Library Entry Approved for All Three Indicators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2026-03-10T23:52:45.154Z</dcterms:created>
  <dcterms:modified xsi:type="dcterms:W3CDTF">2026-03-10T23:52:45.154Z</dcterms:modified>
</cp:coreProperties>
</file>

<file path=docProps/custom.xml><?xml version="1.0" encoding="utf-8"?>
<Properties xmlns="http://schemas.openxmlformats.org/officeDocument/2006/custom-properties" xmlns:vt="http://schemas.openxmlformats.org/officeDocument/2006/docPropsVTypes"/>
</file>