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F3" w:rsidRDefault="00A201F3" w:rsidP="00A201F3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REVIEWER #1</w:t>
      </w:r>
    </w:p>
    <w:p w:rsidR="00A201F3" w:rsidRDefault="00A201F3" w:rsidP="00A201F3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t>Overall I really like this paper, and is relevant to the session topics.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  <w:t>While not exactly a paper about precision medicine related to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  <w:t xml:space="preserve">“diagnostics”, it is indeed very relevant the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</w:rPr>
        <w:t>the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</w:rPr>
        <w:t xml:space="preserve"> broader topic of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  <w:t>precision medicine in practice, which includes appropriate identification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  <w:t>of drug targets for patients.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t>The paper is 13 pages instead of 12, including the abstract.  This surely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  <w:t>can be cut down following the concise form of citations with no title and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  <w:t>no intermediate spacing as indicated in one of the templates here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</w:rPr>
        <w:t>: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hyperlink r:id="rId5" w:tgtFrame="_blank" w:history="1">
        <w:r w:rsidRPr="00A201F3">
          <w:rPr>
            <w:rFonts w:ascii="Arial" w:eastAsia="Times New Roman" w:hAnsi="Arial" w:cs="Arial"/>
            <w:i/>
            <w:iCs/>
            <w:sz w:val="24"/>
            <w:szCs w:val="24"/>
            <w:u w:val="single"/>
          </w:rPr>
          <w:t>http://psb.stanford.edu/psb-online/psb-submit/</w:t>
        </w:r>
      </w:hyperlink>
      <w:r>
        <w:rPr>
          <w:rFonts w:ascii="Arial" w:eastAsia="Times New Roman" w:hAnsi="Arial" w:cs="Arial"/>
          <w:sz w:val="24"/>
          <w:szCs w:val="24"/>
        </w:rPr>
        <w:t xml:space="preserve">  </w:t>
      </w:r>
    </w:p>
    <w:p w:rsidR="00A201F3" w:rsidRPr="00A201F3" w:rsidRDefault="00A201F3" w:rsidP="00A201F3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think Dana contacted PSD regarding the citation template, but we can shorten the one extra sentence in many ways…</w:t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t xml:space="preserve">There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</w:rPr>
        <w:t>is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</w:rPr>
        <w:t xml:space="preserve"> general revisions that need to be done to improve the paper for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  <w:t>publication.  If the authors can address them, then I accept.</w:t>
      </w:r>
      <w:r>
        <w:rPr>
          <w:rFonts w:ascii="Arial" w:eastAsia="Times New Roman" w:hAnsi="Arial" w:cs="Arial"/>
          <w:sz w:val="24"/>
          <w:szCs w:val="24"/>
        </w:rPr>
        <w:br/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authors have not listed where their code is for others to use and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replicate.  Furthermore, no implementation details (language, platform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,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etc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) were indicated. 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Both would be a nice addition.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As far as we know, it wasn't required. However, if needed, we have all of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our code in </w:t>
      </w:r>
      <w:proofErr w:type="spell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github</w:t>
      </w:r>
      <w:proofErr w:type="spell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just need to work a bit to organize it for curious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readers. The code is implemented in Python.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The work is on </w:t>
      </w:r>
      <w:proofErr w:type="spellStart"/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it’s</w:t>
      </w:r>
      <w:proofErr w:type="spellEnd"/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way to being very important, but needs additional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work to make it great.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 very much like the author’s approach.  It just needs more experimental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confirmation.  In particular, if there was additional work looking at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variant-level differences (rather than just gene-level), that would be a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very nice improvement.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does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the PPI take into account directionality of interaction?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No.</w:t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or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positive/negative regulation?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No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proofErr w:type="gramEnd"/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a little more background would be really helpful here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.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The PPI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information was taken from HIPPIE - where t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he weight of the interaction is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determined by the confidence in it.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It needs a conclusion at the end.  Additional reflection on the clinical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relevance would be helpful.</w:t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no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date of access or version numbers for the data sets used in this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study is listed. 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please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indicate in methods.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Will do.</w:t>
      </w:r>
      <w:proofErr w:type="gramEnd"/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would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be nice if negative controls were tested and included in Figure 5.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It's very possible (we guess by using some random process and see if the 3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lastRenderedPageBreak/>
        <w:t>targets align deferentially) - do we want it in your opinion?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page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7, “The results were insignificant (Figure 4B), underscoring the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utility of a personalized approach.”  How was this significance measured?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The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(</w:t>
      </w:r>
      <w:proofErr w:type="gram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in)significance was measured in the same way, via enrichment testing, we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can emphasize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this and give the p-value.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thing is, with personalized medicine, and in particular when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discussing drug treatment, it may be highly variable the reaction to a drug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even within one gene depending on what the variation is!  This needs to be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discussed further as a limitation to the method.  You might consider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obtaining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pharmGKB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data to evaluate this.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We should discuss this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limitation, however we're not sure intro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ducing this new type of data at this stage is right.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I don’t totally understand figure 2A. 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why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is the p-values so much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better for the “all cancer” cases? 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how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does it affect interpretation for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AML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vs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other cancers? 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is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it a result of the number of gen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es tested in the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different set?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The number of genes in all cancer is 5-fold higher than AML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only, this is a significance difference, but we're not sure it explains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this p-value differences the reviewer rightfully mentioned. We're not sure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about an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y other explanation for it.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In 2B, you indicate that FLT3 is not in the top 10% of affected genes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,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even though you state in the intro that it is affected in 30% of patients.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Why is that?  Please discuss.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The reason for this is as follows: for the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FLT3 patients (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30%</w:t>
      </w:r>
      <w:proofErr w:type="gram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~) we don't report FLT3 as a possible drug targets - as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we try in our method to find the "non-obvious" drug targets. For non-FLT3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patients, it seems FLT3 just didn't 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came</w:t>
      </w:r>
      <w:proofErr w:type="gram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up as a possible drug target many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times, which fits with our personalized approach.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which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KEGG pathway do you refer (an id or URL, please) on page 4 used in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your evaluation of genes , “…genes within the KEGG pathway…”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Will add</w:t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is the source cancer data somatic or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germline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cancer variants? 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ask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because if the TCGA data is somatic, but the gene-to-disease associations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are germ line, you may end up with results that are hard to interpret.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this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would be another good discussion topic.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We didn't understand this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comment, which gene-to-disease associations does s/he mean? We used TCGA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data for our method.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what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were the top 10% scoring genes resulting with the shortest B2H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distance that was part of the subgroup of patients with FLT3?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  <w:t>REVIEWER #2</w:t>
      </w:r>
    </w:p>
    <w:p w:rsidR="00A201F3" w:rsidRP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t>The topic of predicting personalized drug targets is highly relevant</w:t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lastRenderedPageBreak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algorithm is well described with the appropriate level of detail. The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evaluation is mostly clear, but some details of the patient aggregation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step were not completely clear. More discussion on limitations would be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welcome.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Will discuss more limitations</w:t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method is implemented (rather than this being a theoretic paper). It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is disappointing that the code is not available, but that does not appear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to be a requirement of this meeting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. Indeed not required, but can share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proofErr w:type="spell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github</w:t>
      </w:r>
      <w:proofErr w:type="spell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link if needed.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Network propagation falls in the general category of guilt-by-association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techniques for ranking genes. These approaches are not in themselves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particularly novel. However, the authors take this a step further and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attempt to 'simulate' the effects of drugging targets on gene networks. I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am not completely convinced that the approach was successful (the authors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achieved significant p-values in their evaluation, but there may have been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factors other than the network simulation - see comments below)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As mentioned above, the manuscript takes GBA approaches a step further in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a way that is to my knowledge quite original.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evaluation may be the weakest aspect.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 The first part of the paper describes use of the network propagation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method itself to predict the causal members of cancer pathways based on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patient data. The authors successfully recapitulate pathway members with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high significance. However, it's not really clear that this is an effective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way to validate the network propagation score. It would be interesting to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see the results with alpha=0 (i.e. no propagation). In other words, is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all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the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signal contained in the set of patient mutants with the interaction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network not playing any major role.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Alt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hough we didn't display results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with alpha=0, we did validated what the revi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ewer just mentioned in figure 3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using the red boxes - which signify common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mutation in patient. This shows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that our prior knowledge did not cover the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all pathway and it was received by propagation.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second part of the results involves the use of a Back2Healthy score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,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an interesting extension to the network propagation methods. Here the idea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is to simulate a drug knocking out a gene in the pathway, with the aim to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restore the network back to a healthy state. The evaluation is difficult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here as personalized drug effectiveness data is not easy to obtain, so the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authors aggregate the results over all patients. I have some reservations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here about the evaluation. The signal could be coming entirely from the set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of differentially expressed genes in the patients. According to my reading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of the methods, the B2H score will only score a differentially expressed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gene, and it may be the case that selecting for these alone would be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sufficient to find a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DrugBank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target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more than might be expected by chance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A201F3" w:rsidRPr="00A201F3" w:rsidRDefault="00A201F3" w:rsidP="00A20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The reviewer missed a point here, we're not picking only differentially</w:t>
      </w:r>
    </w:p>
    <w:p w:rsidR="00A201F3" w:rsidRDefault="00A201F3" w:rsidP="00A201F3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201F3">
        <w:rPr>
          <w:rFonts w:ascii="Arial" w:eastAsia="Times New Roman" w:hAnsi="Arial" w:cs="Arial"/>
          <w:sz w:val="24"/>
          <w:szCs w:val="24"/>
        </w:rPr>
        <w:lastRenderedPageBreak/>
        <w:t>expressed</w:t>
      </w:r>
      <w:proofErr w:type="gramEnd"/>
      <w:r w:rsidRPr="00A201F3">
        <w:rPr>
          <w:rFonts w:ascii="Arial" w:eastAsia="Times New Roman" w:hAnsi="Arial" w:cs="Arial"/>
          <w:sz w:val="24"/>
          <w:szCs w:val="24"/>
        </w:rPr>
        <w:t xml:space="preserve"> genes, but rather use them to calculate the B2H score for each</w:t>
      </w:r>
      <w:r w:rsidRPr="00A201F3">
        <w:rPr>
          <w:rFonts w:ascii="Arial" w:eastAsia="Times New Roman" w:hAnsi="Arial" w:cs="Arial"/>
          <w:sz w:val="24"/>
          <w:szCs w:val="24"/>
        </w:rPr>
        <w:br/>
        <w:t>gene.</w:t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t>The approach is interesting both biologically and computationally but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  <w:t>a more detailed evaluation would be helpful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</w:p>
    <w:p w:rsidR="00A201F3" w:rsidRPr="00A201F3" w:rsidRDefault="00A201F3" w:rsidP="00A201F3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201F3">
        <w:rPr>
          <w:rFonts w:ascii="Arial" w:eastAsia="Times New Roman" w:hAnsi="Arial" w:cs="Arial"/>
          <w:b/>
          <w:bCs/>
          <w:sz w:val="24"/>
          <w:szCs w:val="24"/>
          <w:u w:val="single"/>
        </w:rPr>
        <w:t>REVIEWER #3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authors try to address the important question of using an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individual's genome and gene expression information in order to predict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personalized drug targets. This topic is highly relevant for PSB 2015. I am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not sure about the length criteria, because I don't know what kind of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submission this is and which length restriction is to apply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method/results section misses important details. For example it is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not clear to me why the Vanunu method is applied here. It has been show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that superior methods exist (see e.g. "The power of protein interaction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networks for associating genes with diseases" by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Saket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Navlakha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and Carl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Kingsford).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Honestly, don't know what to say about that.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Additionally, the authors fail to present the used data appropriately. It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would be essential to know what the overlap is between the sets P and V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,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i.e. how many of the mutated genes are also in the set of known causal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genes. Without this information is the remaining results are hard to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assess. The same is true for the overlap between the mutated genes 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and drug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targets.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We purposely separated the different gene sets and drug targets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,</w:t>
      </w:r>
      <w:proofErr w:type="gram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perhaps this should be more emphasized throughout the text. Perhaps we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should also mention that our aim is to hunt down for the non-obvious drug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targets, therefore we drop mutated genes from the process (and making the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enrichment stronger)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In general I think the first part of this paper is just application of an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already known gene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prioritzation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algorithm to a specific gene set (AML genes in this case). The novelty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here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is the B2H score. But again it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seems important to me to know more about the dataset used here. It is not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clear h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ow hard the prioritization task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for B2H is. What is the overlap between mutated genes and drug target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genes? 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See above.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authors should try to compare their method to other network-based approaches, like shortest-path or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betweeness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centrality to make it possible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to put their results into some context.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Good point, not sure it is needed for a poster paper.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authors want to imply that their method works for every disease. They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write "The framework we presented is general and can be applied to any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lastRenderedPageBreak/>
        <w:t>personalized disease-related data,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".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I don't think this is appropriate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,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because just because the authors claim that their idea is technically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applicable to other disease, it is not true that their method will provide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reasonable results. The authors fail to describe the limitations of their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idea. First of all, the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algorithm work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only if a given set of known disease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genes is available. Second of all, if there is a set of known disease genes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for a particular disease (other than AML), the author did not show that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their method will work.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The method is general implementation-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speaking,</w:t>
      </w:r>
      <w:proofErr w:type="gram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it can be applied on any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disease with genomic data in few easy steps. We didn't mean to imply that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it will definitely work for any disease.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Will the method work if non-coding mutations are involved?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The problem is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that non-coding genes don't correspond to nodes in the PPI network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..</w:t>
      </w:r>
      <w:proofErr w:type="gram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so</w:t>
      </w:r>
      <w:proofErr w:type="gram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no.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Also does the set of mutated AML-genes contain all mutations of a patient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or only the AML-related ones?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The data is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taken from TCGA, that as far as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we know gathered mutation data over a bi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g variety of genes (across many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cancers)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plots in Figure 4 are hard to understand. What is on the x-axis?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There seems to be some ordering, but I don't understand this.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We did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elaborate on the figure in the legend...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The paper addresses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an important questions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, but is only showing results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for one particular disease. I am not sure this is scaling up very w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ell (at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least it is not shown).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Using random walks on PPIs is not new at all. The method is not compared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to any other method and only evaluated on one disease example (AML).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No implementation details are given.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The authors do not motivate several decisions/choices very well. - Why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was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the Vanunu approach taken and </w:t>
      </w:r>
      <w:proofErr w:type="spell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not</w:t>
      </w:r>
      <w:proofErr w:type="spell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other random   walk based techniques?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Addressed above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- The choice of alpha=0.9 is not motivated very well.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This is true, but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the point is that any choice of alph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a is sufficient (as the p-value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differences are minor) - this emphasized the original claim in the original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paper. Perhaps we can drop the whole segment, if you think </w:t>
      </w:r>
      <w:proofErr w:type="gramStart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its</w:t>
      </w:r>
      <w:proofErr w:type="gramEnd"/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unneeded.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- The authors do not explain very well, what a mutation in a gene means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in their case. Does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that include non-coding mutations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? Addressed above 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If only coding only non-synonymous mutations?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 S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ynonymous mutations are included.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201F3">
        <w:rPr>
          <w:rFonts w:ascii="Arial" w:eastAsia="Times New Roman" w:hAnsi="Arial" w:cs="Arial"/>
          <w:sz w:val="24"/>
          <w:szCs w:val="24"/>
        </w:rPr>
        <w:br/>
      </w:r>
      <w:bookmarkStart w:id="0" w:name="_GoBack"/>
      <w:bookmarkEnd w:id="0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Details like that are essential for personalized NGS-based approaches.</w:t>
      </w:r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lastRenderedPageBreak/>
        <w:t xml:space="preserve">Again: Does the set of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mutated genes of the AML patients contain all mutations of a patient or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only the AML-related ones?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Addressed above.</w:t>
      </w:r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Why were the top 10% of the of ranked gene lists retained? Why not 5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% ?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</w:rPr>
        <w:br/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Or 15%?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Are the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results not significant anymore if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this values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is varied?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:rsidR="00A201F3" w:rsidRP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As can be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</w:rPr>
        <w:t>seen in figure 4 visually, we're quite sure the significance would remain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</w:rPr>
        <w:t>for various top percentages. We can calculate it easily, but we think the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201F3">
        <w:rPr>
          <w:rFonts w:ascii="Arial" w:eastAsia="Times New Roman" w:hAnsi="Arial" w:cs="Arial"/>
          <w:sz w:val="24"/>
          <w:szCs w:val="24"/>
        </w:rPr>
        <w:t>visual representation in fig. 4 is even better.</w:t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</w:p>
    <w:p w:rsidR="00B53F73" w:rsidRPr="00A201F3" w:rsidRDefault="00B53F73" w:rsidP="00A201F3">
      <w:pPr>
        <w:bidi w:val="0"/>
      </w:pPr>
    </w:p>
    <w:sectPr w:rsidR="00B53F73" w:rsidRPr="00A201F3" w:rsidSect="008B31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F3"/>
    <w:rsid w:val="008B31CB"/>
    <w:rsid w:val="00A201F3"/>
    <w:rsid w:val="00B5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1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sb.stanford.edu/psb-online/psb-sub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2157</Words>
  <Characters>10789</Characters>
  <Application>Microsoft Office Word</Application>
  <DocSecurity>0</DocSecurity>
  <Lines>89</Lines>
  <Paragraphs>25</Paragraphs>
  <ScaleCrop>false</ScaleCrop>
  <Company/>
  <LinksUpToDate>false</LinksUpToDate>
  <CharactersWithSpaces>12921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</dc:creator>
  <cp:lastModifiedBy>Eyal</cp:lastModifiedBy>
  <cp:revision>1</cp:revision>
  <dcterms:created xsi:type="dcterms:W3CDTF">2015-09-24T21:07:00Z</dcterms:created>
  <dcterms:modified xsi:type="dcterms:W3CDTF">2015-09-24T21:24:00Z</dcterms:modified>
</cp:coreProperties>
</file>