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0234C"/>
          <w:sz w:val="48"/>
        </w:rPr>
        <w:t>TOMO PENSION User Guide</w:t>
      </w:r>
    </w:p>
    <w:p>
      <w:r>
        <w:rPr>
          <w:b/>
          <w:color w:val="C88C15"/>
          <w:sz w:val="24"/>
        </w:rPr>
        <w:t>Data entry and demo workbook guide</w:t>
      </w:r>
    </w:p>
    <w:p>
      <w:r>
        <w:t>This guide explains how to enter safe aggregated data into the TOMO PENSION interactive demo, how to use the detailed Excel sample, and how to review the verified AI gain logic before any pension allocation.</w:t>
      </w:r>
    </w:p>
    <w:tbl>
      <w:tblPr>
        <w:tblW w:type="auto" w:w="0"/>
        <w:jc w:val="center"/>
        <w:tblLayout w:type="fixed"/>
        <w:tblLook w:firstColumn="1" w:firstRow="1" w:lastColumn="0" w:lastRow="0" w:noHBand="0" w:noVBand="1" w:val="04A0"/>
      </w:tblPr>
      <w:tblGrid>
        <w:gridCol w:w="9792"/>
      </w:tblGrid>
      <w:tr>
        <w:tc>
          <w:tcPr>
            <w:tcW w:type="dxa" w:w="9792"/>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shd w:fill="F6F2E8"/>
          </w:tcPr>
          <w:p>
            <w:r>
              <w:rPr>
                <w:rFonts w:ascii="Calibri" w:hAnsi="Calibri"/>
                <w:b/>
                <w:color w:val="00234C"/>
                <w:sz w:val="22"/>
              </w:rPr>
              <w:t>Prototype boundary</w:t>
            </w:r>
            <w:r>
              <w:rPr>
                <w:rFonts w:ascii="Calibri" w:hAnsi="Calibri"/>
              </w:rPr>
              <w:br/>
              <w:t>The public demo uses illustrative data for concept discussion only. TOMO PENSION does not custody assets, move funds, or provide pension, tax, legal, actuarial, or investment advice.</w:t>
            </w:r>
          </w:p>
        </w:tc>
      </w:tr>
    </w:tbl>
    <w:p/>
    <w:p>
      <w:pPr>
        <w:pStyle w:val="Heading1"/>
      </w:pPr>
      <w:r>
        <w:rPr>
          <w:rFonts w:ascii="Calibri" w:hAnsi="Calibri"/>
          <w:color w:val="00234C"/>
        </w:rPr>
        <w:t>1. Before You Enter Data</w:t>
      </w:r>
    </w:p>
    <w:p>
      <w:pPr>
        <w:pStyle w:val="ListBullet"/>
      </w:pPr>
      <w:r>
        <w:t>Use aggregated workflow, team, department, or process-level data.</w:t>
      </w:r>
    </w:p>
    <w:p>
      <w:pPr>
        <w:pStyle w:val="ListBullet"/>
      </w:pPr>
      <w:r>
        <w:t>Agree the eligible employee population before measurement begins.</w:t>
      </w:r>
    </w:p>
    <w:p>
      <w:pPr>
        <w:pStyle w:val="ListBullet"/>
      </w:pPr>
      <w:r>
        <w:t>Document baseline period, post-AI period, data owner, evidence source, and quality gate.</w:t>
      </w:r>
    </w:p>
    <w:p>
      <w:pPr>
        <w:pStyle w:val="ListBullet"/>
      </w:pPr>
      <w:r>
        <w:t>Keep raw personal employee records outside the public prototype.</w:t>
      </w:r>
    </w:p>
    <w:p>
      <w:pPr>
        <w:pStyle w:val="Heading1"/>
      </w:pPr>
      <w:r>
        <w:rPr>
          <w:rFonts w:ascii="Calibri" w:hAnsi="Calibri"/>
          <w:color w:val="00234C"/>
        </w:rPr>
        <w:t>2. What Not To Upload</w:t>
      </w:r>
    </w:p>
    <w:p>
      <w:pPr>
        <w:pStyle w:val="ListBullet"/>
      </w:pPr>
      <w:r>
        <w:t>National IDs, resident identifiers, passport numbers, or personal employee records.</w:t>
      </w:r>
    </w:p>
    <w:p>
      <w:pPr>
        <w:pStyle w:val="ListBullet"/>
      </w:pPr>
      <w:r>
        <w:t>Bank details, pension account numbers, payroll account data, or payment instructions.</w:t>
      </w:r>
    </w:p>
    <w:p>
      <w:pPr>
        <w:pStyle w:val="ListBullet"/>
      </w:pPr>
      <w:r>
        <w:t>Individual salary records, performance records, health data, credentials, secrets, API keys, or passwords.</w:t>
      </w:r>
    </w:p>
    <w:p>
      <w:pPr>
        <w:pStyle w:val="ListBullet"/>
      </w:pPr>
      <w:r>
        <w:t>Savings created directly by involuntary layoffs, hiring freezes, non-replacement of attrition, or direct workforce reductions.</w:t>
      </w:r>
    </w:p>
    <w:p>
      <w:pPr>
        <w:pStyle w:val="Heading1"/>
      </w:pPr>
      <w:r>
        <w:rPr>
          <w:rFonts w:ascii="Calibri" w:hAnsi="Calibri"/>
          <w:color w:val="00234C"/>
        </w:rPr>
        <w:t>3. Demo Data Entry Workflow</w:t>
      </w:r>
    </w:p>
    <w:tbl>
      <w:tblPr>
        <w:tblW w:type="auto" w:w="0"/>
        <w:jc w:val="center"/>
        <w:tblLayout w:type="fixed"/>
        <w:tblLook w:firstColumn="1" w:firstRow="1" w:lastColumn="0" w:lastRow="0" w:noHBand="0" w:noVBand="1" w:val="04A0"/>
      </w:tblPr>
      <w:tblGrid>
        <w:gridCol w:w="2520"/>
        <w:gridCol w:w="6840"/>
      </w:tblGrid>
      <w:tr>
        <w:tc>
          <w:tcPr>
            <w:tcW w:type="dxa" w:w="4896"/>
            <w:vAlign w:val="center"/>
            <w:shd w:fill="E8EEF5"/>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color w:val="00234C"/>
                <w:sz w:val="20"/>
              </w:rPr>
              <w:t>Action</w:t>
            </w:r>
          </w:p>
        </w:tc>
        <w:tc>
          <w:tcPr>
            <w:tcW w:type="dxa" w:w="4896"/>
            <w:vAlign w:val="center"/>
            <w:shd w:fill="E8EEF5"/>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color w:val="00234C"/>
                <w:sz w:val="20"/>
              </w:rPr>
              <w:t>How to do it</w:t>
            </w:r>
          </w:p>
        </w:tc>
      </w:tr>
      <w:tr>
        <w:tc>
          <w:tcPr>
            <w:tcW w:type="dxa" w:w="2520"/>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color w:val="00234C"/>
                <w:sz w:val="20"/>
              </w:rPr>
              <w:t>Step 1 - Prepare the workbook</w:t>
            </w:r>
          </w:p>
        </w:tc>
        <w:tc>
          <w:tcPr>
            <w:tcW w:type="dxa" w:w="6840"/>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val="0"/>
                <w:sz w:val="20"/>
              </w:rPr>
              <w:t>Open TOMO_PENSION_Detailed_Demo_Input_Sample.xlsx and review the README and Privacy Checks sheets.</w:t>
            </w:r>
          </w:p>
        </w:tc>
      </w:tr>
      <w:tr>
        <w:tc>
          <w:tcPr>
            <w:tcW w:type="dxa" w:w="2520"/>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color w:val="00234C"/>
                <w:sz w:val="20"/>
              </w:rPr>
              <w:t>Step 2 - Edit Pilot Inputs</w:t>
            </w:r>
          </w:p>
        </w:tc>
        <w:tc>
          <w:tcPr>
            <w:tcW w:type="dxa" w:w="6840"/>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val="0"/>
                <w:sz w:val="20"/>
              </w:rPr>
              <w:t>Update employees covered, employer count, measurement period, adjustment rate, allocation rate, and quality gate.</w:t>
            </w:r>
          </w:p>
        </w:tc>
      </w:tr>
      <w:tr>
        <w:tc>
          <w:tcPr>
            <w:tcW w:type="dxa" w:w="2520"/>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color w:val="00234C"/>
                <w:sz w:val="20"/>
              </w:rPr>
              <w:t>Step 3 - Enter Workflow Evidence</w:t>
            </w:r>
          </w:p>
        </w:tc>
        <w:tc>
          <w:tcPr>
            <w:tcW w:type="dxa" w:w="6840"/>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val="0"/>
                <w:sz w:val="20"/>
              </w:rPr>
              <w:t>Add aggregated O, S, Q, M, and A evidence rows. Keep source ownership and document IDs traceable.</w:t>
            </w:r>
          </w:p>
        </w:tc>
      </w:tr>
      <w:tr>
        <w:tc>
          <w:tcPr>
            <w:tcW w:type="dxa" w:w="2520"/>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color w:val="00234C"/>
                <w:sz w:val="20"/>
              </w:rPr>
              <w:t>Step 4 - Review Verified Ledger</w:t>
            </w:r>
          </w:p>
        </w:tc>
        <w:tc>
          <w:tcPr>
            <w:tcW w:type="dxa" w:w="6840"/>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val="0"/>
                <w:sz w:val="20"/>
              </w:rPr>
              <w:t>Confirm eligible gross gain, adjusted gross gain, AI costs, net verified AI gain, pension allocation, company retained gain, and per-employee value.</w:t>
            </w:r>
          </w:p>
        </w:tc>
      </w:tr>
      <w:tr>
        <w:tc>
          <w:tcPr>
            <w:tcW w:type="dxa" w:w="2520"/>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color w:val="00234C"/>
                <w:sz w:val="20"/>
              </w:rPr>
              <w:t>Step 5 - Review Scenario Output</w:t>
            </w:r>
          </w:p>
        </w:tc>
        <w:tc>
          <w:tcPr>
            <w:tcW w:type="dxa" w:w="6840"/>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val="0"/>
                <w:sz w:val="20"/>
              </w:rPr>
              <w:t>Use scenarios only for investor scale discussion. Do not treat Low, Medium, and High as verified pilot results.</w:t>
            </w:r>
          </w:p>
        </w:tc>
      </w:tr>
      <w:tr>
        <w:tc>
          <w:tcPr>
            <w:tcW w:type="dxa" w:w="2520"/>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color w:val="00234C"/>
                <w:sz w:val="20"/>
              </w:rPr>
              <w:t>Step 6 - Prepare Partner Instruction</w:t>
            </w:r>
          </w:p>
        </w:tc>
        <w:tc>
          <w:tcPr>
            <w:tcW w:type="dxa" w:w="6840"/>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val="0"/>
                <w:sz w:val="20"/>
              </w:rPr>
              <w:t>Use the partner instruction sheet as a dry-run payload. Regulated partners execute accounts, custody, and contributions.</w:t>
            </w:r>
          </w:p>
        </w:tc>
      </w:tr>
      <w:tr>
        <w:tc>
          <w:tcPr>
            <w:tcW w:type="dxa" w:w="2520"/>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color w:val="00234C"/>
                <w:sz w:val="20"/>
              </w:rPr>
              <w:t>Step 7 - Upload only safe files</w:t>
            </w:r>
          </w:p>
        </w:tc>
        <w:tc>
          <w:tcPr>
            <w:tcW w:type="dxa" w:w="6840"/>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val="0"/>
                <w:sz w:val="20"/>
              </w:rPr>
              <w:t>In the demo Data Connect area, upload CSV/TXT/XLSX samples that have passed the privacy checks.</w:t>
            </w:r>
          </w:p>
        </w:tc>
      </w:tr>
    </w:tbl>
    <w:p>
      <w:pPr>
        <w:pStyle w:val="Heading1"/>
      </w:pPr>
      <w:r>
        <w:rPr>
          <w:rFonts w:ascii="Calibri" w:hAnsi="Calibri"/>
          <w:color w:val="00234C"/>
        </w:rPr>
        <w:t>4. Field Definitions</w:t>
      </w:r>
    </w:p>
    <w:tbl>
      <w:tblPr>
        <w:tblW w:type="auto" w:w="0"/>
        <w:jc w:val="center"/>
        <w:tblLayout w:type="fixed"/>
        <w:tblLook w:firstColumn="1" w:firstRow="1" w:lastColumn="0" w:lastRow="0" w:noHBand="0" w:noVBand="1" w:val="04A0"/>
      </w:tblPr>
      <w:tblGrid>
        <w:gridCol w:w="4896"/>
        <w:gridCol w:w="4896"/>
      </w:tblGrid>
      <w:tr>
        <w:tc>
          <w:tcPr>
            <w:tcW w:type="dxa" w:w="4896"/>
            <w:vAlign w:val="center"/>
            <w:shd w:fill="E8EEF5"/>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color w:val="00234C"/>
                <w:sz w:val="20"/>
              </w:rPr>
              <w:t>Field</w:t>
            </w:r>
          </w:p>
        </w:tc>
        <w:tc>
          <w:tcPr>
            <w:tcW w:type="dxa" w:w="4896"/>
            <w:vAlign w:val="center"/>
            <w:shd w:fill="E8EEF5"/>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color w:val="00234C"/>
                <w:sz w:val="20"/>
              </w:rPr>
              <w:t>Meaning</w:t>
            </w:r>
          </w:p>
        </w:tc>
      </w:tr>
      <w:tr>
        <w:tc>
          <w:tcPr>
            <w:tcW w:type="dxa" w:w="4896"/>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color w:val="00234C"/>
                <w:sz w:val="20"/>
              </w:rPr>
              <w:t>Baseline Annual Process Cost</w:t>
            </w:r>
          </w:p>
        </w:tc>
        <w:tc>
          <w:tcPr>
            <w:tcW w:type="dxa" w:w="4896"/>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val="0"/>
                <w:sz w:val="20"/>
              </w:rPr>
              <w:t>Annualized cost before AI changes. Use process-level or department-level finance data.</w:t>
            </w:r>
          </w:p>
        </w:tc>
      </w:tr>
      <w:tr>
        <w:tc>
          <w:tcPr>
            <w:tcW w:type="dxa" w:w="4896"/>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color w:val="00234C"/>
                <w:sz w:val="20"/>
              </w:rPr>
              <w:t>Post-AI Annual Process Cost</w:t>
            </w:r>
          </w:p>
        </w:tc>
        <w:tc>
          <w:tcPr>
            <w:tcW w:type="dxa" w:w="4896"/>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val="0"/>
                <w:sz w:val="20"/>
              </w:rPr>
              <w:t>Annualized cost after AI changes, measured on the same workflow boundary.</w:t>
            </w:r>
          </w:p>
        </w:tc>
      </w:tr>
      <w:tr>
        <w:tc>
          <w:tcPr>
            <w:tcW w:type="dxa" w:w="4896"/>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color w:val="00234C"/>
                <w:sz w:val="20"/>
              </w:rPr>
              <w:t>Annual AI Costs / A</w:t>
            </w:r>
          </w:p>
        </w:tc>
        <w:tc>
          <w:tcPr>
            <w:tcW w:type="dxa" w:w="4896"/>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val="0"/>
                <w:sz w:val="20"/>
              </w:rPr>
              <w:t>Licences, cloud, integration, training, security, maintenance, and change management to subtract.</w:t>
            </w:r>
          </w:p>
        </w:tc>
      </w:tr>
      <w:tr>
        <w:tc>
          <w:tcPr>
            <w:tcW w:type="dxa" w:w="4896"/>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color w:val="00234C"/>
                <w:sz w:val="20"/>
              </w:rPr>
              <w:t>Adjustment Rate / a</w:t>
            </w:r>
          </w:p>
        </w:tc>
        <w:tc>
          <w:tcPr>
            <w:tcW w:type="dxa" w:w="4896"/>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val="0"/>
                <w:sz w:val="20"/>
              </w:rPr>
              <w:t>Conservative reduction for uncertainty, external factors, evidence limits, or baseline weakness.</w:t>
            </w:r>
          </w:p>
        </w:tc>
      </w:tr>
      <w:tr>
        <w:tc>
          <w:tcPr>
            <w:tcW w:type="dxa" w:w="4896"/>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color w:val="00234C"/>
                <w:sz w:val="20"/>
              </w:rPr>
              <w:t>Allocation Rate / d</w:t>
            </w:r>
          </w:p>
        </w:tc>
        <w:tc>
          <w:tcPr>
            <w:tcW w:type="dxa" w:w="4896"/>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val="0"/>
                <w:sz w:val="20"/>
              </w:rPr>
              <w:t>Small pre-agreed share of net verified AI gain that may become retirement value.</w:t>
            </w:r>
          </w:p>
        </w:tc>
      </w:tr>
      <w:tr>
        <w:tc>
          <w:tcPr>
            <w:tcW w:type="dxa" w:w="4896"/>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color w:val="00234C"/>
                <w:sz w:val="20"/>
              </w:rPr>
              <w:t>Employees Covered</w:t>
            </w:r>
          </w:p>
        </w:tc>
        <w:tc>
          <w:tcPr>
            <w:tcW w:type="dxa" w:w="4896"/>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val="0"/>
                <w:sz w:val="20"/>
              </w:rPr>
              <w:t>Aggregated eligible population agreed before measurement started.</w:t>
            </w:r>
          </w:p>
        </w:tc>
      </w:tr>
      <w:tr>
        <w:tc>
          <w:tcPr>
            <w:tcW w:type="dxa" w:w="4896"/>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color w:val="00234C"/>
                <w:sz w:val="20"/>
              </w:rPr>
              <w:t>O</w:t>
            </w:r>
          </w:p>
        </w:tc>
        <w:tc>
          <w:tcPr>
            <w:tcW w:type="dxa" w:w="4896"/>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val="0"/>
                <w:sz w:val="20"/>
              </w:rPr>
              <w:t>Operating cost avoided, including documented process cost or overtime reduction.</w:t>
            </w:r>
          </w:p>
        </w:tc>
      </w:tr>
      <w:tr>
        <w:tc>
          <w:tcPr>
            <w:tcW w:type="dxa" w:w="4896"/>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color w:val="00234C"/>
                <w:sz w:val="20"/>
              </w:rPr>
              <w:t>S</w:t>
            </w:r>
          </w:p>
        </w:tc>
        <w:tc>
          <w:tcPr>
            <w:tcW w:type="dxa" w:w="4896"/>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val="0"/>
                <w:sz w:val="20"/>
              </w:rPr>
              <w:t>External spend avoided, such as outsourcing, contractor, or temporary labour spend.</w:t>
            </w:r>
          </w:p>
        </w:tc>
      </w:tr>
      <w:tr>
        <w:tc>
          <w:tcPr>
            <w:tcW w:type="dxa" w:w="4896"/>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color w:val="00234C"/>
                <w:sz w:val="20"/>
              </w:rPr>
              <w:t>Q</w:t>
            </w:r>
          </w:p>
        </w:tc>
        <w:tc>
          <w:tcPr>
            <w:tcW w:type="dxa" w:w="4896"/>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val="0"/>
                <w:sz w:val="20"/>
              </w:rPr>
              <w:t>Quality savings from fewer errors, rework, waste, compliance events, or defects.</w:t>
            </w:r>
          </w:p>
        </w:tc>
      </w:tr>
      <w:tr>
        <w:tc>
          <w:tcPr>
            <w:tcW w:type="dxa" w:w="4896"/>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color w:val="00234C"/>
                <w:sz w:val="20"/>
              </w:rPr>
              <w:t>M</w:t>
            </w:r>
          </w:p>
        </w:tc>
        <w:tc>
          <w:tcPr>
            <w:tcW w:type="dxa" w:w="4896"/>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val="0"/>
                <w:sz w:val="20"/>
              </w:rPr>
              <w:t>Margin or throughput value supported by evidenced additional output and margin.</w:t>
            </w:r>
          </w:p>
        </w:tc>
      </w:tr>
    </w:tbl>
    <w:p>
      <w:pPr>
        <w:pStyle w:val="Heading1"/>
      </w:pPr>
      <w:r>
        <w:rPr>
          <w:rFonts w:ascii="Calibri" w:hAnsi="Calibri"/>
          <w:color w:val="00234C"/>
        </w:rPr>
        <w:t>5. Calculation Logic</w:t>
      </w:r>
    </w:p>
    <w:p>
      <w:pPr>
        <w:pStyle w:val="ListBullet"/>
      </w:pPr>
      <w:r>
        <w:t>Eligible Gross Gain = O + S + Q + M</w:t>
      </w:r>
    </w:p>
    <w:p>
      <w:pPr>
        <w:pStyle w:val="ListBullet"/>
      </w:pPr>
      <w:r>
        <w:t>Net Verified AI Gain = max(0, Eligible Gross Gain x (1 - a) - A)</w:t>
      </w:r>
    </w:p>
    <w:p>
      <w:pPr>
        <w:pStyle w:val="ListBullet"/>
      </w:pPr>
      <w:r>
        <w:t>Pension Allocation = Net Verified AI Gain x d</w:t>
      </w:r>
    </w:p>
    <w:p>
      <w:pPr>
        <w:pStyle w:val="ListBullet"/>
      </w:pPr>
      <w:r>
        <w:t>Company Retained Gain = Net Verified AI Gain - Pension Allocation</w:t>
      </w:r>
    </w:p>
    <w:p>
      <w:pPr>
        <w:pStyle w:val="ListBullet"/>
      </w:pPr>
      <w:r>
        <w:t>Pension Value / Employee = Pension Allocation / Employees Covered</w:t>
      </w:r>
    </w:p>
    <w:p>
      <w:r>
        <w:br w:type="page"/>
      </w:r>
    </w:p>
    <w:tbl>
      <w:tblPr>
        <w:tblW w:type="auto" w:w="0"/>
        <w:jc w:val="center"/>
        <w:tblLayout w:type="fixed"/>
        <w:tblLook w:firstColumn="1" w:firstRow="1" w:lastColumn="0" w:lastRow="0" w:noHBand="0" w:noVBand="1" w:val="04A0"/>
      </w:tblPr>
      <w:tblGrid>
        <w:gridCol w:w="9792"/>
      </w:tblGrid>
      <w:tr>
        <w:tc>
          <w:tcPr>
            <w:tcW w:type="dxa" w:w="9792"/>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shd w:fill="F6F2E8"/>
          </w:tcPr>
          <w:p>
            <w:r>
              <w:rPr>
                <w:rFonts w:ascii="Calibri" w:hAnsi="Calibri"/>
                <w:b/>
                <w:color w:val="00234C"/>
                <w:sz w:val="22"/>
              </w:rPr>
              <w:t>No-gain rule</w:t>
            </w:r>
            <w:r>
              <w:rPr>
                <w:rFonts w:ascii="Calibri" w:hAnsi="Calibri"/>
              </w:rPr>
              <w:br/>
              <w:t>If Net Verified AI Gain is zero or negative, Pension Allocation and Pension Value / Employee should be zero. No verified gain, no pension allocation.</w:t>
            </w:r>
          </w:p>
        </w:tc>
      </w:tr>
    </w:tbl>
    <w:p/>
    <w:p>
      <w:pPr>
        <w:pStyle w:val="Heading1"/>
      </w:pPr>
      <w:r>
        <w:rPr>
          <w:rFonts w:ascii="Calibri" w:hAnsi="Calibri"/>
          <w:color w:val="00234C"/>
        </w:rPr>
        <w:t>6. Recommended Demo Script</w:t>
      </w:r>
    </w:p>
    <w:p>
      <w:pPr>
        <w:pStyle w:val="ListNumber"/>
      </w:pPr>
      <w:r>
        <w:t>Start with the public site and explain that the demo is a prototype preview.</w:t>
      </w:r>
    </w:p>
    <w:p>
      <w:pPr>
        <w:pStyle w:val="ListNumber"/>
      </w:pPr>
      <w:r>
        <w:t>Open the interactive demo only when access control is ready or when using a private direct URL.</w:t>
      </w:r>
    </w:p>
    <w:p>
      <w:pPr>
        <w:pStyle w:val="ListNumber"/>
      </w:pPr>
      <w:r>
        <w:t>Show Data Connect first to explain safe aggregated upload boundaries.</w:t>
      </w:r>
    </w:p>
    <w:p>
      <w:pPr>
        <w:pStyle w:val="ListNumber"/>
      </w:pPr>
      <w:r>
        <w:t>Move to Verified Ledger to show measured gain, small allocation, and company retained gain.</w:t>
      </w:r>
    </w:p>
    <w:p>
      <w:pPr>
        <w:pStyle w:val="ListNumber"/>
      </w:pPr>
      <w:r>
        <w:t>Use Scenario Output only after explaining that it is illustrative, not verified pilot evidence.</w:t>
      </w:r>
    </w:p>
    <w:p>
      <w:pPr>
        <w:pStyle w:val="ListNumber"/>
      </w:pPr>
      <w:r>
        <w:t>End with Partner Instruction to show that TOMO PENSION prepares instructions but does not touch funds.</w:t>
      </w:r>
    </w:p>
    <w:p>
      <w:pPr>
        <w:pStyle w:val="Heading1"/>
      </w:pPr>
      <w:r>
        <w:rPr>
          <w:rFonts w:ascii="Calibri" w:hAnsi="Calibri"/>
          <w:color w:val="00234C"/>
        </w:rPr>
        <w:t>7. Files Included</w:t>
      </w:r>
    </w:p>
    <w:tbl>
      <w:tblPr>
        <w:tblW w:type="auto" w:w="0"/>
        <w:jc w:val="center"/>
        <w:tblLayout w:type="fixed"/>
        <w:tblLook w:firstColumn="1" w:firstRow="1" w:lastColumn="0" w:lastRow="0" w:noHBand="0" w:noVBand="1" w:val="04A0"/>
      </w:tblPr>
      <w:tblGrid>
        <w:gridCol w:w="4896"/>
        <w:gridCol w:w="4896"/>
      </w:tblGrid>
      <w:tr>
        <w:tc>
          <w:tcPr>
            <w:tcW w:type="dxa" w:w="4896"/>
            <w:vAlign w:val="center"/>
            <w:shd w:fill="E8EEF5"/>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color w:val="00234C"/>
                <w:sz w:val="20"/>
              </w:rPr>
              <w:t>File</w:t>
            </w:r>
          </w:p>
        </w:tc>
        <w:tc>
          <w:tcPr>
            <w:tcW w:type="dxa" w:w="4896"/>
            <w:vAlign w:val="center"/>
            <w:shd w:fill="E8EEF5"/>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color w:val="00234C"/>
                <w:sz w:val="20"/>
              </w:rPr>
              <w:t>Use</w:t>
            </w:r>
          </w:p>
        </w:tc>
      </w:tr>
      <w:tr>
        <w:tc>
          <w:tcPr>
            <w:tcW w:type="dxa" w:w="4896"/>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color w:val="00234C"/>
                <w:sz w:val="20"/>
              </w:rPr>
              <w:t>TOMO_PENSION_Detailed_Demo_Input_Sample.xlsx</w:t>
            </w:r>
          </w:p>
        </w:tc>
        <w:tc>
          <w:tcPr>
            <w:tcW w:type="dxa" w:w="4896"/>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val="0"/>
                <w:sz w:val="20"/>
              </w:rPr>
              <w:t>Detailed workbook for entering and reviewing demo data.</w:t>
            </w:r>
          </w:p>
        </w:tc>
      </w:tr>
      <w:tr>
        <w:tc>
          <w:tcPr>
            <w:tcW w:type="dxa" w:w="4896"/>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color w:val="00234C"/>
                <w:sz w:val="20"/>
              </w:rPr>
              <w:t>public/templates/*.csv and *.xlsx</w:t>
            </w:r>
          </w:p>
        </w:tc>
        <w:tc>
          <w:tcPr>
            <w:tcW w:type="dxa" w:w="4896"/>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val="0"/>
                <w:sz w:val="20"/>
              </w:rPr>
              <w:t>Existing prototype upload templates for Data Connect.</w:t>
            </w:r>
          </w:p>
        </w:tc>
      </w:tr>
      <w:tr>
        <w:tc>
          <w:tcPr>
            <w:tcW w:type="dxa" w:w="4896"/>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color w:val="00234C"/>
                <w:sz w:val="20"/>
              </w:rPr>
              <w:t>TOMO_PENSION_User_Guide_Data_Input.docx</w:t>
            </w:r>
          </w:p>
        </w:tc>
        <w:tc>
          <w:tcPr>
            <w:tcW w:type="dxa" w:w="4896"/>
            <w:vAlign w:val="center"/>
            <w:tcBorders>
              <w:top w:val="single" w:sz="4" w:space="0" w:color="BFCBC6"/>
              <w:left w:val="single" w:sz="4" w:space="0" w:color="BFCBC6"/>
              <w:bottom w:val="single" w:sz="4" w:space="0" w:color="BFCBC6"/>
              <w:right w:val="single" w:sz="4" w:space="0" w:color="BFCBC6"/>
              <w:insideH w:val="single" w:sz="4" w:space="0" w:color="BFCBC6"/>
              <w:insideV w:val="single" w:sz="4" w:space="0" w:color="BFCBC6"/>
            </w:tcBorders>
          </w:tcPr>
          <w:p>
            <w:r/>
            <w:r>
              <w:rPr>
                <w:rFonts w:ascii="Calibri" w:hAnsi="Calibri"/>
                <w:b w:val="0"/>
                <w:sz w:val="20"/>
              </w:rPr>
              <w:t>This user guide.</w:t>
            </w:r>
          </w:p>
        </w:tc>
      </w:tr>
    </w:tbl>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C88C15"/>
        <w:sz w:val="18"/>
      </w:rPr>
      <w:t>TOMO PENSION - Measured gains. Verified value. Shared future.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