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Architecture Patterns</w:t>
      </w:r>
    </w:p>
    <w:p>
      <w:r>
        <w:t>Software architecture defines the high-level structure of software systems.</w:t>
      </w:r>
    </w:p>
    <w:p>
      <w:r>
        <w:t>Microservices architecture decomposes applications into independently deployable services.</w:t>
      </w:r>
    </w:p>
    <w:p>
      <w:r>
        <w:t>Event-driven architecture uses events to trigger and communicate between services.</w:t>
      </w:r>
    </w:p>
    <w:p>
      <w:r>
        <w:t>The Model-View-Controller pattern separates concerns in user interface applications.</w:t>
      </w:r>
    </w:p>
    <w:p>
      <w:r>
        <w:t>Repository pattern abstracts data access logic from business logic in applications.</w:t>
      </w:r>
    </w:p>
    <w:p>
      <w:r>
        <w:t>CQRS separates command (write) and query (read) responsibilities for scalability.</w:t>
      </w:r>
    </w:p>
    <w:p>
      <w:r>
        <w:t>Hexagonal architecture isolates application core from external systems and infrastructure.</w:t>
      </w:r>
    </w:p>
    <w:p>
      <w:r>
        <w:t>Domain-driven design aligns software structure with business domain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