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Advanced Natural Language Processing</w:t>
      </w:r>
    </w:p>
    <w:p>
      <w:r>
        <w:t>Large language models are trained on massive text corpora using self-supervised learning.</w:t>
      </w:r>
    </w:p>
    <w:p>
      <w:r>
        <w:t>Attention mechanisms allow models to focus on relevant parts of input sequences.</w:t>
      </w:r>
    </w:p>
    <w:p>
      <w:r>
        <w:t>The transformer architecture revolutionized NLP with parallel sequence processing.</w:t>
      </w:r>
    </w:p>
    <w:p>
      <w:r>
        <w:t>BERT learns bidirectional representations by predicting masked words in context.</w:t>
      </w:r>
    </w:p>
    <w:p>
      <w:r>
        <w:t>GPT models generate coherent text autoregressively given a starting prompt.</w:t>
      </w:r>
    </w:p>
    <w:p>
      <w:r>
        <w:t>Fine-tuning adapts pre-trained language models to specific downstream tasks.</w:t>
      </w:r>
    </w:p>
    <w:p>
      <w:r>
        <w:t>Retrieval-augmented generation combines language models with external knowledge bases.</w:t>
      </w:r>
    </w:p>
    <w:p>
      <w:r>
        <w:t>Chain-of-thought prompting improves reasoning by eliciting step-by-step explanations.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