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123B5D"/>
          <w:sz w:val="36"/>
          <w:szCs w:val="36"/>
        </w:rPr>
        <w:t xml:space="preserve">轻量化轴对称 Taylor 锥求解器
</w:t>
      </w:r>
      <w:r>
        <w:rPr>
          <w:b/>
          <w:bCs/>
          <w:color w:val="2F6F8F"/>
          <w:sz w:val="28"/>
          <w:szCs w:val="28"/>
        </w:rPr>
        <w:t xml:space="preserve">教授评审版：项目执行计划、创新定位与两条验证路线</w:t>
      </w:r>
    </w:p>
    <w:p>
      <w:r>
        <w:t xml:space="preserve">提交目的：诚请教授从数学闭合、数值验证、创新性、软件交叉验证与实验可行性五个方面提出批评和指导。本文档不是在宣称项目已经完成物理验证，而是对现有证据、待完成工作和两种可行验证路线的诚实说明。</w:t>
      </w:r>
    </w:p>
    <w:p>
      <w:r>
        <w:t xml:space="preserve">版本日期：2026年9月10日　项目状态：计算工作仍需补完；物理实验尚未进行。</w:t>
      </w:r>
    </w:p>
    <w:p>
      <w:pPr>
        <w:pStyle w:val="Heading1"/>
        <w:spacing w:after="140" w:before="260"/>
      </w:pPr>
      <w:r>
        <w:t xml:space="preserve">一、给教授的简短摘要</w:t>
      </w:r>
    </w:p>
    <w:p>
      <w:r>
        <w:t xml:space="preserve">本项目研究一个轻量化、开源的二维轴对称电静力—毛细力 Taylor 锥模型。当前代码能够在规则轴对称 Poisson 问题上进行稀疏有限差分求解，并已通过 82 项自动化测试；一个非平凡的四次制造解在四级网格上呈现约二阶收敛。代码还包含图形界面、候选锥面、Maxwell—Young–Laplace 残差和电压幅值投影。</w:t>
      </w:r>
    </w:p>
    <w:p>
      <w:r>
        <w:t xml:space="preserve">目前不能把该模型称为完整电喷雾模拟器、无约束自由边界求解器或已验证的物理起始电压预测器。核心待回答的问题是：在明确限定的模型范围内，简化求解器是否能以较低计算成本稳定恢复几何信息；哪些参数可识别；哪些预测对网格、外域、尖端截断、压力闭合和边界条件高度敏感。</w:t>
      </w:r>
    </w:p>
    <w:p>
      <w:pPr>
        <w:pStyle w:val="Heading1"/>
        <w:spacing w:after="140" w:before="260"/>
      </w:pPr>
      <w:r>
        <w:t xml:space="preserve">二、当前证据与项目定位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项目方面</w:t>
            </w:r>
          </w:p>
        </w:tc>
        <w:tc>
          <w:tcPr>
            <w:tcW w:type="dxa" w:w="45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当前可支持的表述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代码与测试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现有环境中 82 项测试通过；测试覆盖网格、轴正则性、边界条件、曲率、压力投影、残差和部分优化行为。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制造解验证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规则轴对称 Poisson 组件在四级网格上观察到约二阶收敛；这不是完整耦合 Taylor 锥模型的收敛证明。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模型范围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单值图形/受限锥族界面；静电场与毛细—Maxwell 残差；可选的经验性空间电荷闭合。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尚未证明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耦合浸入界面算子收敛、唯一物理解、真实起始电压、实验相机测量精度、相对于匹配基线的速度优势。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当前最佳创新假设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用透明的幅值投影、受限界面表示与敏感性/可识别性分析，量化轻量模型在哪些观测量上可靠、在哪些参数上无法独立确定。</w:t>
            </w:r>
          </w:p>
        </w:tc>
      </w:tr>
    </w:tbl>
    <w:p>
      <w:pPr>
        <w:pStyle w:val="Heading1"/>
        <w:spacing w:after="140" w:before="260"/>
      </w:pPr>
      <w:r>
        <w:t xml:space="preserve">三、为什么现在变得更谨慎</w:t>
      </w:r>
    </w:p>
    <w:p>
      <w:r>
        <w:t xml:space="preserve">原稿曾把多个不同层次的结果合并为一个较强结论：规则 Poisson 正确、候选锥面可计算、Taylor 角可复现、优化器可运行、起始电压可推断、图像管线已验证，并且方法轻量且具有创新性。实际证据只直接支持其中一部分。科学上正确的做法不是删除项目，而是把每个结论拆开，分别验证。这样做反而能形成更强的研究故事：几何观测可能稳定，而电压推断可能受压力闭合和边界条件影响而不可识别。</w:t>
      </w:r>
    </w:p>
    <w:p>
      <w:pPr>
        <w:pStyle w:val="Heading1"/>
        <w:spacing w:after="140" w:before="260"/>
      </w:pPr>
      <w:r>
        <w:t xml:space="preserve">四、建议的核心研究贡献</w:t>
      </w:r>
    </w:p>
    <w:p>
      <w:r>
        <w:t xml:space="preserve">建议优先争取以下综合结论：在一个明确的有限域、静电—毛细简化问题中，幅值投影与受限界面参数化能够以可量化的低成本恢复某些几何/应力观测量；与此同时，系统敏感性分析显示，锥角与投影电压的可靠程度不同，后者需要额外的物理闭合或实验观测。</w:t>
      </w:r>
    </w:p>
    <w:p>
      <w:r>
        <w:t xml:space="preserve">如果数据不支持正面的速度优势，第二种同样有价值的贡献是：锥角在某些数值扰动下具有鲁棒性，但投影电压并不具有唯一可识别性。该结果应被当作研究发现，而不是失败。</w:t>
      </w:r>
    </w:p>
    <w:p>
      <w:pPr>
        <w:pStyle w:val="Heading1"/>
        <w:spacing w:after="140" w:before="260"/>
      </w:pPr>
      <w:r>
        <w:t xml:space="preserve">五、执行总路线与决策门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目标与交付物</w:t>
            </w:r>
          </w:p>
        </w:tc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A–B：证据与复现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 claim ledger、运行清单、干净环境测试和历史证据隔离。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每个保留数字都有命令、原始输出、版本和允许措辞。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C：数学闭合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完成方程—代码映射、无量纲化、压力/电压投影推导及退化情况。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定义、符号、代码和术语一致。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D：完整数值验证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规则场、浸入界面、Taylor 一致性、域/尖端/窗口敏感性、优化器重复初值。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每个保留结论都达到对应验证层级。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E–F：价值与可识别性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匹配基线的准确度—成本曲线、消融实验、目标函数景观和条件性。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不再用“轻量”作无数据修辞；明确可识别参数。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G：图像管线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修复端到端像素—轮廓—标定—角度链，并用留出合成集测试。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通过预先规定的误差与失败率门槛，否则删除图像精度声明。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H–I：创新与论文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完成一手文献矩阵、贡献段落、主文/补充材料、自动生成表图和 PDF。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论文没有过期测试数或未经支持的实验/图像结论。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J：教授/实验室评审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形成软件交叉验证版和实际实验版的请求包。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明确已完成、待教授决定和只能由实验室完成的事项。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t xml:space="preserve">六、验证路线一：购买或获得 COMSOL 交叉验证</w:t>
      </w:r>
    </w:p>
    <w:p>
      <w:r>
        <w:t xml:space="preserve">目的不是用 COMSOL “证明”自己的算法，也不是比较两个不同问题的输出，而是建立一个边界条件、几何、材料参数、网格尺度和误差指标都事先匹配的有限域参考。教授可能已有学校许可，因此在购买前应先确认是否能使用学校、实验室或合作单位的许可证。若 COMSOL 不能提供所需模块，使用可复现的开源有限元基线也可以，但必须相应缩小比较声明。</w:t>
      </w:r>
    </w:p>
    <w:p>
      <w:pPr>
        <w:pStyle w:val="Heading2"/>
        <w:spacing w:after="140" w:before="260"/>
      </w:pPr>
      <w:r>
        <w:t xml:space="preserve">6.1 COMSOL 版本的最小问题定义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先只比较线性静电场：同一轴对称几何、同一电极电势、同一外边界、同一介电常数和同一无量纲化。暂时不加入空间电荷、瞬态流体或复杂电荷输运。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固定一个或多个已知界面形状，比较电势场、法向电场和 Maxwell 应力，而不是一开始比较优化器输出。这样可分离场求解误差和自由界面误差。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随后再比较毛细压力、残差和投影电压；所有量使用同一法向方向、曲率符号和单位。</w:t>
      </w:r>
    </w:p>
    <w:p>
      <w:pPr>
        <w:pStyle w:val="Heading2"/>
        <w:spacing w:after="140" w:before="260"/>
      </w:pPr>
      <w:r>
        <w:t xml:space="preserve">6.2 具体工作包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工作包</w:t>
            </w:r>
          </w:p>
        </w:tc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产出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C1 软件可行性确认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确认许可、轴对称静电模块、参数化几何、网格/求解器设置和导出接口。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教授/学校可执行的 COMSOL 配置说明。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C2 匹配基线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复制规则几何和有限域，锁定边界和电势。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COMSOL 模型文件、参数表、边界截图。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C3 固定几何场比较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在三至四个网格尺度导出电势、Er、Ez、En 和应力。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字段误差表、网格收敛图。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C4 残差比较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把两套场插值到同一界面采样点，比较曲率、Maxwell 项和残差。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逐点误差和范数表。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C5 优化/识别比较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 C3/C4 通过后比较候选锥族优化；记录初值、边界、评价次数和失败。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目标景观、结果稳定性和失败摘要。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C6 成本比较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记录硬件、线程、内存、自由度、场求解和总时间；按匹配误差比较。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准确度—成本前沿；若无优势则不声称更快。</w:t>
            </w:r>
          </w:p>
        </w:tc>
      </w:tr>
    </w:tbl>
    <w:p>
      <w:pPr>
        <w:pStyle w:val="Heading2"/>
        <w:spacing w:after="140" w:before="260"/>
      </w:pPr>
      <w:r>
        <w:t xml:space="preserve">6.3 COMSOL 路线的停止和决策规则</w:t>
      </w:r>
    </w:p>
    <w:p>
      <w:r>
        <w:t xml:space="preserve">如果固定几何场比较不能对齐，先修数学/边界/单位，不得进入优化比较。如果只能通过不同边界或不同几何得到相同角度，则该结果不能称为独立验证。如果开源基线足够匹配，则不必购买软件。购买决定应由教授确认模块需求、许可证可用性、模型规模和比较问题，而不是由“拥有商业软件”本身驱动。</w:t>
      </w:r>
    </w:p>
    <w:p>
      <w:pPr>
        <w:pStyle w:val="Heading1"/>
        <w:spacing w:after="140" w:before="260"/>
      </w:pPr>
      <w:r>
        <w:t xml:space="preserve">七、验证路线二：实际物理实验</w:t>
      </w:r>
    </w:p>
    <w:p>
      <w:r>
        <w:t xml:space="preserve">实验路线不是为了补一个漂亮图片，而是检验预先冻结的可观测量。必须由合格实验室人员负责高压、电极、液体、相机和安全审批。项目方不应自行把实验建议当作安全操作规程。</w:t>
      </w:r>
    </w:p>
    <w:p>
      <w:pPr>
        <w:pStyle w:val="Heading2"/>
        <w:spacing w:after="140" w:before="260"/>
      </w:pPr>
      <w:r>
        <w:t xml:space="preserve">7.1 实验问题</w:t>
      </w:r>
    </w:p>
    <w:p>
      <w:r>
        <w:t xml:space="preserve">在固定液体、电极/喷嘴几何和可记录的操作条件下，模型能否在其声明的有限范围内预测接近起始状态的锥面几何（优先是锥角和剖面），并且预测误差是否小于预先规定的测量不确定度和基线差异？起始电压仅在操作状态定义、仪器校准和模型闭合都足够清楚时作为次要观测量。</w:t>
      </w:r>
    </w:p>
    <w:p>
      <w:pPr>
        <w:pStyle w:val="Heading2"/>
        <w:spacing w:after="140" w:before="260"/>
      </w:pPr>
      <w:r>
        <w:t xml:space="preserve">7.2 实验工作包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工作包</w:t>
            </w:r>
          </w:p>
        </w:tc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0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产出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 主持人审查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由教授/实验室确认装置、液体、电子设备、高压方案和安全流程。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批准范围与待填参数表。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 光学标定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在真实成像几何中完成像素尺寸、畸变、焦平面和坐标方向标定。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标定文件、误差和空白检查。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 预注册分析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冻结稳定帧选择、ROI、分割、轮廓、轴、角度窗口、剔除规则和统计方法。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版本化分析协议。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P4 小规模试采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只用于检查可见性、饱和、背景、稳定状态和时间变化，不用于调参后宣称验证。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试采失败/成功清单。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P5 正式重复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在预算允许范围内做独立重复，记录共享标定误差和缺失元数据。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原始图像、元数据、排除记录。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P6 盲态比较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在查看结果前锁定模型参数和比较指标，输出几何误差及不确定度。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模型—数据对照和限制。</w:t>
            </w:r>
          </w:p>
        </w:tc>
      </w:tr>
    </w:tbl>
    <w:p>
      <w:pPr>
        <w:pStyle w:val="Heading2"/>
        <w:spacing w:after="140" w:before="260"/>
      </w:pPr>
      <w:r>
        <w:t xml:space="preserve">7.3 实验路线的停止规则</w:t>
      </w:r>
    </w:p>
    <w:p>
      <w:r>
        <w:t xml:space="preserve">若无法形成稳定、可重复、可标定的观测状态，实验路线应报告为不可行性结果，而不是用少量精选图片支持模型。若图像管线在合成留出集上不合格，先修管线或取消定量角度主张。若实验只能测到锥角而不能可靠测到电压，研究问题应改为几何验证，不应把电压写成已验证预测。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八、两条路线的选择建议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选择</w:t>
            </w:r>
          </w:p>
        </w:tc>
        <w:tc>
          <w:tcPr>
            <w:tcW w:type="dxa" w:w="225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优点</w:t>
            </w:r>
          </w:p>
        </w:tc>
        <w:tc>
          <w:tcPr>
            <w:tcW w:type="dxa" w:w="225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  <w:tc>
          <w:tcPr>
            <w:tcW w:type="dxa" w:w="225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适合的论文作用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COMSOL/有限元交叉验证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较快、可控、能分离数值场误差；适合先完成。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不是物理验证；商业许可和模块可能受限。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支持数学/数值正确性与成本比较。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实际实验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提供真实物理检验和更强的潜在影响。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需要安全审批、光学标定、稳定状态和更多不可控因素。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支持模型—观测比较，但不能替代数值验证。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先软件后实验（建议）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先修复边界/单位/残差，减少将错误带入高压实验的风险。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需要教授或学校提供基线访问。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最稳妥的主路线。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并行准备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软件和实验协议可同步准备。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容易把未验证的模型过早带入实验。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适合文档和低风险预注册，不适合提前调参。</w:t>
            </w:r>
          </w:p>
        </w:tc>
      </w:tr>
    </w:tbl>
    <w:p>
      <w:r>
        <w:t xml:space="preserve">建议先把软件交叉验证作为主计算路线，同时把物理实验准备成教授审查包。不要因为购买 COMSOL 或获得实验室许可，就把模型自动升级为物理预测器；每一步都必须与既定的研究问题和误差预算匹配。</w:t>
      </w:r>
    </w:p>
    <w:p>
      <w:pPr>
        <w:pStyle w:val="Heading1"/>
        <w:spacing w:after="140" w:before="260"/>
      </w:pPr>
      <w:r>
        <w:t xml:space="preserve">九、论文立即可改进的部分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把题目改为“轻量化轴对称 Taylor 锥模型：数值验证、参数可识别性与验证策略”之类的临时题目，避免“已实验验证”或“预测起始电压”。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摘要只保留当前支持的结果：82 项测试、规则 Poisson 四级网格约二阶收敛、受限模型范围；将耦合模型和实验列为待验证。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删除旧的 74 项测试数字、旧的 roundoff 收敛证据和未通过当前重跑的合成图像精度表。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新增“模型范围与遗漏”小节，明确不含瞬态流体、断裂、一般电荷输运、蒸发和完整 leaky-dielectric 物理。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结果部分按层级排列：算子/场/几何/耦合/优化；不要用底层单元测试替代完整自由边界验证。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新增目标函数景观、初值重复、域/尖端/窗口敏感性和匹配基线图；每张图回答一个问题。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把图像章节改为“待资格审查的分析协议”，直到留出集合格；合成图像准确性不等于真实相机标定。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用一手文献完成贡献矩阵后再决定“创新”措辞；若贡献是增量性的，应精确说出新增的量化结果。</w:t>
      </w:r>
    </w:p>
    <w:p>
      <w:pPr>
        <w:pStyle w:val="Heading1"/>
        <w:spacing w:after="140" w:before="260"/>
      </w:pPr>
      <w:r>
        <w:t xml:space="preserve">十、希望教授重点回答的问题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4500"/>
            <w:shd w:fill="D9EAF7" w:val="clear"/>
          </w:tcPr>
          <w:p>
            <w:r>
              <w:rPr>
                <w:b/>
                <w:bCs/>
                <w:sz w:val="19"/>
                <w:szCs w:val="19"/>
              </w:rPr>
              <w:t xml:space="preserve">为什么需要教授判断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当前的电压幅值投影和压力处理是否是有效且足够透明的数学简化？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涉及模型闭合、线性静电假设与可识别性，不能只靠代码测试决定。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COMSOL 是否是合适的匹配基线，还是建议使用已有实验室模型或开源有限元工具？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决定软件成本、比较公平性和工作量。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项目的最佳核心贡献应是效率优势、几何鲁棒性，还是电压不可识别性的量化？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决定论文研究问题和后续实验是否一致。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在教授实验室条件下，最安全且最有区分力的可观测量是什么？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决定是否测角度、剖面、起始状态或电压。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学生需要补充哪些方程推导、文献和对照实验才能达到高水平科学展评标准？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帮助优先处理影响创新和可信度的工作。</w:t>
            </w:r>
          </w:p>
        </w:tc>
      </w:tr>
    </w:tbl>
    <w:p>
      <w:pPr>
        <w:pStyle w:val="Heading1"/>
        <w:spacing w:after="140" w:before="260"/>
      </w:pPr>
      <w:r>
        <w:t xml:space="preserve">十一、当前交付物与复现命令</w:t>
      </w:r>
    </w:p>
    <w:p>
      <w:r>
        <w:t xml:space="preserve">当前仓库已有审计、测试、四次制造解收敛输出和论文草稿。教授审阅时应把论文视为工作稿，把本文件视为状态说明。建议先发送本文件、项目 README、Stage D 报告和当前 paper PDF；不要把历史 outreach PDF 当作当前安全或科学声明。</w:t>
      </w:r>
    </w:p>
    <w:p>
      <w:r>
        <w:t xml:space="preserve">复现命令：</w:t>
      </w:r>
    </w:p>
    <w:p>
      <w:r>
        <w:t xml:space="preserve">python3 -m pytest -q</w:t>
      </w:r>
    </w:p>
    <w:p>
      <w:r>
        <w:t xml:space="preserve">PYTHONPATH=solver python3 solver/examples/10_quartic_poisson_convergence.py</w:t>
      </w:r>
    </w:p>
    <w:p>
      <w:r>
        <w:t xml:space="preserve">PYTHONPATH=solver python3 solver/examples/00_manufactured_poisson.py</w:t>
      </w:r>
    </w:p>
    <w:p>
      <w:pPr>
        <w:pStyle w:val="Heading1"/>
        <w:spacing w:after="140" w:before="260"/>
      </w:pPr>
      <w:r>
        <w:t xml:space="preserve">十二、结论与诚实的停止边界</w:t>
      </w:r>
    </w:p>
    <w:p>
      <w:r>
        <w:t xml:space="preserve">本项目可以回到更强的原始方向，但必须通过证据恢复，而不是通过恢复旧措辞。最有价值的下一步是：先让教授审查数学闭合和验证路线；同时完成匹配的软件基线规范、耦合数值敏感性和目标函数可识别性分析；在合成图像管线合格后，再请求实验室进行安全审查。</w:t>
      </w:r>
    </w:p>
    <w:p>
      <w:r>
        <w:t xml:space="preserve">最终的计算论文可以在没有物理实验的情况下成立，但其标题和结论必须局限在已验证的 reduced problem。物理实验需要真实的光学标定、液体/电极参数、稳定状态、独立重复和合格主持人审批。只到达这些依赖时才进入“实验室阻塞”；在此之前的代码、数值、文献和文档工作仍属于项目方责任。</w:t>
      </w:r>
    </w:p>
    <w:p>
      <w:r>
        <w:t xml:space="preserve">致教授：非常感谢您审阅这个项目。我们尤其希望得到对研究问题是否足够有意义、模型是否数学上闭合、COMSOL/有限元交叉验证是否公平，以及实验路线是否安全且具有区分力的批评。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447"/>
        <w:sz w:val="22"/>
        <w:szCs w:val="22"/>
      </w:rPr>
    </w:rPrDefault>
    <w:pPrDefault>
      <w:pPr>
        <w:spacing w:after="150" w:line="1.1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2026-09-10T20:22:22.423Z</dcterms:created>
  <dcterms:modified xsi:type="dcterms:W3CDTF">2026-09-10T20:22:22.423Z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