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Africa Labour / Economic Activity Collector</w:t>
      </w:r>
    </w:p>
    <w:p>
      <w:pPr>
        <w:jc w:val="center"/>
      </w:pPr>
      <w:r>
        <w:rPr>
          <w:b w:val="0"/>
          <w:sz w:val="24"/>
        </w:rPr>
        <w:t>Progress Report — Work Done, Challenges &amp; Remedies, and Outstanding Items</w:t>
      </w:r>
    </w:p>
    <w:p>
      <w:pPr>
        <w:jc w:val="center"/>
      </w:pPr>
      <w:r>
        <w:rPr>
          <w:b w:val="0"/>
          <w:sz w:val="18"/>
        </w:rPr>
        <w:t>Generated 25 September 2026</w:t>
      </w:r>
    </w:p>
    <w:p/>
    <w:p>
      <w:pPr>
        <w:pStyle w:val="Heading1"/>
      </w:pPr>
      <w:r>
        <w:t>Executive Summary</w:t>
      </w:r>
    </w:p>
    <w:p>
      <w:r>
        <w:rPr>
          <w:b w:val="0"/>
          <w:sz w:val="21"/>
        </w:rPr>
        <w:t>The Africa Labour Collector harvests the COMPOSITION of employment -- what work people actually do -- from each African National Statistics Office, exactly as published: industry, occupation, status in employment, institutional sector, formal against informal, and activity status.</w:t>
      </w:r>
    </w:p>
    <w:p>
      <w:r>
        <w:rPr>
          <w:b w:val="0"/>
          <w:sz w:val="21"/>
        </w:rPr>
        <w:t>As at this reporting date, 23 countries are collected and validated, yielding 16,303 rows. Coverage is early, but the schema, the merge behaviour and the reading engine are settled and proven on the deepest source available -- South Africa's QLFS Trends workbook, 74 quarters from 2008 Q1.</w:t>
      </w:r>
    </w:p>
    <w:p>
      <w:r>
        <w:rPr>
          <w:b w:val="0"/>
          <w:sz w:val="21"/>
        </w:rPr>
        <w:t>THE BOUNDARY WITH `unemployment` IS DELIBERATE AND THERE IS NO OVERLAP. This indicator holds the composition of employment; the headline status series -- unemployment, participation and employment-to-population rates, the level counts behind them, and the LU1-LU4 ladder -- belongs to `unemployment`. A figure has exactly one home. Ghana's census-based regional unemployment rates were collected here until this round; they have moved next door, where a rate's strict/broad definition and working-age base are first-class columns.</w:t>
      </w:r>
    </w:p>
    <w:p>
      <w:r>
        <w:rPr>
          <w:b w:val="0"/>
          <w:sz w:val="21"/>
        </w:rPr>
        <w:t>The single most important schema decision is that THE CLASSIFICATION TRAVELS WITH THE CATEGORY. Stats SA's "Trade" is one of ten groups in its own national scheme; Malawi's "Wholesale and retail trade..." is an ISIC Rev.4 section. Categories are captured verbatim and never remapped, and the row builder refuses a category row that names no scheme.</w:t>
      </w:r>
    </w:p>
    <w:p>
      <w:pPr>
        <w:pStyle w:val="Heading1"/>
      </w:pPr>
      <w:r>
        <w:t>1. Objective and Scope</w:t>
      </w:r>
    </w:p>
    <w:p>
      <w:r>
        <w:rPr>
          <w:b w:val="0"/>
          <w:sz w:val="21"/>
        </w:rPr>
        <w:t>The objective is a single, auditable, machine-readable dataset of the composition of employment in Africa -- what work people do -- that faithfully mirrors each NSO's published categories, together with the classification that makes them interpretable. The guiding rules are:</w:t>
      </w:r>
    </w:p>
    <w:p>
      <w:pPr>
        <w:pStyle w:val="ListBullet"/>
      </w:pPr>
      <w:r>
        <w:rPr>
          <w:b w:val="0"/>
          <w:sz w:val="21"/>
        </w:rPr>
        <w:t>As published — no estimation, imputation, rescaling or recomputation; a figure is emitted exactly as the NSO printed it, or not at all.</w:t>
      </w:r>
    </w:p>
    <w:p>
      <w:pPr>
        <w:pStyle w:val="ListBullet"/>
      </w:pPr>
      <w:r>
        <w:rPr>
          <w:b w:val="0"/>
          <w:sz w:val="21"/>
        </w:rPr>
        <w:t>No aggregators — ILOSTAT, the World Bank, IMF, Knoema and similar re-estimate or harmonise national figures, and are excluded. Only the NSO's own publication counts as a source.</w:t>
      </w:r>
    </w:p>
    <w:p>
      <w:pPr>
        <w:pStyle w:val="ListBullet"/>
      </w:pPr>
      <w:r>
        <w:rPr>
          <w:b w:val="0"/>
          <w:sz w:val="21"/>
        </w:rPr>
        <w:t>As defined by the NSO — native definitions, bases and strata are kept as published rather than forced into a single convention.</w:t>
      </w:r>
    </w:p>
    <w:p>
      <w:pPr>
        <w:pStyle w:val="ListBullet"/>
      </w:pPr>
      <w:r>
        <w:rPr>
          <w:b w:val="0"/>
          <w:sz w:val="21"/>
        </w:rPr>
        <w:t>All periods — every period a document publishes is emitted, and runs MERGE into the existing output so an earlier quarter is never discarded.</w:t>
      </w:r>
    </w:p>
    <w:p>
      <w:pPr>
        <w:pStyle w:val="ListBullet"/>
      </w:pPr>
      <w:r>
        <w:rPr>
          <w:b w:val="0"/>
          <w:sz w:val="21"/>
        </w:rPr>
        <w:t>Auditable — the raw published file is retained for every country, so any value traces back to the primary document.</w:t>
      </w:r>
    </w:p>
    <w:p>
      <w:pPr>
        <w:pStyle w:val="ListBullet"/>
      </w:pPr>
      <w:r>
        <w:rPr>
          <w:b w:val="0"/>
          <w:sz w:val="21"/>
        </w:rPr>
        <w:t>Never remap a category — an industry or occupation label is captured exactly as printed and its scheme recorded beside it, rather than being translated into a standard the NSO did not use.</w:t>
      </w:r>
    </w:p>
    <w:p>
      <w:pPr>
        <w:pStyle w:val="Heading1"/>
      </w:pPr>
      <w:r>
        <w:t>2. Approach and Architecture</w:t>
      </w:r>
    </w:p>
    <w:p>
      <w:r>
        <w:rPr>
          <w:b w:val="0"/>
          <w:sz w:val="21"/>
        </w:rPr>
        <w:t>Each country is a small declarative descriptor (`sources/&lt;country&gt;.yaml`) naming the agency, the publication and how to find the current file, plus a layout that says what the table's rows and columns mean. A shared pipeline does the rest: discover the file, download it, retain it, parse it, normalise it to the indicator's schema, validate it, and merge it into the country's output.</w:t>
      </w:r>
    </w:p>
    <w:p>
      <w:r>
        <w:rPr>
          <w:b w:val="0"/>
          <w:sz w:val="21"/>
        </w:rPr>
        <w:t>The layouts are declarative rather than bespoke because these reports all fit one model — a table is a grid of row specs by column specs, and every cell inherits the union of its row's and its column's attributes. A column-order correction is then a one-line edit rather than a rewrite. Countries that genuinely do not fit get a reader of their own.</w:t>
      </w:r>
    </w:p>
    <w:p>
      <w:r>
        <w:rPr>
          <w:b w:val="0"/>
          <w:sz w:val="21"/>
        </w:rPr>
        <w:t>Every country lives in its own module, so a layout sits beside its own descriptor and its own notes. Cross-check values from the published report are recorded in each module, which is what makes a silent regression visible: re-running and comparing against them is the fastest proof that a layout still holds.</w:t>
      </w:r>
    </w:p>
    <w:p>
      <w:pPr>
        <w:pStyle w:val="Heading1"/>
      </w:pPr>
      <w:r>
        <w:t>3. Work Done</w:t>
      </w:r>
    </w:p>
    <w:p>
      <w:r>
        <w:rPr>
          <w:b w:val="0"/>
          <w:sz w:val="21"/>
        </w:rPr>
        <w:t>The 23 collected countries span all three source tiers: Ghana through the GSS StatsBank PxWeb API, Malawi, South Africa and Mauritius through published workbooks, and Zambia, Botswana, Seychelles, Rwanda, Tanzania, Namibia, Eswatini, Ethiopia, Somalia, Egypt, Morocco and Burkina Faso through report PDFs — and Tunisia through INS's server-rendered HTML pages, the only source of its kind in the corpus and the only readable form of a series whose PDF is bidi-scrambled beyond alignment.</w:t>
      </w:r>
    </w:p>
    <w:p>
      <w:r>
        <w:rPr>
          <w:b w:val="0"/>
          <w:sz w:val="21"/>
        </w:rPr>
        <w:t>South Africa is the deepest by a wide margin -- 6,821 rows across 74 quarters, covering industry, occupation, status in employment on BOTH ICLS bases, and formal against informal employment. Its descriptor points at the same workbook the `unemployment` indicator collects, and each opens only its own sheets, so nothing is written twice. Ghana contributes 3,162 rows over its 16 regions and Malawi 70 from the 2018 census.</w:t>
      </w:r>
    </w:p>
    <w:p>
      <w:r>
        <w:rPr>
          <w:b w:val="0"/>
          <w:sz w:val="21"/>
        </w:rPr>
        <w:t>THE PDF PATH IS NOW PROVEN, on eleven contrasting sources read with one declarative engine: Botswana's twelve tables across a 150-page quarterly report, Seychelles' three parallel status standards, Rwanda's seven-year trend matrices, Tanzania's three geographies with labels wrapped over five lines, Namibia's text layer holding the whole report twice, Ethiopia's four survey rounds under one period header, Egypt's transposed right-to-left bulletin, and Morocco's four distributions stacked in a single table. Every one of them reuses that country's existing `discover:` block, so no new discovery work was needed and each figure was checked against the numbers its own report prints before the layout was accepted.</w:t>
      </w:r>
    </w:p>
    <w:p>
      <w:r>
        <w:rPr>
          <w:b w:val="0"/>
          <w:sz w:val="21"/>
        </w:rPr>
        <w:t>Every country's layout lives in its own module beside its descriptor and records the published figures it must reproduce. Runs merge rather than replace, and `classification` is part of the merge key so the same category under two schemes cannot collapse into one.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Country</w:t>
            </w:r>
          </w:p>
        </w:tc>
        <w:tc>
          <w:tcPr>
            <w:tcW w:type="dxa" w:w="1728"/>
          </w:tcPr>
          <w:p>
            <w:r>
              <w:rPr>
                <w:b/>
                <w:sz w:val="16"/>
              </w:rPr>
              <w:t>Source of record</w:t>
            </w:r>
          </w:p>
        </w:tc>
        <w:tc>
          <w:tcPr>
            <w:tcW w:type="dxa" w:w="1728"/>
          </w:tcPr>
          <w:p>
            <w:r>
              <w:rPr>
                <w:b/>
                <w:sz w:val="16"/>
              </w:rPr>
              <w:t>Publication</w:t>
            </w:r>
          </w:p>
        </w:tc>
        <w:tc>
          <w:tcPr>
            <w:tcW w:type="dxa" w:w="1728"/>
          </w:tcPr>
          <w:p>
            <w:r>
              <w:rPr>
                <w:b/>
                <w:sz w:val="16"/>
              </w:rPr>
              <w:t>Coverage (rows / periods / range)</w:t>
            </w:r>
          </w:p>
        </w:tc>
        <w:tc>
          <w:tcPr>
            <w:tcW w:type="dxa" w:w="1728"/>
          </w:tcPr>
          <w:p>
            <w:r>
              <w:rPr>
                <w:b/>
                <w:sz w:val="16"/>
              </w:rPr>
              <w:t>Access method</w:t>
            </w:r>
          </w:p>
        </w:tc>
      </w:tr>
      <w:tr>
        <w:tc>
          <w:tcPr>
            <w:tcW w:type="dxa" w:w="1728"/>
          </w:tcPr>
          <w:p>
            <w:r>
              <w:rPr>
                <w:sz w:val="16"/>
              </w:rPr>
              <w:t>Algeria</w:t>
            </w:r>
          </w:p>
        </w:tc>
        <w:tc>
          <w:tcPr>
            <w:tcW w:type="dxa" w:w="1728"/>
          </w:tcPr>
          <w:p>
            <w:r>
              <w:rPr>
                <w:sz w:val="16"/>
              </w:rPr>
              <w:t>NSO (ONS)</w:t>
            </w:r>
          </w:p>
        </w:tc>
        <w:tc>
          <w:tcPr>
            <w:tcW w:type="dxa" w:w="1728"/>
          </w:tcPr>
          <w:p>
            <w:r>
              <w:rPr>
                <w:sz w:val="16"/>
              </w:rPr>
              <w:t>Rétrospective Statistique 1962-2020, Chapitre II Emploi</w:t>
            </w:r>
          </w:p>
        </w:tc>
        <w:tc>
          <w:tcPr>
            <w:tcW w:type="dxa" w:w="1728"/>
          </w:tcPr>
          <w:p>
            <w:r>
              <w:rPr>
                <w:sz w:val="16"/>
              </w:rPr>
              <w:t>440 rows · 30 period(s) · 1977 to 2019-Q2</w:t>
            </w:r>
          </w:p>
        </w:tc>
        <w:tc>
          <w:tcPr>
            <w:tcW w:type="dxa" w:w="1728"/>
          </w:tcPr>
          <w:p>
            <w:r>
              <w:rPr>
                <w:sz w:val="16"/>
              </w:rPr>
              <w:t>page_scrape (Tier-3 report)</w:t>
            </w:r>
          </w:p>
        </w:tc>
      </w:tr>
      <w:tr>
        <w:tc>
          <w:tcPr>
            <w:tcW w:type="dxa" w:w="1728"/>
          </w:tcPr>
          <w:p>
            <w:r>
              <w:rPr>
                <w:sz w:val="16"/>
              </w:rPr>
              <w:t>Angola</w:t>
            </w:r>
          </w:p>
        </w:tc>
        <w:tc>
          <w:tcPr>
            <w:tcW w:type="dxa" w:w="1728"/>
          </w:tcPr>
          <w:p>
            <w:r>
              <w:rPr>
                <w:sz w:val="16"/>
              </w:rPr>
              <w:t>NSO (INE Angola)</w:t>
            </w:r>
          </w:p>
        </w:tc>
        <w:tc>
          <w:tcPr>
            <w:tcW w:type="dxa" w:w="1728"/>
          </w:tcPr>
          <w:p>
            <w:r>
              <w:rPr>
                <w:sz w:val="16"/>
              </w:rPr>
              <w:t>IEA — Quadros complementares (13ª CIET and 19ª-21ª CIET)</w:t>
            </w:r>
          </w:p>
        </w:tc>
        <w:tc>
          <w:tcPr>
            <w:tcW w:type="dxa" w:w="1728"/>
          </w:tcPr>
          <w:p>
            <w:r>
              <w:rPr>
                <w:sz w:val="16"/>
              </w:rPr>
              <w:t>733 rows · 31 period(s) · 2019 to 2026-Q2</w:t>
            </w:r>
          </w:p>
        </w:tc>
        <w:tc>
          <w:tcPr>
            <w:tcW w:type="dxa" w:w="1728"/>
          </w:tcPr>
          <w:p>
            <w:r>
              <w:rPr>
                <w:sz w:val="16"/>
              </w:rPr>
              <w:t>ine_ao_directory_files (Tier-2 structured file)</w:t>
            </w:r>
          </w:p>
        </w:tc>
      </w:tr>
      <w:tr>
        <w:tc>
          <w:tcPr>
            <w:tcW w:type="dxa" w:w="1728"/>
          </w:tcPr>
          <w:p>
            <w:r>
              <w:rPr>
                <w:sz w:val="16"/>
              </w:rPr>
              <w:t>Botswana</w:t>
            </w:r>
          </w:p>
        </w:tc>
        <w:tc>
          <w:tcPr>
            <w:tcW w:type="dxa" w:w="1728"/>
          </w:tcPr>
          <w:p>
            <w:r>
              <w:rPr>
                <w:sz w:val="16"/>
              </w:rPr>
              <w:t>NSO (Statistics Botswana)</w:t>
            </w:r>
          </w:p>
        </w:tc>
        <w:tc>
          <w:tcPr>
            <w:tcW w:type="dxa" w:w="1728"/>
          </w:tcPr>
          <w:p>
            <w:r>
              <w:rPr>
                <w:sz w:val="16"/>
              </w:rPr>
              <w:t>QMTS Labour Force Module</w:t>
            </w:r>
          </w:p>
        </w:tc>
        <w:tc>
          <w:tcPr>
            <w:tcW w:type="dxa" w:w="1728"/>
          </w:tcPr>
          <w:p>
            <w:r>
              <w:rPr>
                <w:sz w:val="16"/>
              </w:rPr>
              <w:t>609 rows · 5 period(s) · 2020-Q4 to 2024-Q1</w:t>
            </w:r>
          </w:p>
        </w:tc>
        <w:tc>
          <w:tcPr>
            <w:tcW w:type="dxa" w:w="1728"/>
          </w:tcPr>
          <w:p>
            <w:r>
              <w:rPr>
                <w:sz w:val="16"/>
              </w:rPr>
              <w:t>page_scrape (Tier-3 report)</w:t>
            </w:r>
          </w:p>
        </w:tc>
      </w:tr>
      <w:tr>
        <w:tc>
          <w:tcPr>
            <w:tcW w:type="dxa" w:w="1728"/>
          </w:tcPr>
          <w:p>
            <w:r>
              <w:rPr>
                <w:sz w:val="16"/>
              </w:rPr>
              <w:t>Burkina Faso</w:t>
            </w:r>
          </w:p>
        </w:tc>
        <w:tc>
          <w:tcPr>
            <w:tcW w:type="dxa" w:w="1728"/>
          </w:tcPr>
          <w:p>
            <w:r>
              <w:rPr>
                <w:sz w:val="16"/>
              </w:rPr>
              <w:t>NSO (INSD)</w:t>
            </w:r>
          </w:p>
        </w:tc>
        <w:tc>
          <w:tcPr>
            <w:tcW w:type="dxa" w:w="1728"/>
          </w:tcPr>
          <w:p>
            <w:r>
              <w:rPr>
                <w:sz w:val="16"/>
              </w:rPr>
              <w:t>ENB-ESI 2023</w:t>
            </w:r>
          </w:p>
        </w:tc>
        <w:tc>
          <w:tcPr>
            <w:tcW w:type="dxa" w:w="1728"/>
          </w:tcPr>
          <w:p>
            <w:r>
              <w:rPr>
                <w:sz w:val="16"/>
              </w:rPr>
              <w:t>16 rows · 1 period(s) · 2023 to 2023</w:t>
            </w:r>
          </w:p>
        </w:tc>
        <w:tc>
          <w:tcPr>
            <w:tcW w:type="dxa" w:w="1728"/>
          </w:tcPr>
          <w:p>
            <w:r>
              <w:rPr>
                <w:sz w:val="16"/>
              </w:rPr>
              <w:t>page_scrape (Tier-3 report)</w:t>
            </w:r>
          </w:p>
        </w:tc>
      </w:tr>
      <w:tr>
        <w:tc>
          <w:tcPr>
            <w:tcW w:type="dxa" w:w="1728"/>
          </w:tcPr>
          <w:p>
            <w:r>
              <w:rPr>
                <w:sz w:val="16"/>
              </w:rPr>
              <w:t>Egypt</w:t>
            </w:r>
          </w:p>
        </w:tc>
        <w:tc>
          <w:tcPr>
            <w:tcW w:type="dxa" w:w="1728"/>
          </w:tcPr>
          <w:p>
            <w:r>
              <w:rPr>
                <w:sz w:val="16"/>
              </w:rPr>
              <w:t>NSO (CAPMAS)</w:t>
            </w:r>
          </w:p>
        </w:tc>
        <w:tc>
          <w:tcPr>
            <w:tcW w:type="dxa" w:w="1728"/>
          </w:tcPr>
          <w:p>
            <w:r>
              <w:rPr>
                <w:sz w:val="16"/>
              </w:rPr>
              <w:t>LFS quarterly bulletin (publication id 11)</w:t>
            </w:r>
          </w:p>
        </w:tc>
        <w:tc>
          <w:tcPr>
            <w:tcW w:type="dxa" w:w="1728"/>
          </w:tcPr>
          <w:p>
            <w:r>
              <w:rPr>
                <w:sz w:val="16"/>
              </w:rPr>
              <w:t>90 rows · 1 period(s) · 2026-Q2 to 2026-Q2</w:t>
            </w:r>
          </w:p>
        </w:tc>
        <w:tc>
          <w:tcPr>
            <w:tcW w:type="dxa" w:w="1728"/>
          </w:tcPr>
          <w:p>
            <w:r>
              <w:rPr>
                <w:sz w:val="16"/>
              </w:rPr>
              <w:t>capmas_publication (Tier-3 report)</w:t>
            </w:r>
          </w:p>
        </w:tc>
      </w:tr>
      <w:tr>
        <w:tc>
          <w:tcPr>
            <w:tcW w:type="dxa" w:w="1728"/>
          </w:tcPr>
          <w:p>
            <w:r>
              <w:rPr>
                <w:sz w:val="16"/>
              </w:rPr>
              <w:t>Eswatini</w:t>
            </w:r>
          </w:p>
        </w:tc>
        <w:tc>
          <w:tcPr>
            <w:tcW w:type="dxa" w:w="1728"/>
          </w:tcPr>
          <w:p>
            <w:r>
              <w:rPr>
                <w:sz w:val="16"/>
              </w:rPr>
              <w:t>NSO (Central Statistical Office)</w:t>
            </w:r>
          </w:p>
        </w:tc>
        <w:tc>
          <w:tcPr>
            <w:tcW w:type="dxa" w:w="1728"/>
          </w:tcPr>
          <w:p>
            <w:r>
              <w:rPr>
                <w:sz w:val="16"/>
              </w:rPr>
              <w:t>ILFS 2023</w:t>
            </w:r>
          </w:p>
        </w:tc>
        <w:tc>
          <w:tcPr>
            <w:tcW w:type="dxa" w:w="1728"/>
          </w:tcPr>
          <w:p>
            <w:r>
              <w:rPr>
                <w:sz w:val="16"/>
              </w:rPr>
              <w:t>132 rows · 1 period(s) · 2023 to 2023</w:t>
            </w:r>
          </w:p>
        </w:tc>
        <w:tc>
          <w:tcPr>
            <w:tcW w:type="dxa" w:w="1728"/>
          </w:tcPr>
          <w:p>
            <w:r>
              <w:rPr>
                <w:sz w:val="16"/>
              </w:rPr>
              <w:t>static_url (Tier-3 report)</w:t>
            </w:r>
          </w:p>
        </w:tc>
      </w:tr>
      <w:tr>
        <w:tc>
          <w:tcPr>
            <w:tcW w:type="dxa" w:w="1728"/>
          </w:tcPr>
          <w:p>
            <w:r>
              <w:rPr>
                <w:sz w:val="16"/>
              </w:rPr>
              <w:t>Ethiopia</w:t>
            </w:r>
          </w:p>
        </w:tc>
        <w:tc>
          <w:tcPr>
            <w:tcW w:type="dxa" w:w="1728"/>
          </w:tcPr>
          <w:p>
            <w:r>
              <w:rPr>
                <w:sz w:val="16"/>
              </w:rPr>
              <w:t>NSO (ESS)</w:t>
            </w:r>
          </w:p>
        </w:tc>
        <w:tc>
          <w:tcPr>
            <w:tcW w:type="dxa" w:w="1728"/>
          </w:tcPr>
          <w:p>
            <w:r>
              <w:rPr>
                <w:sz w:val="16"/>
              </w:rPr>
              <w:t>LMS</w:t>
            </w:r>
          </w:p>
        </w:tc>
        <w:tc>
          <w:tcPr>
            <w:tcW w:type="dxa" w:w="1728"/>
          </w:tcPr>
          <w:p>
            <w:r>
              <w:rPr>
                <w:sz w:val="16"/>
              </w:rPr>
              <w:t>282 rows · 4 period(s) · 1999 to 2021</w:t>
            </w:r>
          </w:p>
        </w:tc>
        <w:tc>
          <w:tcPr>
            <w:tcW w:type="dxa" w:w="1728"/>
          </w:tcPr>
          <w:p>
            <w:r>
              <w:rPr>
                <w:sz w:val="16"/>
              </w:rPr>
              <w:t>static_url (Tier-3 report)</w:t>
            </w:r>
          </w:p>
        </w:tc>
      </w:tr>
      <w:tr>
        <w:tc>
          <w:tcPr>
            <w:tcW w:type="dxa" w:w="1728"/>
          </w:tcPr>
          <w:p>
            <w:r>
              <w:rPr>
                <w:sz w:val="16"/>
              </w:rPr>
              <w:t>Gambia</w:t>
            </w:r>
          </w:p>
        </w:tc>
        <w:tc>
          <w:tcPr>
            <w:tcW w:type="dxa" w:w="1728"/>
          </w:tcPr>
          <w:p>
            <w:r>
              <w:rPr>
                <w:sz w:val="16"/>
              </w:rPr>
              <w:t>NSO (GBoS)</w:t>
            </w:r>
          </w:p>
        </w:tc>
        <w:tc>
          <w:tcPr>
            <w:tcW w:type="dxa" w:w="1728"/>
          </w:tcPr>
          <w:p>
            <w:r>
              <w:rPr>
                <w:sz w:val="16"/>
              </w:rPr>
              <w:t>Gambia Labour Force Survey (GLFS) findings reports</w:t>
            </w:r>
          </w:p>
        </w:tc>
        <w:tc>
          <w:tcPr>
            <w:tcW w:type="dxa" w:w="1728"/>
          </w:tcPr>
          <w:p>
            <w:r>
              <w:rPr>
                <w:sz w:val="16"/>
              </w:rPr>
              <w:t>368 rows · 4 period(s) · 2018 to 2026-Q1</w:t>
            </w:r>
          </w:p>
        </w:tc>
        <w:tc>
          <w:tcPr>
            <w:tcW w:type="dxa" w:w="1728"/>
          </w:tcPr>
          <w:p>
            <w:r>
              <w:rPr>
                <w:sz w:val="16"/>
              </w:rPr>
              <w:t>static_url (Tier-3 report)</w:t>
            </w:r>
          </w:p>
        </w:tc>
      </w:tr>
      <w:tr>
        <w:tc>
          <w:tcPr>
            <w:tcW w:type="dxa" w:w="1728"/>
          </w:tcPr>
          <w:p>
            <w:r>
              <w:rPr>
                <w:sz w:val="16"/>
              </w:rPr>
              <w:t>Ghana</w:t>
            </w:r>
          </w:p>
        </w:tc>
        <w:tc>
          <w:tcPr>
            <w:tcW w:type="dxa" w:w="1728"/>
          </w:tcPr>
          <w:p>
            <w:r>
              <w:rPr>
                <w:sz w:val="16"/>
              </w:rPr>
              <w:t>NSO (GSS)</w:t>
            </w:r>
          </w:p>
        </w:tc>
        <w:tc>
          <w:tcPr>
            <w:tcW w:type="dxa" w:w="1728"/>
          </w:tcPr>
          <w:p>
            <w:r>
              <w:rPr>
                <w:sz w:val="16"/>
              </w:rPr>
              <w:t>PHC 2021</w:t>
            </w:r>
          </w:p>
        </w:tc>
        <w:tc>
          <w:tcPr>
            <w:tcW w:type="dxa" w:w="1728"/>
          </w:tcPr>
          <w:p>
            <w:r>
              <w:rPr>
                <w:sz w:val="16"/>
              </w:rPr>
              <w:t>3162 rows · 1 period(s) · 2021 to 2021</w:t>
            </w:r>
          </w:p>
        </w:tc>
        <w:tc>
          <w:tcPr>
            <w:tcW w:type="dxa" w:w="1728"/>
          </w:tcPr>
          <w:p>
            <w:r>
              <w:rPr>
                <w:sz w:val="16"/>
              </w:rPr>
              <w:t>NSO data API, 5 table(s) (Tier-1 API)</w:t>
            </w:r>
          </w:p>
        </w:tc>
      </w:tr>
      <w:tr>
        <w:tc>
          <w:tcPr>
            <w:tcW w:type="dxa" w:w="1728"/>
          </w:tcPr>
          <w:p>
            <w:r>
              <w:rPr>
                <w:sz w:val="16"/>
              </w:rPr>
              <w:t>Lesotho</w:t>
            </w:r>
          </w:p>
        </w:tc>
        <w:tc>
          <w:tcPr>
            <w:tcW w:type="dxa" w:w="1728"/>
          </w:tcPr>
          <w:p>
            <w:r>
              <w:rPr>
                <w:sz w:val="16"/>
              </w:rPr>
              <w:t>NSO (BOS)</w:t>
            </w:r>
          </w:p>
        </w:tc>
        <w:tc>
          <w:tcPr>
            <w:tcW w:type="dxa" w:w="1728"/>
          </w:tcPr>
          <w:p>
            <w:r>
              <w:rPr>
                <w:sz w:val="16"/>
              </w:rPr>
              <w:t>Lesotho Labour Force Survey (LFS) 2024 and 2019</w:t>
            </w:r>
          </w:p>
        </w:tc>
        <w:tc>
          <w:tcPr>
            <w:tcW w:type="dxa" w:w="1728"/>
          </w:tcPr>
          <w:p>
            <w:r>
              <w:rPr>
                <w:sz w:val="16"/>
              </w:rPr>
              <w:t>443 rows · 2 period(s) · 2019 to 2024</w:t>
            </w:r>
          </w:p>
        </w:tc>
        <w:tc>
          <w:tcPr>
            <w:tcW w:type="dxa" w:w="1728"/>
          </w:tcPr>
          <w:p>
            <w:r>
              <w:rPr>
                <w:sz w:val="16"/>
              </w:rPr>
              <w:t>static_url (Tier-3 report)</w:t>
            </w:r>
          </w:p>
        </w:tc>
      </w:tr>
      <w:tr>
        <w:tc>
          <w:tcPr>
            <w:tcW w:type="dxa" w:w="1728"/>
          </w:tcPr>
          <w:p>
            <w:r>
              <w:rPr>
                <w:sz w:val="16"/>
              </w:rPr>
              <w:t>Liberia</w:t>
            </w:r>
          </w:p>
        </w:tc>
        <w:tc>
          <w:tcPr>
            <w:tcW w:type="dxa" w:w="1728"/>
          </w:tcPr>
          <w:p>
            <w:r>
              <w:rPr>
                <w:sz w:val="16"/>
              </w:rPr>
              <w:t>NSO (LISGIS)</w:t>
            </w:r>
          </w:p>
        </w:tc>
        <w:tc>
          <w:tcPr>
            <w:tcW w:type="dxa" w:w="1728"/>
          </w:tcPr>
          <w:p>
            <w:r>
              <w:rPr>
                <w:sz w:val="16"/>
              </w:rPr>
              <w:t>LBR-LFS 2016-2017 main report</w:t>
            </w:r>
          </w:p>
        </w:tc>
        <w:tc>
          <w:tcPr>
            <w:tcW w:type="dxa" w:w="1728"/>
          </w:tcPr>
          <w:p>
            <w:r>
              <w:rPr>
                <w:sz w:val="16"/>
              </w:rPr>
              <w:t>129 rows · 1 period(s) · 2017 to 2017</w:t>
            </w:r>
          </w:p>
        </w:tc>
        <w:tc>
          <w:tcPr>
            <w:tcW w:type="dxa" w:w="1728"/>
          </w:tcPr>
          <w:p>
            <w:r>
              <w:rPr>
                <w:sz w:val="16"/>
              </w:rPr>
              <w:t>static_url (Tier-3 report)</w:t>
            </w:r>
          </w:p>
        </w:tc>
      </w:tr>
      <w:tr>
        <w:tc>
          <w:tcPr>
            <w:tcW w:type="dxa" w:w="1728"/>
          </w:tcPr>
          <w:p>
            <w:r>
              <w:rPr>
                <w:sz w:val="16"/>
              </w:rPr>
              <w:t>Malawi</w:t>
            </w:r>
          </w:p>
        </w:tc>
        <w:tc>
          <w:tcPr>
            <w:tcW w:type="dxa" w:w="1728"/>
          </w:tcPr>
          <w:p>
            <w:r>
              <w:rPr>
                <w:sz w:val="16"/>
              </w:rPr>
              <w:t>NSO (National Statistical Office)</w:t>
            </w:r>
          </w:p>
        </w:tc>
        <w:tc>
          <w:tcPr>
            <w:tcW w:type="dxa" w:w="1728"/>
          </w:tcPr>
          <w:p>
            <w:r>
              <w:rPr>
                <w:sz w:val="16"/>
              </w:rPr>
              <w:t>2018 MPHC Series D</w:t>
            </w:r>
          </w:p>
        </w:tc>
        <w:tc>
          <w:tcPr>
            <w:tcW w:type="dxa" w:w="1728"/>
          </w:tcPr>
          <w:p>
            <w:r>
              <w:rPr>
                <w:sz w:val="16"/>
              </w:rPr>
              <w:t>70 rows · 1 period(s) · 2018 to 2018</w:t>
            </w:r>
          </w:p>
        </w:tc>
        <w:tc>
          <w:tcPr>
            <w:tcW w:type="dxa" w:w="1728"/>
          </w:tcPr>
          <w:p>
            <w:r>
              <w:rPr>
                <w:sz w:val="16"/>
              </w:rPr>
              <w:t>static_url (Tier-2 structured file)</w:t>
            </w:r>
          </w:p>
        </w:tc>
      </w:tr>
      <w:tr>
        <w:tc>
          <w:tcPr>
            <w:tcW w:type="dxa" w:w="1728"/>
          </w:tcPr>
          <w:p>
            <w:r>
              <w:rPr>
                <w:sz w:val="16"/>
              </w:rPr>
              <w:t>Mauritius</w:t>
            </w:r>
          </w:p>
        </w:tc>
        <w:tc>
          <w:tcPr>
            <w:tcW w:type="dxa" w:w="1728"/>
          </w:tcPr>
          <w:p>
            <w:r>
              <w:rPr>
                <w:sz w:val="16"/>
              </w:rPr>
              <w:t>NSO (Ministry of Finance)</w:t>
            </w:r>
          </w:p>
        </w:tc>
        <w:tc>
          <w:tcPr>
            <w:tcW w:type="dxa" w:w="1728"/>
          </w:tcPr>
          <w:p>
            <w:r>
              <w:rPr>
                <w:sz w:val="16"/>
              </w:rPr>
              <w:t>CMPHS</w:t>
            </w:r>
          </w:p>
        </w:tc>
        <w:tc>
          <w:tcPr>
            <w:tcW w:type="dxa" w:w="1728"/>
          </w:tcPr>
          <w:p>
            <w:r>
              <w:rPr>
                <w:sz w:val="16"/>
              </w:rPr>
              <w:t>315 rows · 5 period(s) · 2025-Q1 to 2026-Q1</w:t>
            </w:r>
          </w:p>
        </w:tc>
        <w:tc>
          <w:tcPr>
            <w:tcW w:type="dxa" w:w="1728"/>
          </w:tcPr>
          <w:p>
            <w:r>
              <w:rPr>
                <w:sz w:val="16"/>
              </w:rPr>
              <w:t>two_hop_scrape (Tier-2 structured file)</w:t>
            </w:r>
          </w:p>
        </w:tc>
      </w:tr>
      <w:tr>
        <w:tc>
          <w:tcPr>
            <w:tcW w:type="dxa" w:w="1728"/>
          </w:tcPr>
          <w:p>
            <w:r>
              <w:rPr>
                <w:sz w:val="16"/>
              </w:rPr>
              <w:t>Morocco</w:t>
            </w:r>
          </w:p>
        </w:tc>
        <w:tc>
          <w:tcPr>
            <w:tcW w:type="dxa" w:w="1728"/>
          </w:tcPr>
          <w:p>
            <w:r>
              <w:rPr>
                <w:sz w:val="16"/>
              </w:rPr>
              <w:t>NSO (HCP)</w:t>
            </w:r>
          </w:p>
        </w:tc>
        <w:tc>
          <w:tcPr>
            <w:tcW w:type="dxa" w:w="1728"/>
          </w:tcPr>
          <w:p>
            <w:r>
              <w:rPr>
                <w:sz w:val="16"/>
              </w:rPr>
              <w:t>Activité, emploi et chômage — résultats annuels</w:t>
            </w:r>
          </w:p>
        </w:tc>
        <w:tc>
          <w:tcPr>
            <w:tcW w:type="dxa" w:w="1728"/>
          </w:tcPr>
          <w:p>
            <w:r>
              <w:rPr>
                <w:sz w:val="16"/>
              </w:rPr>
              <w:t>475 rows · 1 period(s) · 2025 to 2025</w:t>
            </w:r>
          </w:p>
        </w:tc>
        <w:tc>
          <w:tcPr>
            <w:tcW w:type="dxa" w:w="1728"/>
          </w:tcPr>
          <w:p>
            <w:r>
              <w:rPr>
                <w:sz w:val="16"/>
              </w:rPr>
              <w:t>page_scrape (Tier-3 report)</w:t>
            </w:r>
          </w:p>
        </w:tc>
      </w:tr>
      <w:tr>
        <w:tc>
          <w:tcPr>
            <w:tcW w:type="dxa" w:w="1728"/>
          </w:tcPr>
          <w:p>
            <w:r>
              <w:rPr>
                <w:sz w:val="16"/>
              </w:rPr>
              <w:t>Namibia</w:t>
            </w:r>
          </w:p>
        </w:tc>
        <w:tc>
          <w:tcPr>
            <w:tcW w:type="dxa" w:w="1728"/>
          </w:tcPr>
          <w:p>
            <w:r>
              <w:rPr>
                <w:sz w:val="16"/>
              </w:rPr>
              <w:t>NSO (NSA)</w:t>
            </w:r>
          </w:p>
        </w:tc>
        <w:tc>
          <w:tcPr>
            <w:tcW w:type="dxa" w:w="1728"/>
          </w:tcPr>
          <w:p>
            <w:r>
              <w:rPr>
                <w:sz w:val="16"/>
              </w:rPr>
              <w:t>PHC 2023 Labour Force Report</w:t>
            </w:r>
          </w:p>
        </w:tc>
        <w:tc>
          <w:tcPr>
            <w:tcW w:type="dxa" w:w="1728"/>
          </w:tcPr>
          <w:p>
            <w:r>
              <w:rPr>
                <w:sz w:val="16"/>
              </w:rPr>
              <w:t>426 rows · 1 period(s) · 2023 to 2023</w:t>
            </w:r>
          </w:p>
        </w:tc>
        <w:tc>
          <w:tcPr>
            <w:tcW w:type="dxa" w:w="1728"/>
          </w:tcPr>
          <w:p>
            <w:r>
              <w:rPr>
                <w:sz w:val="16"/>
              </w:rPr>
              <w:t>two_hop_scrape (Tier-3 report)</w:t>
            </w:r>
          </w:p>
        </w:tc>
      </w:tr>
      <w:tr>
        <w:tc>
          <w:tcPr>
            <w:tcW w:type="dxa" w:w="1728"/>
          </w:tcPr>
          <w:p>
            <w:r>
              <w:rPr>
                <w:sz w:val="16"/>
              </w:rPr>
              <w:t>Rwanda</w:t>
            </w:r>
          </w:p>
        </w:tc>
        <w:tc>
          <w:tcPr>
            <w:tcW w:type="dxa" w:w="1728"/>
          </w:tcPr>
          <w:p>
            <w:r>
              <w:rPr>
                <w:sz w:val="16"/>
              </w:rPr>
              <w:t>NSO (NISR)</w:t>
            </w:r>
          </w:p>
        </w:tc>
        <w:tc>
          <w:tcPr>
            <w:tcW w:type="dxa" w:w="1728"/>
          </w:tcPr>
          <w:p>
            <w:r>
              <w:rPr>
                <w:sz w:val="16"/>
              </w:rPr>
              <w:t>LFS</w:t>
            </w:r>
          </w:p>
        </w:tc>
        <w:tc>
          <w:tcPr>
            <w:tcW w:type="dxa" w:w="1728"/>
          </w:tcPr>
          <w:p>
            <w:r>
              <w:rPr>
                <w:sz w:val="16"/>
              </w:rPr>
              <w:t>536 rows · 7 period(s) · 2019 to 2025</w:t>
            </w:r>
          </w:p>
        </w:tc>
        <w:tc>
          <w:tcPr>
            <w:tcW w:type="dxa" w:w="1728"/>
          </w:tcPr>
          <w:p>
            <w:r>
              <w:rPr>
                <w:sz w:val="16"/>
              </w:rPr>
              <w:t>chain_scrape (Tier-3 report)</w:t>
            </w:r>
          </w:p>
        </w:tc>
      </w:tr>
      <w:tr>
        <w:tc>
          <w:tcPr>
            <w:tcW w:type="dxa" w:w="1728"/>
          </w:tcPr>
          <w:p>
            <w:r>
              <w:rPr>
                <w:sz w:val="16"/>
              </w:rPr>
              <w:t>Seychelles</w:t>
            </w:r>
          </w:p>
        </w:tc>
        <w:tc>
          <w:tcPr>
            <w:tcW w:type="dxa" w:w="1728"/>
          </w:tcPr>
          <w:p>
            <w:r>
              <w:rPr>
                <w:sz w:val="16"/>
              </w:rPr>
              <w:t>NSO (NBS Seychelles)</w:t>
            </w:r>
          </w:p>
        </w:tc>
        <w:tc>
          <w:tcPr>
            <w:tcW w:type="dxa" w:w="1728"/>
          </w:tcPr>
          <w:p>
            <w:r>
              <w:rPr>
                <w:sz w:val="16"/>
              </w:rPr>
              <w:t>LFS Bulletin</w:t>
            </w:r>
          </w:p>
        </w:tc>
        <w:tc>
          <w:tcPr>
            <w:tcW w:type="dxa" w:w="1728"/>
          </w:tcPr>
          <w:p>
            <w:r>
              <w:rPr>
                <w:sz w:val="16"/>
              </w:rPr>
              <w:t>384 rows · 2 period(s) · 2025-Q1 to 2026-Q1</w:t>
            </w:r>
          </w:p>
        </w:tc>
        <w:tc>
          <w:tcPr>
            <w:tcW w:type="dxa" w:w="1728"/>
          </w:tcPr>
          <w:p>
            <w:r>
              <w:rPr>
                <w:sz w:val="16"/>
              </w:rPr>
              <w:t>two_hop_scrape (Tier-3 report)</w:t>
            </w:r>
          </w:p>
        </w:tc>
      </w:tr>
      <w:tr>
        <w:tc>
          <w:tcPr>
            <w:tcW w:type="dxa" w:w="1728"/>
          </w:tcPr>
          <w:p>
            <w:r>
              <w:rPr>
                <w:sz w:val="16"/>
              </w:rPr>
              <w:t>Somalia</w:t>
            </w:r>
          </w:p>
        </w:tc>
        <w:tc>
          <w:tcPr>
            <w:tcW w:type="dxa" w:w="1728"/>
          </w:tcPr>
          <w:p>
            <w:r>
              <w:rPr>
                <w:sz w:val="16"/>
              </w:rPr>
              <w:t>NSO (SNBS)</w:t>
            </w:r>
          </w:p>
        </w:tc>
        <w:tc>
          <w:tcPr>
            <w:tcW w:type="dxa" w:w="1728"/>
          </w:tcPr>
          <w:p>
            <w:r>
              <w:rPr>
                <w:sz w:val="16"/>
              </w:rPr>
              <w:t>SLFS 2019</w:t>
            </w:r>
          </w:p>
        </w:tc>
        <w:tc>
          <w:tcPr>
            <w:tcW w:type="dxa" w:w="1728"/>
          </w:tcPr>
          <w:p>
            <w:r>
              <w:rPr>
                <w:sz w:val="16"/>
              </w:rPr>
              <w:t>188 rows · 1 period(s) · 2019 to 2019</w:t>
            </w:r>
          </w:p>
        </w:tc>
        <w:tc>
          <w:tcPr>
            <w:tcW w:type="dxa" w:w="1728"/>
          </w:tcPr>
          <w:p>
            <w:r>
              <w:rPr>
                <w:sz w:val="16"/>
              </w:rPr>
              <w:t>wp_media_named (Tier-3 report)</w:t>
            </w:r>
          </w:p>
        </w:tc>
      </w:tr>
      <w:tr>
        <w:tc>
          <w:tcPr>
            <w:tcW w:type="dxa" w:w="1728"/>
          </w:tcPr>
          <w:p>
            <w:r>
              <w:rPr>
                <w:sz w:val="16"/>
              </w:rPr>
              <w:t>South Africa</w:t>
            </w:r>
          </w:p>
        </w:tc>
        <w:tc>
          <w:tcPr>
            <w:tcW w:type="dxa" w:w="1728"/>
          </w:tcPr>
          <w:p>
            <w:r>
              <w:rPr>
                <w:sz w:val="16"/>
              </w:rPr>
              <w:t>NSO (Stats SA)</w:t>
            </w:r>
          </w:p>
        </w:tc>
        <w:tc>
          <w:tcPr>
            <w:tcW w:type="dxa" w:w="1728"/>
          </w:tcPr>
          <w:p>
            <w:r>
              <w:rPr>
                <w:sz w:val="16"/>
              </w:rPr>
              <w:t>QLFS Trends (P0211)</w:t>
            </w:r>
          </w:p>
        </w:tc>
        <w:tc>
          <w:tcPr>
            <w:tcW w:type="dxa" w:w="1728"/>
          </w:tcPr>
          <w:p>
            <w:r>
              <w:rPr>
                <w:sz w:val="16"/>
              </w:rPr>
              <w:t>6821 rows · 74 period(s) · 2008-Q1 to 2026-Q2</w:t>
            </w:r>
          </w:p>
        </w:tc>
        <w:tc>
          <w:tcPr>
            <w:tcW w:type="dxa" w:w="1728"/>
          </w:tcPr>
          <w:p>
            <w:r>
              <w:rPr>
                <w:sz w:val="16"/>
              </w:rPr>
              <w:t>page_scrape (Tier-2 structured file)</w:t>
            </w:r>
          </w:p>
        </w:tc>
      </w:tr>
      <w:tr>
        <w:tc>
          <w:tcPr>
            <w:tcW w:type="dxa" w:w="1728"/>
          </w:tcPr>
          <w:p>
            <w:r>
              <w:rPr>
                <w:sz w:val="16"/>
              </w:rPr>
              <w:t>Tanzania</w:t>
            </w:r>
          </w:p>
        </w:tc>
        <w:tc>
          <w:tcPr>
            <w:tcW w:type="dxa" w:w="1728"/>
          </w:tcPr>
          <w:p>
            <w:r>
              <w:rPr>
                <w:sz w:val="16"/>
              </w:rPr>
              <w:t>NSO (NBS Tanzania)</w:t>
            </w:r>
          </w:p>
        </w:tc>
        <w:tc>
          <w:tcPr>
            <w:tcW w:type="dxa" w:w="1728"/>
          </w:tcPr>
          <w:p>
            <w:r>
              <w:rPr>
                <w:sz w:val="16"/>
              </w:rPr>
              <w:t>ILFS</w:t>
            </w:r>
          </w:p>
        </w:tc>
        <w:tc>
          <w:tcPr>
            <w:tcW w:type="dxa" w:w="1728"/>
          </w:tcPr>
          <w:p>
            <w:r>
              <w:rPr>
                <w:sz w:val="16"/>
              </w:rPr>
              <w:t>422 rows · 2 period(s) · 2024 to 2025</w:t>
            </w:r>
          </w:p>
        </w:tc>
        <w:tc>
          <w:tcPr>
            <w:tcW w:type="dxa" w:w="1728"/>
          </w:tcPr>
          <w:p>
            <w:r>
              <w:rPr>
                <w:sz w:val="16"/>
              </w:rPr>
              <w:t>page_scrape (Tier-3 report)</w:t>
            </w:r>
          </w:p>
        </w:tc>
      </w:tr>
      <w:tr>
        <w:tc>
          <w:tcPr>
            <w:tcW w:type="dxa" w:w="1728"/>
          </w:tcPr>
          <w:p>
            <w:r>
              <w:rPr>
                <w:sz w:val="16"/>
              </w:rPr>
              <w:t>Tunisia</w:t>
            </w:r>
          </w:p>
        </w:tc>
        <w:tc>
          <w:tcPr>
            <w:tcW w:type="dxa" w:w="1728"/>
          </w:tcPr>
          <w:p>
            <w:r>
              <w:rPr>
                <w:sz w:val="16"/>
              </w:rPr>
              <w:t>NSO (INS Tunisie)</w:t>
            </w:r>
          </w:p>
        </w:tc>
        <w:tc>
          <w:tcPr>
            <w:tcW w:type="dxa" w:w="1728"/>
          </w:tcPr>
          <w:p>
            <w:r>
              <w:rPr>
                <w:sz w:val="16"/>
              </w:rPr>
              <w:t>P0201</w:t>
            </w:r>
          </w:p>
        </w:tc>
        <w:tc>
          <w:tcPr>
            <w:tcW w:type="dxa" w:w="1728"/>
          </w:tcPr>
          <w:p>
            <w:r>
              <w:rPr>
                <w:sz w:val="16"/>
              </w:rPr>
              <w:t>50 rows · 9 period(s) · 2024-Q1 to 2026-Q2</w:t>
            </w:r>
          </w:p>
        </w:tc>
        <w:tc>
          <w:tcPr>
            <w:tcW w:type="dxa" w:w="1728"/>
          </w:tcPr>
          <w:p>
            <w:r>
              <w:rPr>
                <w:sz w:val="16"/>
              </w:rPr>
              <w:t>static_url (Tier-2 structured file)</w:t>
            </w:r>
          </w:p>
        </w:tc>
      </w:tr>
      <w:tr>
        <w:tc>
          <w:tcPr>
            <w:tcW w:type="dxa" w:w="1728"/>
          </w:tcPr>
          <w:p>
            <w:r>
              <w:rPr>
                <w:sz w:val="16"/>
              </w:rPr>
              <w:t>Uganda</w:t>
            </w:r>
          </w:p>
        </w:tc>
        <w:tc>
          <w:tcPr>
            <w:tcW w:type="dxa" w:w="1728"/>
          </w:tcPr>
          <w:p>
            <w:r>
              <w:rPr>
                <w:sz w:val="16"/>
              </w:rPr>
              <w:t>NSO (UBOS)</w:t>
            </w:r>
          </w:p>
        </w:tc>
        <w:tc>
          <w:tcPr>
            <w:tcW w:type="dxa" w:w="1728"/>
          </w:tcPr>
          <w:p>
            <w:r>
              <w:rPr>
                <w:sz w:val="16"/>
              </w:rPr>
              <w:t>Labour Market Survey (LMS) 2025 — main report</w:t>
            </w:r>
          </w:p>
        </w:tc>
        <w:tc>
          <w:tcPr>
            <w:tcW w:type="dxa" w:w="1728"/>
          </w:tcPr>
          <w:p>
            <w:r>
              <w:rPr>
                <w:sz w:val="16"/>
              </w:rPr>
              <w:t>152 rows · 1 period(s) · 2025 to 2025</w:t>
            </w:r>
          </w:p>
        </w:tc>
        <w:tc>
          <w:tcPr>
            <w:tcW w:type="dxa" w:w="1728"/>
          </w:tcPr>
          <w:p>
            <w:r>
              <w:rPr>
                <w:sz w:val="16"/>
              </w:rPr>
              <w:t>static_url (Tier-3 report)</w:t>
            </w:r>
          </w:p>
        </w:tc>
      </w:tr>
      <w:tr>
        <w:tc>
          <w:tcPr>
            <w:tcW w:type="dxa" w:w="1728"/>
          </w:tcPr>
          <w:p>
            <w:r>
              <w:rPr>
                <w:sz w:val="16"/>
              </w:rPr>
              <w:t>Zambia</w:t>
            </w:r>
          </w:p>
        </w:tc>
        <w:tc>
          <w:tcPr>
            <w:tcW w:type="dxa" w:w="1728"/>
          </w:tcPr>
          <w:p>
            <w:r>
              <w:rPr>
                <w:sz w:val="16"/>
              </w:rPr>
              <w:t>NSO (ZamStats)</w:t>
            </w:r>
          </w:p>
        </w:tc>
        <w:tc>
          <w:tcPr>
            <w:tcW w:type="dxa" w:w="1728"/>
          </w:tcPr>
          <w:p>
            <w:r>
              <w:rPr>
                <w:sz w:val="16"/>
              </w:rPr>
              <w:t>Labour Force Survey 2024</w:t>
            </w:r>
          </w:p>
        </w:tc>
        <w:tc>
          <w:tcPr>
            <w:tcW w:type="dxa" w:w="1728"/>
          </w:tcPr>
          <w:p>
            <w:r>
              <w:rPr>
                <w:sz w:val="16"/>
              </w:rPr>
              <w:t>60 rows · 1 period(s) · 2024 to 2024</w:t>
            </w:r>
          </w:p>
        </w:tc>
        <w:tc>
          <w:tcPr>
            <w:tcW w:type="dxa" w:w="1728"/>
          </w:tcPr>
          <w:p>
            <w:r>
              <w:rPr>
                <w:sz w:val="16"/>
              </w:rPr>
              <w:t>latest_year_file (Tier-3 report)</w:t>
            </w:r>
          </w:p>
        </w:tc>
      </w:tr>
    </w:tbl>
    <w:p>
      <w:pPr>
        <w:pStyle w:val="Heading1"/>
      </w:pPr>
      <w:r>
        <w:t>4. Challenges Encountered and Remedies Applied</w:t>
      </w:r>
    </w:p>
    <w:p>
      <w:r>
        <w:rPr>
          <w:b w:val="0"/>
          <w:sz w:val="21"/>
        </w:rPr>
        <w:t>The obstacles clustered into a small number of recurring types. Each is described below with the tactic that resolved it, and the countries where it bit.</w:t>
      </w:r>
    </w:p>
    <w:p>
      <w:pPr>
        <w:pStyle w:val="Heading2"/>
      </w:pPr>
      <w:r>
        <w:t>4.1  A category label is not comparable without its scheme</w:t>
      </w:r>
    </w:p>
    <w:p>
      <w:r>
        <w:rPr>
          <w:b w:val="0"/>
          <w:sz w:val="21"/>
        </w:rPr>
        <w:t>Stats SA's "Trade" is one of ten groups in its own national aggregation; Malawi's "Wholesale and retail trade..." is an ISIC Rev.4 section. They are not the same category and a join across them is wrong. Categories are therefore captured exactly as printed and never remapped, with the scheme recorded beside them -- the approach the CPI collector takes with native nomenclatures beside COICOP. The row builder REFUSES an industry, occupation or status row that declares no classification, and the classification is part of the merge key so two schemes cannot overwrite each other.</w:t>
      </w:r>
    </w:p>
    <w:p>
      <w:pPr>
        <w:pStyle w:val="Heading2"/>
      </w:pPr>
      <w:r>
        <w:t>4.2  The same series, published on two international standards</w:t>
      </w:r>
    </w:p>
    <w:p>
      <w:r>
        <w:rPr>
          <w:b w:val="0"/>
          <w:sz w:val="21"/>
        </w:rPr>
        <w:t>Stats SA publishes status in employment under the 19th ICLS (ICSE-93) in Table 3.6 and under the 20th (ICSE-18) in Table 3.6b -- same country, same quarter, same people, different standards. This is the clearest justification for the classification column: without it the two are indistinguishable duplicates that would collapse into one on merge; with it they are what they actually are, the old basis and the new one, both published and both kept.</w:t>
      </w:r>
    </w:p>
    <w:p>
      <w:pPr>
        <w:pStyle w:val="Heading2"/>
      </w:pPr>
      <w:r>
        <w:t>4.3  Scanned categories, not listed ones</w:t>
      </w:r>
    </w:p>
    <w:p>
      <w:r>
        <w:rPr>
          <w:b w:val="0"/>
          <w:sz w:val="21"/>
        </w:rPr>
        <w:t>An unemployment table has a fixed set of named indicator rows, and enumerating them is right -- a row that stops appearing is a real change worth failing on. A labour cross-tab is a CLASSIFICATION: ten industry groups, ten ISCO major groups, twenty ISIC sections. Listing them in the layout would mean a newly published category silently vanishing rather than being collected. So a layout says where a block starts and what its categories MEAN, and everything between block headers is taken. `expect_rows` is what keeps that safe: a block yielding fewer categories than the layout says it has raises, rather than quietly shipping half a table.</w:t>
      </w:r>
    </w:p>
    <w:p>
      <w:pPr>
        <w:pStyle w:val="Heading2"/>
      </w:pPr>
      <w:r>
        <w:t>4.4  NaN is not a number, and a footnote is not an industry</w:t>
      </w:r>
    </w:p>
    <w:p>
      <w:r>
        <w:rPr>
          <w:b w:val="0"/>
          <w:sz w:val="21"/>
        </w:rPr>
        <w:t>`pandas.read_excel` returns NaN for every empty cell. Letting it through emitted a row per blank -- and, less obviously, swept the sheets' footnote lines in as categories, because a footnote line with no values still looked as though it had produced some. "Due to rounding, numbers do not necessarily add up to totals." was being collected as an employment status. Rejecting NaN at the parser fixed both at once.</w:t>
      </w:r>
    </w:p>
    <w:p>
      <w:pPr>
        <w:pStyle w:val="Heading2"/>
      </w:pPr>
      <w:r>
        <w:t>4.5  A sheet can continue past the blocks you asked for</w:t>
      </w:r>
    </w:p>
    <w:p>
      <w:r>
        <w:rPr>
          <w:b w:val="0"/>
          <w:sz w:val="21"/>
        </w:rPr>
        <w:t>Table 3.10 gives formal and informal employment for Both sexes, Women and Men -- and then repeats the whole split by age band, by education, by industry and by occupation, under sub-headings that are not block headers. Nothing stopped the scan, so all of it was attributed to the Men block and emitted as `formality`: 164 colliding merge keys and a second, contradictory "Formal employment" for men. `max_blocks` stops at the blocks the layout asked for and `max_rows_per_block` says how many categories each actually has. The by-age and by-education cuts are real data and are deferred rather than merged in.</w:t>
      </w:r>
    </w:p>
    <w:p>
      <w:pPr>
        <w:pStyle w:val="Heading2"/>
      </w:pPr>
      <w:r>
        <w:t>4.6  The structural fixes that had to come before any coverage</w:t>
      </w:r>
    </w:p>
    <w:p>
      <w:r>
        <w:rPr>
          <w:b w:val="0"/>
          <w:sz w:val="21"/>
        </w:rPr>
        <w:t>Three things had to change before coverage work could start. The pipeline carried NO merge keys, so every run overwrote the file -- the failure that cost the CPI collector 258 Kenyan periods before merge-on-write was adopted there. The schema accepted an annual period ONLY, which is true of a census-based collection and false of a labour force survey; South Africa's 74 quarters would have been rejected outright. And `unemployment_rate` was a topic here as well as next door, which left Ghana's census rates sitting among composition cross-tabs with no definition and no working-age base recorded.</w:t>
      </w:r>
    </w:p>
    <w:p>
      <w:pPr>
        <w:pStyle w:val="Heading2"/>
      </w:pPr>
      <w:r>
        <w:t>4.7  Prose that reads as a data row</w:t>
      </w:r>
    </w:p>
    <w:p>
      <w:r>
        <w:rPr>
          <w:b w:val="0"/>
          <w:sz w:val="21"/>
        </w:rPr>
        <w:t>Statistics Botswana follows each table with commentary that quotes the table's figures: "Public administration employment increased from 144,200 persons (18.3 percent) in Q3 2023 to 153,044 persons (20.3 percent) in Q1 2024". That sentence carries exactly six numbers, which is exactly the column count of the industry table above it, so it scanned as a twenty-third industry -- with 153,044 emitted as a percentage. The validator caught it only because a share above 100 is impossible; had the sentence quoted two percentages instead, it would have passed. Regions now close on the Total row the table itself prints.</w:t>
      </w:r>
    </w:p>
    <w:p>
      <w:pPr>
        <w:pStyle w:val="Heading2"/>
      </w:pPr>
      <w:r>
        <w:t>4.8  A dash is a cell, not a gap</w:t>
      </w:r>
    </w:p>
    <w:p>
      <w:r>
        <w:rPr>
          <w:b w:val="0"/>
          <w:sz w:val="21"/>
        </w:rPr>
        <w:t>"Plant &amp; Machine Operators 33,165 6,564 39,729 613 - 613 ..." is ten columns, not nine. Dropping the dash shifted every later value one column left, which in a citizenship-split table meant non-citizen figures landing in the all-employed columns. Keeping the position and emitting nothing preserves both truths: the column exists, and the NSO published no figure in it. Tanzania's Zanzibar female real-estate cell is the same case -- 179 rows where a naive reader would emit 180 with an invented zero.</w:t>
      </w:r>
    </w:p>
    <w:p>
      <w:pPr>
        <w:pStyle w:val="Heading2"/>
      </w:pPr>
      <w:r>
        <w:t>4.9  Dating a column by position rather than by what is printed above it</w:t>
      </w:r>
    </w:p>
    <w:p>
      <w:r>
        <w:rPr>
          <w:b w:val="0"/>
          <w:sz w:val="21"/>
        </w:rPr>
        <w:t>These tables print several periods side by side -- Q4 2020 through Q1 2024, or 2019 through 2025. Hardcoding an offset per column would produce confidently wrong dates as soon as the next issue adds a quarter, and a wrongly dated series is worse than a missing one. Each column now takes its period from the header, and a header that no longer carries the expected number of periods raises. The header line is also excluded from the scan, because "ISIC High level 2019 2020 ... 2025" otherwise reads as an industry whose shares are years.</w:t>
      </w:r>
    </w:p>
    <w:p>
      <w:pPr>
        <w:pStyle w:val="Heading2"/>
      </w:pPr>
      <w:r>
        <w:t>4.10  Labels that wrap around their own numbers, capitalised on every line</w:t>
      </w:r>
    </w:p>
    <w:p>
      <w:r>
        <w:rPr>
          <w:b w:val="0"/>
          <w:sz w:val="21"/>
        </w:rPr>
        <w:t>NBS Tanzania prints "Water Supply, Sewerage," / "Waste Management and 0.2 ..." / "Remediation Activities" -- three lines, numbers in the middle, every line capitalised. Case cannot decide ownership: in "Agriculture, Forestry and" / "52.4 ..." / "Fishing" the capitalised fragment belongs to the row ABOVE, while in "Transportation and Storage 8.1" / "Accommodation and Food" / "1.5 ..." it belongs BELOW. Geometry does decide it -- a cell centres its numbers against its label -- so fragments are assigned by minimising the imbalance of label lines above and below each row, solved across the whole page at once. Verified line by line against the printed tables before use.</w:t>
      </w:r>
    </w:p>
    <w:p>
      <w:pPr>
        <w:pStyle w:val="Heading2"/>
      </w:pPr>
      <w:r>
        <w:t>4.11  Row percentages and column percentages collide on the merge key</w:t>
      </w:r>
    </w:p>
    <w:p>
      <w:r>
        <w:rPr>
          <w:b w:val="0"/>
          <w:sz w:val="21"/>
        </w:rPr>
        <w:t>"Managers: 53.7% male" and "13.0% of employed men are managers" are different quantities, but they share topic, category, sex and measure -- every field in the merge key. Collected together, whichever ran last would win, and the output would give no sign which quantity it holds. The schema has no denominator column, so the honest choice is to take the distribution of employment across categories and document that the sex-within-category table exists and is deliberately not collected.</w:t>
      </w:r>
    </w:p>
    <w:p>
      <w:pPr>
        <w:pStyle w:val="Heading2"/>
      </w:pPr>
      <w:r>
        <w:t>4.12  The label pattern decides what counts as a category</w:t>
      </w:r>
    </w:p>
    <w:p>
      <w:r>
        <w:rPr>
          <w:b w:val="0"/>
          <w:sz w:val="21"/>
        </w:rPr>
        <w:t>Two defects in one table set, both invisible in the values. The default label pattern stops at eighty characters, which silently dropped NSA's "Activities of households as employers; undifferentiated goods- and services-producing activities of households for own use" -- 122 characters and 43,149 people. And it treats "(" as the start of a value, because some sources print a suppressed cell as "(0)", so "Employer (with hired employees)" was truncated to "Employer" and "Helper (without pay) in a family business" to "Helper": plausible labels that are not what the report prints, and that a reader would have no reason to doubt. Only `expect_rows` and a check against the printed figures caught them.</w:t>
      </w:r>
    </w:p>
    <w:p>
      <w:pPr>
        <w:pStyle w:val="Heading2"/>
      </w:pPr>
      <w:r>
        <w:t>4.13  Deduplicating on the raw label can publish one category under another's name</w:t>
      </w:r>
    </w:p>
    <w:p>
      <w:r>
        <w:rPr>
          <w:b w:val="0"/>
          <w:sz w:val="21"/>
        </w:rPr>
        <w:t>Where a duplicated text layer splits a category across copies, the halves are rejoined from the report's own text -- "Technicians and associate" + "professionals". But the orphan half "professionals" collides case-insensitively with the real category "Professionals", so keying the duplicate check on the RAW label dropped the Technicians row as though it had already been seen. Read in the other order it would have done the reverse: published the Technicians figures under the Professionals label, with nothing anomalous for any validator to catch. The key is now the label as emitted.</w:t>
      </w:r>
    </w:p>
    <w:p>
      <w:pPr>
        <w:pStyle w:val="Heading2"/>
      </w:pPr>
      <w:r>
        <w:t>4.14  A scheme is recorded only where the report names one</w:t>
      </w:r>
    </w:p>
    <w:p>
      <w:r>
        <w:rPr>
          <w:b w:val="0"/>
          <w:sz w:val="21"/>
        </w:rPr>
        <w:t>Botswana's twenty-one industry groups follow ISIC Rev.4's sections and its report never says so; Tanzania's TASCO is "domesticated from ISCO-08" but is its own scheme; Rwanda heads a table "ISIC High level" with no revision, though its sections include Information and communication, which exists only in Rev.4. Tagging the first two as international standards would be inference published as fact, and would invite exactly the cross-country join the classification column exists to prevent. Seychelles and Zambia show the other side: they name ICSE-93, ICSE-18-A, ICSE-18-R, ISCO-08 and ISIC Rev.4 explicitly, and one Seychelles quarter therefore carries three status classifications that cannot collide.</w:t>
      </w:r>
    </w:p>
    <w:p>
      <w:pPr>
        <w:pStyle w:val="Heading1"/>
      </w:pPr>
      <w:r>
        <w:t>5. Outstanding Items and Recommendations</w:t>
      </w:r>
    </w:p>
    <w:p>
      <w:r>
        <w:rPr>
          <w:b w:val="0"/>
          <w:sz w:val="21"/>
        </w:rPr>
        <w:t>Coverage is the outstanding item, and the next tranche is unusually cheap. TWENTY-THREE of the twenty-six labour force survey documents already discovered and retained by the `unemployment` indicator contain industry, occupation, status or formality tables. The discovery routes are resolved and the files are on disk; what is missing is a layout for each.</w:t>
      </w:r>
    </w:p>
    <w:p>
      <w:r>
        <w:rPr>
          <w:b w:val="0"/>
          <w:sz w:val="21"/>
        </w:rPr>
        <w:t>THE ENGINE GAP IS CLOSED. `excel_wide_labour` reads wide workbooks and `pdf_tables_labour` reads report PDFs from the same kind of declarative layout, so adding a country is now a layout plus a descriptor rather than a new reader. Eleven countries have been read through it, and the traps it answers -- tables sharing a page, prose quoting a table's own figures, dashes as cells, periods printed across a header, letter-spaced digits, labels wrapped over five lines, a sub-heading sharing its line with the first category, and a space that is not a thousands separator -- are documented as options rather than as per-country code.</w:t>
      </w:r>
    </w:p>
    <w:p>
      <w:r>
        <w:rPr>
          <w:b w:val="0"/>
          <w:sz w:val="21"/>
        </w:rPr>
        <w:t>THE THREE KNOWN-AWKWARD SOURCES ARE NOW DONE, each in the way its difficulty demanded. NAMIBIA's text layer holds the whole report twice with the copies interleaved, and the copies turned out to be complementary -- each prints cleanly what the other mangles -- so both are read and the labels dedupe. SOMALIA's export clips every category mid-word ('Technicians and assoc'), and those are collected verbatim, because completing them would publish text the NSO did not. EGYPT is transposed and printed right-to-left, so its column order was established from page geometry and then confirmed against the report's own arithmetic.</w:t>
      </w:r>
    </w:p>
    <w:p>
      <w:r>
        <w:rPr>
          <w:b w:val="0"/>
          <w:sz w:val="21"/>
        </w:rPr>
        <w:t>WHAT REMAINS IS NOT PARSING EFFORT. Zimbabwe and Kenya are recorded as blocked -- the first publishes composition only as charts, the second publishes none at all, and its apparent substitute is establishment rather than household data. SEVEN MORE HAVE NOW BEEN SWEPT and carry no household composition: Mali gives status as an infographic and industry as a three-sector chart; Nigeria carries none of the four topics; BENIN, NIGER and GUINEA-BISSAU publish every branche-d'activite, ramo-de-atividade and CSP table inside the ERI-ESI INFORMAL-SECTOR module -- production units, capital in FCFA, aggregates -- which is establishment-side data wearing composition's vocabulary, the Kenya trap in French and Portuguese; SIERRA LEONE's 2014 report is analytical rather than statistical, its tables being marginal effects, Heckman selection-corrected regressions and ordered probits; and CAMEROON's retained file is a two-page depliant whose four composition titles carry NO VALUES AT ALL -- checked word by word, there are zero numeric words anywhere near them. Each needs a DIFFERENT publication from that NSO, which is discovery work rather than parsing, and the check before adopting one is that it is a household labour force survey.</w:t>
      </w:r>
    </w:p>
    <w:p>
      <w:r>
        <w:rPr>
          <w:b w:val="0"/>
          <w:sz w:val="21"/>
        </w:rPr>
        <w:t>THE RETAINED-DOCUMENT TRANCHE IS THEREFORE EXHAUSTED: every document the `unemployment` indicator had already discovered has now been examined, and no unexamined candidate remains. That is the honest statement of where coverage stands -- further countries will come from NEW publications as NSOs release them, starting with Kenya's 2026 Integrated Labour Force Survey, now in the field, rather than from more layouts over files already on disk.</w:t>
      </w:r>
    </w:p>
    <w:p>
      <w:r>
        <w:rPr>
          <w:b w:val="0"/>
          <w:sz w:val="21"/>
        </w:rPr>
        <w:t>THE TEST-SUITE GAP IS NOW CLOSED. `labour` carries an offline suite of the kind `mpi` and `unemployment` have: it replays the ACTUAL printed lines of published tables through the real parsers and the real validator, with no network, and every fixture is verbatim from the document the collector downloaded rather than reconstructed -- a fixture written to match the layout tests nothing. It targets the one failure mode a validator cannot see, a row that is well formed, in range and attached to the WRONG SERIES: the two word-position cases where a wrapped label is split between the wrong rows, the caption that shares its line with the first category, a chart whose values are text labels beside its own axis ticks, HTML furniture rows and suppressed cells, and a dash that must be skipped while a published zero survives. It is MUTATION-CHECKED: removing any of the four rules it guards turns it red on the assertions written for them -- breaking the French ordinal periods, for instance, collapses Tunisia's nine quarters into three bare years that would then collide on the merge key. A companion `check_registry` proves every descriptor resolves offline and that nothing recorded as blocked is also live.</w:t>
      </w:r>
    </w:p>
    <w:p>
      <w:r>
        <w:rPr>
          <w:b w:val="0"/>
          <w:sz w:val="21"/>
        </w:rPr>
        <w:t>THE SWEEP OF NEW NSOs HAS STARTED, and its first three results set the pattern for the rest. SENEGAL has the right survey but publishes composition only as charts, and is blocked. COTE D'IVOIRE could not be read at all: ANSTAT now sits behind a Cloudflare interactive challenge, blocked on access rather than content. ALGERIA was collected from an unexpected kind of source -- a statistical RETROSPECTIVE that reprints one table per survey round -- giving 25 LFS rounds 2000-2019 plus the 1989-92 MOD surveys and two censuses. ANGOLA followed, once the harness learned to download by POST: INE's workbooks give 27 quarterly and annual periods on the 13th-ICLS basis and the new 19th-ICLS series from 2025 Q4, kept apart by methodology. GAMBIA followed with four GLFS rounds (2018, 2022-23, 2025, 2026) whose schemes GBoS names -- ISIC Rev.4, ISCO-08, ICSE-93 -- so its categories carry an international classification, not National. Worth carrying forward: where an NSO's current releases are thin, its yearbook or retrospective may hold the composition tables its bulletins no longer print.</w:t>
      </w:r>
    </w:p>
    <w:p>
      <w:r>
        <w:rPr>
          <w:b w:val="0"/>
          <w:sz w:val="21"/>
        </w:rPr>
        <w:t>Recommended order: continue through the countries already reached by another indicator, checking each candidate publication for Tableau captions before any layout work, and each yearbook or retrospective where current releases carry only charts or prose.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Country</w:t>
            </w:r>
          </w:p>
        </w:tc>
        <w:tc>
          <w:tcPr>
            <w:tcW w:type="dxa" w:w="2160"/>
          </w:tcPr>
          <w:p>
            <w:r>
              <w:rPr>
                <w:b/>
                <w:sz w:val="16"/>
              </w:rPr>
              <w:t>Category</w:t>
            </w:r>
          </w:p>
        </w:tc>
        <w:tc>
          <w:tcPr>
            <w:tcW w:type="dxa" w:w="2160"/>
          </w:tcPr>
          <w:p>
            <w:r>
              <w:rPr>
                <w:b/>
                <w:sz w:val="16"/>
              </w:rPr>
              <w:t>Reason outstanding</w:t>
            </w:r>
          </w:p>
        </w:tc>
        <w:tc>
          <w:tcPr>
            <w:tcW w:type="dxa" w:w="2160"/>
          </w:tcPr>
          <w:p>
            <w:r>
              <w:rPr>
                <w:b/>
                <w:sz w:val="16"/>
              </w:rPr>
              <w:t>Recommended next step</w:t>
            </w:r>
          </w:p>
        </w:tc>
      </w:tr>
      <w:tr>
        <w:tc>
          <w:tcPr>
            <w:tcW w:type="dxa" w:w="2160"/>
          </w:tcPr>
          <w:p>
            <w:r>
              <w:rPr>
                <w:sz w:val="16"/>
              </w:rPr>
              <w:t>Cote dIvoire</w:t>
            </w:r>
          </w:p>
        </w:tc>
        <w:tc>
          <w:tcPr>
            <w:tcW w:type="dxa" w:w="2160"/>
          </w:tcPr>
          <w:p>
            <w:r>
              <w:rPr>
                <w:sz w:val="16"/>
              </w:rPr>
            </w:r>
          </w:p>
        </w:tc>
        <w:tc>
          <w:tcPr>
            <w:tcW w:type="dxa" w:w="2160"/>
          </w:tcPr>
          <w:p>
            <w:r>
              <w:rPr>
                <w:sz w:val="16"/>
              </w:rPr>
            </w:r>
          </w:p>
        </w:tc>
        <w:tc>
          <w:tcPr>
            <w:tcW w:type="dxa" w:w="2160"/>
          </w:tcPr>
          <w:p>
            <w:r>
              <w:rPr>
                <w:sz w:val="16"/>
              </w:rPr>
            </w:r>
          </w:p>
        </w:tc>
      </w:tr>
      <w:tr>
        <w:tc>
          <w:tcPr>
            <w:tcW w:type="dxa" w:w="2160"/>
          </w:tcPr>
          <w:p>
            <w:r>
              <w:rPr>
                <w:sz w:val="16"/>
              </w:rPr>
              <w:t>Kenya</w:t>
            </w:r>
          </w:p>
        </w:tc>
        <w:tc>
          <w:tcPr>
            <w:tcW w:type="dxa" w:w="2160"/>
          </w:tcPr>
          <w:p>
            <w:r>
              <w:rPr>
                <w:sz w:val="16"/>
              </w:rPr>
            </w:r>
          </w:p>
        </w:tc>
        <w:tc>
          <w:tcPr>
            <w:tcW w:type="dxa" w:w="2160"/>
          </w:tcPr>
          <w:p>
            <w:r>
              <w:rPr>
                <w:sz w:val="16"/>
              </w:rPr>
            </w:r>
          </w:p>
        </w:tc>
        <w:tc>
          <w:tcPr>
            <w:tcW w:type="dxa" w:w="2160"/>
          </w:tcPr>
          <w:p>
            <w:r>
              <w:rPr>
                <w:sz w:val="16"/>
              </w:rPr>
            </w:r>
          </w:p>
        </w:tc>
      </w:tr>
      <w:tr>
        <w:tc>
          <w:tcPr>
            <w:tcW w:type="dxa" w:w="2160"/>
          </w:tcPr>
          <w:p>
            <w:r>
              <w:rPr>
                <w:sz w:val="16"/>
              </w:rPr>
              <w:t>Senegal</w:t>
            </w:r>
          </w:p>
        </w:tc>
        <w:tc>
          <w:tcPr>
            <w:tcW w:type="dxa" w:w="2160"/>
          </w:tcPr>
          <w:p>
            <w:r>
              <w:rPr>
                <w:sz w:val="16"/>
              </w:rPr>
            </w:r>
          </w:p>
        </w:tc>
        <w:tc>
          <w:tcPr>
            <w:tcW w:type="dxa" w:w="2160"/>
          </w:tcPr>
          <w:p>
            <w:r>
              <w:rPr>
                <w:sz w:val="16"/>
              </w:rPr>
            </w:r>
          </w:p>
        </w:tc>
        <w:tc>
          <w:tcPr>
            <w:tcW w:type="dxa" w:w="2160"/>
          </w:tcPr>
          <w:p>
            <w:r>
              <w:rPr>
                <w:sz w:val="16"/>
              </w:rPr>
            </w:r>
          </w:p>
        </w:tc>
      </w:tr>
      <w:tr>
        <w:tc>
          <w:tcPr>
            <w:tcW w:type="dxa" w:w="2160"/>
          </w:tcPr>
          <w:p>
            <w:r>
              <w:rPr>
                <w:sz w:val="16"/>
              </w:rPr>
              <w:t>Zimbabwe</w:t>
            </w:r>
          </w:p>
        </w:tc>
        <w:tc>
          <w:tcPr>
            <w:tcW w:type="dxa" w:w="2160"/>
          </w:tcPr>
          <w:p>
            <w:r>
              <w:rPr>
                <w:sz w:val="16"/>
              </w:rPr>
            </w:r>
          </w:p>
        </w:tc>
        <w:tc>
          <w:tcPr>
            <w:tcW w:type="dxa" w:w="2160"/>
          </w:tcPr>
          <w:p>
            <w:r>
              <w:rPr>
                <w:sz w:val="16"/>
              </w:rPr>
            </w:r>
          </w:p>
        </w:tc>
        <w:tc>
          <w:tcPr>
            <w:tcW w:type="dxa" w:w="2160"/>
          </w:tcPr>
          <w:p>
            <w:r>
              <w:rPr>
                <w:sz w:val="16"/>
              </w:rPr>
            </w:r>
          </w:p>
        </w:tc>
      </w:tr>
    </w:tbl>
    <w:p>
      <w:pPr>
        <w:pStyle w:val="Heading1"/>
      </w:pPr>
      <w:r>
        <w:t>6. Conclusion</w:t>
      </w:r>
    </w:p>
    <w:p>
      <w:r>
        <w:rPr>
          <w:b w:val="0"/>
          <w:sz w:val="21"/>
        </w:rPr>
        <w:t>The collector holds 16,303 rows of employment composition across 23 African countries, each category carrying the classification that makes it interpretable and each figure emitted exactly as its NSO published it.</w:t>
      </w:r>
    </w:p>
    <w:p>
      <w:r>
        <w:rPr>
          <w:b w:val="0"/>
          <w:sz w:val="21"/>
        </w:rPr>
        <w:t>The value of this round is mostly structural rather than in the row count. The indicator now merges instead of overwriting, accepts quarterly as well as annual periods, records the classification behind every category and refuses a category without one, and no longer duplicates a series that belongs to another indicator. Those were all prerequisites for coverage, and getting them wrong after twenty countries had been added would have been far more expensive than getting them right before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