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Africa Multidimensional Poverty Index (MPI) Collector</w:t>
      </w:r>
    </w:p>
    <w:p>
      <w:pPr>
        <w:jc w:val="center"/>
      </w:pPr>
      <w:r>
        <w:rPr>
          <w:b w:val="0"/>
          <w:sz w:val="24"/>
        </w:rPr>
        <w:t>Progress Report — Work Done, Challenges &amp; Remedies, and Outstanding Items</w:t>
      </w:r>
    </w:p>
    <w:p>
      <w:pPr>
        <w:jc w:val="center"/>
      </w:pPr>
      <w:r>
        <w:rPr>
          <w:b w:val="0"/>
          <w:sz w:val="18"/>
        </w:rPr>
        <w:t>Generated 10 September 2026</w:t>
      </w:r>
    </w:p>
    <w:p/>
    <w:p>
      <w:pPr>
        <w:pStyle w:val="Heading1"/>
      </w:pPr>
      <w:r>
        <w:t>Executive Summary</w:t>
      </w:r>
    </w:p>
    <w:p>
      <w:r>
        <w:rPr>
          <w:b w:val="0"/>
          <w:sz w:val="21"/>
        </w:rPr>
        <w:t>The Africa MPI Collector harvests each National Statistics Office's OWN national Multidimensional Poverty Index — incidence (H), intensity (A), the index M0, censored headcounts and indicator contributions — exactly as published, from the NSO's own site.</w:t>
      </w:r>
    </w:p>
    <w:p>
      <w:r>
        <w:rPr>
          <w:b w:val="0"/>
          <w:sz w:val="21"/>
        </w:rPr>
        <w:t>As at this reporting date, 14 countries are collected and validated, yielding 2,130 rows. 4 descriptors are outstanding and are kept whole in sources_blocked/, so restoring any of them is a file move rather than a rewrite.</w:t>
      </w:r>
    </w:p>
    <w:p>
      <w:r>
        <w:rPr>
          <w:b w:val="0"/>
          <w:sz w:val="21"/>
        </w:rPr>
        <w:t>The headline finding is that these are NOT one comparable series. The poverty cutoff k runs from 25% to 60%; dimensions from 3 to 5; indicators from 9 to 21; and the unit of analysis is the household in some countries and the person in others. Two national MPIs are no more comparable to each other than either is to the global MPI, so the methodology travels on every row and a row that omits it is refused.</w:t>
      </w:r>
    </w:p>
    <w:p>
      <w:r>
        <w:rPr>
          <w:b w:val="0"/>
          <w:sz w:val="21"/>
        </w:rPr>
        <w:t>OPHI and UNDP HDR are excluded as aggregators, in line with the collector's standing rule. Where an NSO genuinely authored an MPI but published it only on an aggregator, that is recorded in PENDING.md as a lead rather than collected as a source.</w:t>
      </w:r>
    </w:p>
    <w:p>
      <w:pPr>
        <w:pStyle w:val="Heading1"/>
      </w:pPr>
      <w:r>
        <w:t>1. Objective and Scope</w:t>
      </w:r>
    </w:p>
    <w:p>
      <w:r>
        <w:rPr>
          <w:b w:val="0"/>
          <w:sz w:val="21"/>
        </w:rPr>
        <w:t>The objective is a single, auditable, machine-readable dataset of the national MPIs that African NSOs publish themselves, each carrying the methodology needed to interpret it. The guiding rules are:</w:t>
      </w:r>
    </w:p>
    <w:p>
      <w:pPr>
        <w:pStyle w:val="ListBullet"/>
      </w:pPr>
      <w:r>
        <w:rPr>
          <w:b w:val="0"/>
          <w:sz w:val="21"/>
        </w:rPr>
        <w:t>As published — no estimation, imputation, rescaling or recomputation; a figure is emitted exactly as the NSO printed it, or not at all.</w:t>
      </w:r>
    </w:p>
    <w:p>
      <w:pPr>
        <w:pStyle w:val="ListBullet"/>
      </w:pPr>
      <w:r>
        <w:rPr>
          <w:b w:val="0"/>
          <w:sz w:val="21"/>
        </w:rPr>
        <w:t>No aggregators — ILOSTAT, the World Bank, IMF, Knoema and similar re-estimate or harmonise national figures, and are excluded. Only the NSO's own publication counts as a source.</w:t>
      </w:r>
    </w:p>
    <w:p>
      <w:pPr>
        <w:pStyle w:val="ListBullet"/>
      </w:pPr>
      <w:r>
        <w:rPr>
          <w:b w:val="0"/>
          <w:sz w:val="21"/>
        </w:rPr>
        <w:t>As defined by the NSO — native definitions, bases and strata are kept as published rather than forced into a single convention.</w:t>
      </w:r>
    </w:p>
    <w:p>
      <w:pPr>
        <w:pStyle w:val="ListBullet"/>
      </w:pPr>
      <w:r>
        <w:rPr>
          <w:b w:val="0"/>
          <w:sz w:val="21"/>
        </w:rPr>
        <w:t>All periods — every period a document publishes is emitted, and runs MERGE into the existing output so an earlier quarter is never discarded.</w:t>
      </w:r>
    </w:p>
    <w:p>
      <w:pPr>
        <w:pStyle w:val="ListBullet"/>
      </w:pPr>
      <w:r>
        <w:rPr>
          <w:b w:val="0"/>
          <w:sz w:val="21"/>
        </w:rPr>
        <w:t>Auditable — the raw published file is retained for every country, so any value traces back to the primary document.</w:t>
      </w:r>
    </w:p>
    <w:p>
      <w:pPr>
        <w:pStyle w:val="Heading1"/>
      </w:pPr>
      <w:r>
        <w:t>2. Approach and Architecture</w:t>
      </w:r>
    </w:p>
    <w:p>
      <w:r>
        <w:rPr>
          <w:b w:val="0"/>
          <w:sz w:val="21"/>
        </w:rPr>
        <w:t>Each country is a small declarative descriptor (`sources/&lt;country&gt;.yaml`) naming the agency, the publication and how to find the current file, plus a layout that says what the table's rows and columns mean. A shared pipeline does the rest: discover the file, download it, retain it, parse it, normalise it to the indicator's schema, validate it, and merge it into the country's output.</w:t>
      </w:r>
    </w:p>
    <w:p>
      <w:r>
        <w:rPr>
          <w:b w:val="0"/>
          <w:sz w:val="21"/>
        </w:rPr>
        <w:t>The layouts are declarative rather than bespoke because these reports all fit one model — a table is a grid of row specs by column specs, and every cell inherits the union of its row's and its column's attributes. A column-order correction is then a one-line edit rather than a rewrite. Countries that genuinely do not fit get a reader of their own.</w:t>
      </w:r>
    </w:p>
    <w:p>
      <w:r>
        <w:rPr>
          <w:b w:val="0"/>
          <w:sz w:val="21"/>
        </w:rPr>
        <w:t>Every country lives in its own module, so a layout sits beside its own descriptor and its own notes. Cross-check values from the published report are recorded in each module, which is what makes a silent regression visible: re-running and comparing against them is the fastest proof that a layout still holds.</w:t>
      </w:r>
    </w:p>
    <w:p>
      <w:pPr>
        <w:pStyle w:val="Heading1"/>
      </w:pPr>
      <w:r>
        <w:t>3. Work Done</w:t>
      </w:r>
    </w:p>
    <w:p>
      <w:r>
        <w:rPr>
          <w:b w:val="0"/>
          <w:sz w:val="21"/>
        </w:rPr>
        <w:t>The 14 collected countries span all three source tiers, though MPI is overwhelmingly a Tier-3 indicator: only Ghana publishes it through a machine-readable API. The rest are report PDFs, several of them infographics rather than tables.</w:t>
      </w:r>
    </w:p>
    <w:p>
      <w:r>
        <w:rPr>
          <w:b w:val="0"/>
          <w:sz w:val="21"/>
        </w:rPr>
        <w:t>The richest captures are Ghana (527 rows across sex of head, locality and indicator contributions), Mauritius (507 rows over 169 geographies), Botswana (177), Sierra Leone (153, with published confidence intervals for every estimate), Uganda (114, across five stratifications) and Burkina Faso (135, over 45 geographies).</w:t>
      </w:r>
    </w:p>
    <w:p>
      <w:r>
        <w:rPr>
          <w:b w:val="0"/>
          <w:sz w:val="21"/>
        </w:rPr>
        <w:t>Every value is checked against the Alkire-Foster identity M0 = H x A as a free arithmetic test. It holds across every country collected, unit-aware, with one explained exception: Ghana's StatsBank publishes M0 to a single decimal place, so the residual there is half of one printed unit and is source rounding rather than a parse error.</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Country</w:t>
            </w:r>
          </w:p>
        </w:tc>
        <w:tc>
          <w:tcPr>
            <w:tcW w:type="dxa" w:w="1728"/>
          </w:tcPr>
          <w:p>
            <w:r>
              <w:rPr>
                <w:b/>
                <w:sz w:val="16"/>
              </w:rPr>
              <w:t>Source of record</w:t>
            </w:r>
          </w:p>
        </w:tc>
        <w:tc>
          <w:tcPr>
            <w:tcW w:type="dxa" w:w="1728"/>
          </w:tcPr>
          <w:p>
            <w:r>
              <w:rPr>
                <w:b/>
                <w:sz w:val="16"/>
              </w:rPr>
              <w:t>Publication</w:t>
            </w:r>
          </w:p>
        </w:tc>
        <w:tc>
          <w:tcPr>
            <w:tcW w:type="dxa" w:w="1728"/>
          </w:tcPr>
          <w:p>
            <w:r>
              <w:rPr>
                <w:b/>
                <w:sz w:val="16"/>
              </w:rPr>
              <w:t>Coverage (rows / periods / range)</w:t>
            </w:r>
          </w:p>
        </w:tc>
        <w:tc>
          <w:tcPr>
            <w:tcW w:type="dxa" w:w="1728"/>
          </w:tcPr>
          <w:p>
            <w:r>
              <w:rPr>
                <w:b/>
                <w:sz w:val="16"/>
              </w:rPr>
              <w:t>Access method</w:t>
            </w:r>
          </w:p>
        </w:tc>
      </w:tr>
      <w:tr>
        <w:tc>
          <w:tcPr>
            <w:tcW w:type="dxa" w:w="1728"/>
          </w:tcPr>
          <w:p>
            <w:r>
              <w:rPr>
                <w:sz w:val="16"/>
              </w:rPr>
              <w:t>Angola</w:t>
            </w:r>
          </w:p>
        </w:tc>
        <w:tc>
          <w:tcPr>
            <w:tcW w:type="dxa" w:w="1728"/>
          </w:tcPr>
          <w:p>
            <w:r>
              <w:rPr>
                <w:sz w:val="16"/>
              </w:rPr>
              <w:t>NSO (INE Angola)</w:t>
            </w:r>
          </w:p>
        </w:tc>
        <w:tc>
          <w:tcPr>
            <w:tcW w:type="dxa" w:w="1728"/>
          </w:tcPr>
          <w:p>
            <w:r>
              <w:rPr>
                <w:sz w:val="16"/>
              </w:rPr>
              <w:t>IPM-A 2020</w:t>
            </w:r>
          </w:p>
        </w:tc>
        <w:tc>
          <w:tcPr>
            <w:tcW w:type="dxa" w:w="1728"/>
          </w:tcPr>
          <w:p>
            <w:r>
              <w:rPr>
                <w:sz w:val="16"/>
              </w:rPr>
              <w:t>148 rows · 1 period(s) · 2016 to 2016</w:t>
            </w:r>
          </w:p>
        </w:tc>
        <w:tc>
          <w:tcPr>
            <w:tcW w:type="dxa" w:w="1728"/>
          </w:tcPr>
          <w:p>
            <w:r>
              <w:rPr>
                <w:sz w:val="16"/>
              </w:rPr>
              <w:t>static_url (Tier-3 report)</w:t>
            </w:r>
          </w:p>
        </w:tc>
      </w:tr>
      <w:tr>
        <w:tc>
          <w:tcPr>
            <w:tcW w:type="dxa" w:w="1728"/>
          </w:tcPr>
          <w:p>
            <w:r>
              <w:rPr>
                <w:sz w:val="16"/>
              </w:rPr>
              <w:t>Botswana</w:t>
            </w:r>
          </w:p>
        </w:tc>
        <w:tc>
          <w:tcPr>
            <w:tcW w:type="dxa" w:w="1728"/>
          </w:tcPr>
          <w:p>
            <w:r>
              <w:rPr>
                <w:sz w:val="16"/>
              </w:rPr>
              <w:t>NSO (Statistics Botswana)</w:t>
            </w:r>
          </w:p>
        </w:tc>
        <w:tc>
          <w:tcPr>
            <w:tcW w:type="dxa" w:w="1728"/>
          </w:tcPr>
          <w:p>
            <w:r>
              <w:rPr>
                <w:sz w:val="16"/>
              </w:rPr>
              <w:t>Pilot National MPI 2021</w:t>
            </w:r>
          </w:p>
        </w:tc>
        <w:tc>
          <w:tcPr>
            <w:tcW w:type="dxa" w:w="1728"/>
          </w:tcPr>
          <w:p>
            <w:r>
              <w:rPr>
                <w:sz w:val="16"/>
              </w:rPr>
              <w:t>177 rows · 1 period(s) · 2016 to 2016</w:t>
            </w:r>
          </w:p>
        </w:tc>
        <w:tc>
          <w:tcPr>
            <w:tcW w:type="dxa" w:w="1728"/>
          </w:tcPr>
          <w:p>
            <w:r>
              <w:rPr>
                <w:sz w:val="16"/>
              </w:rPr>
              <w:t>static_url (Tier-3 report)</w:t>
            </w:r>
          </w:p>
        </w:tc>
      </w:tr>
      <w:tr>
        <w:tc>
          <w:tcPr>
            <w:tcW w:type="dxa" w:w="1728"/>
          </w:tcPr>
          <w:p>
            <w:r>
              <w:rPr>
                <w:sz w:val="16"/>
              </w:rPr>
              <w:t>Burkina Faso</w:t>
            </w:r>
          </w:p>
        </w:tc>
        <w:tc>
          <w:tcPr>
            <w:tcW w:type="dxa" w:w="1728"/>
          </w:tcPr>
          <w:p>
            <w:r>
              <w:rPr>
                <w:sz w:val="16"/>
              </w:rPr>
              <w:t>NSO (INSD)</w:t>
            </w:r>
          </w:p>
        </w:tc>
        <w:tc>
          <w:tcPr>
            <w:tcW w:type="dxa" w:w="1728"/>
          </w:tcPr>
          <w:p>
            <w:r>
              <w:rPr>
                <w:sz w:val="16"/>
              </w:rPr>
              <w:t>IPM local 2019</w:t>
            </w:r>
          </w:p>
        </w:tc>
        <w:tc>
          <w:tcPr>
            <w:tcW w:type="dxa" w:w="1728"/>
          </w:tcPr>
          <w:p>
            <w:r>
              <w:rPr>
                <w:sz w:val="16"/>
              </w:rPr>
              <w:t>135 rows · 1 period(s) · 2019 to 2019</w:t>
            </w:r>
          </w:p>
        </w:tc>
        <w:tc>
          <w:tcPr>
            <w:tcW w:type="dxa" w:w="1728"/>
          </w:tcPr>
          <w:p>
            <w:r>
              <w:rPr>
                <w:sz w:val="16"/>
              </w:rPr>
              <w:t>static_url (Tier-3 report)</w:t>
            </w:r>
          </w:p>
        </w:tc>
      </w:tr>
      <w:tr>
        <w:tc>
          <w:tcPr>
            <w:tcW w:type="dxa" w:w="1728"/>
          </w:tcPr>
          <w:p>
            <w:r>
              <w:rPr>
                <w:sz w:val="16"/>
              </w:rPr>
              <w:t>Ghana</w:t>
            </w:r>
          </w:p>
        </w:tc>
        <w:tc>
          <w:tcPr>
            <w:tcW w:type="dxa" w:w="1728"/>
          </w:tcPr>
          <w:p>
            <w:r>
              <w:rPr>
                <w:sz w:val="16"/>
              </w:rPr>
              <w:t>NSO (GSS)</w:t>
            </w:r>
          </w:p>
        </w:tc>
        <w:tc>
          <w:tcPr>
            <w:tcW w:type="dxa" w:w="1728"/>
          </w:tcPr>
          <w:p>
            <w:r>
              <w:rPr>
                <w:sz w:val="16"/>
              </w:rPr>
              <w:t>PHC 2021</w:t>
            </w:r>
          </w:p>
        </w:tc>
        <w:tc>
          <w:tcPr>
            <w:tcW w:type="dxa" w:w="1728"/>
          </w:tcPr>
          <w:p>
            <w:r>
              <w:rPr>
                <w:sz w:val="16"/>
              </w:rPr>
              <w:t>527 rows · 1 period(s) · 2021 to 2021</w:t>
            </w:r>
          </w:p>
        </w:tc>
        <w:tc>
          <w:tcPr>
            <w:tcW w:type="dxa" w:w="1728"/>
          </w:tcPr>
          <w:p>
            <w:r>
              <w:rPr>
                <w:sz w:val="16"/>
              </w:rPr>
              <w:t>NSO data API, 3 table(s) (Tier-1 API)</w:t>
            </w:r>
          </w:p>
        </w:tc>
      </w:tr>
      <w:tr>
        <w:tc>
          <w:tcPr>
            <w:tcW w:type="dxa" w:w="1728"/>
          </w:tcPr>
          <w:p>
            <w:r>
              <w:rPr>
                <w:sz w:val="16"/>
              </w:rPr>
              <w:t>Guinea</w:t>
            </w:r>
          </w:p>
        </w:tc>
        <w:tc>
          <w:tcPr>
            <w:tcW w:type="dxa" w:w="1728"/>
          </w:tcPr>
          <w:p>
            <w:r>
              <w:rPr>
                <w:sz w:val="16"/>
              </w:rPr>
              <w:t>NSO (INS Guinée)</w:t>
            </w:r>
          </w:p>
        </w:tc>
        <w:tc>
          <w:tcPr>
            <w:tcW w:type="dxa" w:w="1728"/>
          </w:tcPr>
          <w:p>
            <w:r>
              <w:rPr>
                <w:sz w:val="16"/>
              </w:rPr>
              <w:t>RGPH3 - Analyse de la pauvreté</w:t>
            </w:r>
          </w:p>
        </w:tc>
        <w:tc>
          <w:tcPr>
            <w:tcW w:type="dxa" w:w="1728"/>
          </w:tcPr>
          <w:p>
            <w:r>
              <w:rPr>
                <w:sz w:val="16"/>
              </w:rPr>
              <w:t>78 rows · 1 period(s) · 2014 to 2014</w:t>
            </w:r>
          </w:p>
        </w:tc>
        <w:tc>
          <w:tcPr>
            <w:tcW w:type="dxa" w:w="1728"/>
          </w:tcPr>
          <w:p>
            <w:r>
              <w:rPr>
                <w:sz w:val="16"/>
              </w:rPr>
              <w:t>static_url (Tier-3 report)</w:t>
            </w:r>
          </w:p>
        </w:tc>
      </w:tr>
      <w:tr>
        <w:tc>
          <w:tcPr>
            <w:tcW w:type="dxa" w:w="1728"/>
          </w:tcPr>
          <w:p>
            <w:r>
              <w:rPr>
                <w:sz w:val="16"/>
              </w:rPr>
              <w:t>Madagascar</w:t>
            </w:r>
          </w:p>
        </w:tc>
        <w:tc>
          <w:tcPr>
            <w:tcW w:type="dxa" w:w="1728"/>
          </w:tcPr>
          <w:p>
            <w:r>
              <w:rPr>
                <w:sz w:val="16"/>
              </w:rPr>
              <w:t>NSO (INSTAT Madagascar)</w:t>
            </w:r>
          </w:p>
        </w:tc>
        <w:tc>
          <w:tcPr>
            <w:tcW w:type="dxa" w:w="1728"/>
          </w:tcPr>
          <w:p>
            <w:r>
              <w:rPr>
                <w:sz w:val="16"/>
              </w:rPr>
              <w:t>MICS6-2018 snapshot IPM</w:t>
            </w:r>
          </w:p>
        </w:tc>
        <w:tc>
          <w:tcPr>
            <w:tcW w:type="dxa" w:w="1728"/>
          </w:tcPr>
          <w:p>
            <w:r>
              <w:rPr>
                <w:sz w:val="16"/>
              </w:rPr>
              <w:t>96 rows · 1 period(s) · 2018 to 2018</w:t>
            </w:r>
          </w:p>
        </w:tc>
        <w:tc>
          <w:tcPr>
            <w:tcW w:type="dxa" w:w="1728"/>
          </w:tcPr>
          <w:p>
            <w:r>
              <w:rPr>
                <w:sz w:val="16"/>
              </w:rPr>
              <w:t>static_url (Tier-3 report)</w:t>
            </w:r>
          </w:p>
        </w:tc>
      </w:tr>
      <w:tr>
        <w:tc>
          <w:tcPr>
            <w:tcW w:type="dxa" w:w="1728"/>
          </w:tcPr>
          <w:p>
            <w:r>
              <w:rPr>
                <w:sz w:val="16"/>
              </w:rPr>
              <w:t>Mali</w:t>
            </w:r>
          </w:p>
        </w:tc>
        <w:tc>
          <w:tcPr>
            <w:tcW w:type="dxa" w:w="1728"/>
          </w:tcPr>
          <w:p>
            <w:r>
              <w:rPr>
                <w:sz w:val="16"/>
              </w:rPr>
              <w:t>NSO (INSTAT Mali)</w:t>
            </w:r>
          </w:p>
        </w:tc>
        <w:tc>
          <w:tcPr>
            <w:tcW w:type="dxa" w:w="1728"/>
          </w:tcPr>
          <w:p>
            <w:r>
              <w:rPr>
                <w:sz w:val="16"/>
              </w:rPr>
              <w:t>IPM-Mali 2023</w:t>
            </w:r>
          </w:p>
        </w:tc>
        <w:tc>
          <w:tcPr>
            <w:tcW w:type="dxa" w:w="1728"/>
          </w:tcPr>
          <w:p>
            <w:r>
              <w:rPr>
                <w:sz w:val="16"/>
              </w:rPr>
              <w:t>48 rows · 1 period(s) · 2023 to 2023</w:t>
            </w:r>
          </w:p>
        </w:tc>
        <w:tc>
          <w:tcPr>
            <w:tcW w:type="dxa" w:w="1728"/>
          </w:tcPr>
          <w:p>
            <w:r>
              <w:rPr>
                <w:sz w:val="16"/>
              </w:rPr>
              <w:t>static_url (Tier-3 report)</w:t>
            </w:r>
          </w:p>
        </w:tc>
      </w:tr>
      <w:tr>
        <w:tc>
          <w:tcPr>
            <w:tcW w:type="dxa" w:w="1728"/>
          </w:tcPr>
          <w:p>
            <w:r>
              <w:rPr>
                <w:sz w:val="16"/>
              </w:rPr>
              <w:t>Mauritius</w:t>
            </w:r>
          </w:p>
        </w:tc>
        <w:tc>
          <w:tcPr>
            <w:tcW w:type="dxa" w:w="1728"/>
          </w:tcPr>
          <w:p>
            <w:r>
              <w:rPr>
                <w:sz w:val="16"/>
              </w:rPr>
              <w:t>NSO (Ministry of Finance)</w:t>
            </w:r>
          </w:p>
        </w:tc>
        <w:tc>
          <w:tcPr>
            <w:tcW w:type="dxa" w:w="1728"/>
          </w:tcPr>
          <w:p>
            <w:r>
              <w:rPr>
                <w:sz w:val="16"/>
              </w:rPr>
              <w:t>National MPI 2022</w:t>
            </w:r>
          </w:p>
        </w:tc>
        <w:tc>
          <w:tcPr>
            <w:tcW w:type="dxa" w:w="1728"/>
          </w:tcPr>
          <w:p>
            <w:r>
              <w:rPr>
                <w:sz w:val="16"/>
              </w:rPr>
              <w:t>507 rows · 1 period(s) · 2022 to 2022</w:t>
            </w:r>
          </w:p>
        </w:tc>
        <w:tc>
          <w:tcPr>
            <w:tcW w:type="dxa" w:w="1728"/>
          </w:tcPr>
          <w:p>
            <w:r>
              <w:rPr>
                <w:sz w:val="16"/>
              </w:rPr>
              <w:t>page_scrape (Tier-3 report)</w:t>
            </w:r>
          </w:p>
        </w:tc>
      </w:tr>
      <w:tr>
        <w:tc>
          <w:tcPr>
            <w:tcW w:type="dxa" w:w="1728"/>
          </w:tcPr>
          <w:p>
            <w:r>
              <w:rPr>
                <w:sz w:val="16"/>
              </w:rPr>
              <w:t>Nigeria</w:t>
            </w:r>
          </w:p>
        </w:tc>
        <w:tc>
          <w:tcPr>
            <w:tcW w:type="dxa" w:w="1728"/>
          </w:tcPr>
          <w:p>
            <w:r>
              <w:rPr>
                <w:sz w:val="16"/>
              </w:rPr>
              <w:t>NSO (National Bureau of Statistics)</w:t>
            </w:r>
          </w:p>
        </w:tc>
        <w:tc>
          <w:tcPr>
            <w:tcW w:type="dxa" w:w="1728"/>
          </w:tcPr>
          <w:p>
            <w:r>
              <w:rPr>
                <w:sz w:val="16"/>
              </w:rPr>
              <w:t>Nigeria MPI 2022</w:t>
            </w:r>
          </w:p>
        </w:tc>
        <w:tc>
          <w:tcPr>
            <w:tcW w:type="dxa" w:w="1728"/>
          </w:tcPr>
          <w:p>
            <w:r>
              <w:rPr>
                <w:sz w:val="16"/>
              </w:rPr>
              <w:t>39 rows · 1 period(s) · 2022 to 2022</w:t>
            </w:r>
          </w:p>
        </w:tc>
        <w:tc>
          <w:tcPr>
            <w:tcW w:type="dxa" w:w="1728"/>
          </w:tcPr>
          <w:p>
            <w:r>
              <w:rPr>
                <w:sz w:val="16"/>
              </w:rPr>
              <w:t>static_url (Tier-3 report)</w:t>
            </w:r>
          </w:p>
        </w:tc>
      </w:tr>
      <w:tr>
        <w:tc>
          <w:tcPr>
            <w:tcW w:type="dxa" w:w="1728"/>
          </w:tcPr>
          <w:p>
            <w:r>
              <w:rPr>
                <w:sz w:val="16"/>
              </w:rPr>
              <w:t>Rwanda</w:t>
            </w:r>
          </w:p>
        </w:tc>
        <w:tc>
          <w:tcPr>
            <w:tcW w:type="dxa" w:w="1728"/>
          </w:tcPr>
          <w:p>
            <w:r>
              <w:rPr>
                <w:sz w:val="16"/>
              </w:rPr>
              <w:t>NSO (NISR)</w:t>
            </w:r>
          </w:p>
        </w:tc>
        <w:tc>
          <w:tcPr>
            <w:tcW w:type="dxa" w:w="1728"/>
          </w:tcPr>
          <w:p>
            <w:r>
              <w:rPr>
                <w:sz w:val="16"/>
              </w:rPr>
              <w:t>EICV7 Thematic Report - Multidimensional Poverty</w:t>
            </w:r>
          </w:p>
        </w:tc>
        <w:tc>
          <w:tcPr>
            <w:tcW w:type="dxa" w:w="1728"/>
          </w:tcPr>
          <w:p>
            <w:r>
              <w:rPr>
                <w:sz w:val="16"/>
              </w:rPr>
              <w:t>39 rows · 1 period(s) · 2024 to 2024</w:t>
            </w:r>
          </w:p>
        </w:tc>
        <w:tc>
          <w:tcPr>
            <w:tcW w:type="dxa" w:w="1728"/>
          </w:tcPr>
          <w:p>
            <w:r>
              <w:rPr>
                <w:sz w:val="16"/>
              </w:rPr>
              <w:t>static_url (Tier-3 report)</w:t>
            </w:r>
          </w:p>
        </w:tc>
      </w:tr>
      <w:tr>
        <w:tc>
          <w:tcPr>
            <w:tcW w:type="dxa" w:w="1728"/>
          </w:tcPr>
          <w:p>
            <w:r>
              <w:rPr>
                <w:sz w:val="16"/>
              </w:rPr>
              <w:t>Seychelles</w:t>
            </w:r>
          </w:p>
        </w:tc>
        <w:tc>
          <w:tcPr>
            <w:tcW w:type="dxa" w:w="1728"/>
          </w:tcPr>
          <w:p>
            <w:r>
              <w:rPr>
                <w:sz w:val="16"/>
              </w:rPr>
              <w:t>NSO (NBS Seychelles)</w:t>
            </w:r>
          </w:p>
        </w:tc>
        <w:tc>
          <w:tcPr>
            <w:tcW w:type="dxa" w:w="1728"/>
          </w:tcPr>
          <w:p>
            <w:r>
              <w:rPr>
                <w:sz w:val="16"/>
              </w:rPr>
              <w:t>Seychelles MPI 2019</w:t>
            </w:r>
          </w:p>
        </w:tc>
        <w:tc>
          <w:tcPr>
            <w:tcW w:type="dxa" w:w="1728"/>
          </w:tcPr>
          <w:p>
            <w:r>
              <w:rPr>
                <w:sz w:val="16"/>
              </w:rPr>
              <w:t>9 rows · 1 period(s) · 2019 to 2019</w:t>
            </w:r>
          </w:p>
        </w:tc>
        <w:tc>
          <w:tcPr>
            <w:tcW w:type="dxa" w:w="1728"/>
          </w:tcPr>
          <w:p>
            <w:r>
              <w:rPr>
                <w:sz w:val="16"/>
              </w:rPr>
              <w:t>static_url (Tier-3 report)</w:t>
            </w:r>
          </w:p>
        </w:tc>
      </w:tr>
      <w:tr>
        <w:tc>
          <w:tcPr>
            <w:tcW w:type="dxa" w:w="1728"/>
          </w:tcPr>
          <w:p>
            <w:r>
              <w:rPr>
                <w:sz w:val="16"/>
              </w:rPr>
              <w:t>Sierra Leone</w:t>
            </w:r>
          </w:p>
        </w:tc>
        <w:tc>
          <w:tcPr>
            <w:tcW w:type="dxa" w:w="1728"/>
          </w:tcPr>
          <w:p>
            <w:r>
              <w:rPr>
                <w:sz w:val="16"/>
              </w:rPr>
              <w:t>NSO (Stats SL)</w:t>
            </w:r>
          </w:p>
        </w:tc>
        <w:tc>
          <w:tcPr>
            <w:tcW w:type="dxa" w:w="1728"/>
          </w:tcPr>
          <w:p>
            <w:r>
              <w:rPr>
                <w:sz w:val="16"/>
              </w:rPr>
              <w:t>Sierra Leone MPI 2019</w:t>
            </w:r>
          </w:p>
        </w:tc>
        <w:tc>
          <w:tcPr>
            <w:tcW w:type="dxa" w:w="1728"/>
          </w:tcPr>
          <w:p>
            <w:r>
              <w:rPr>
                <w:sz w:val="16"/>
              </w:rPr>
              <w:t>153 rows · 1 period(s) · 2017 to 2017</w:t>
            </w:r>
          </w:p>
        </w:tc>
        <w:tc>
          <w:tcPr>
            <w:tcW w:type="dxa" w:w="1728"/>
          </w:tcPr>
          <w:p>
            <w:r>
              <w:rPr>
                <w:sz w:val="16"/>
              </w:rPr>
              <w:t>static_url (Tier-3 report)</w:t>
            </w:r>
          </w:p>
        </w:tc>
      </w:tr>
      <w:tr>
        <w:tc>
          <w:tcPr>
            <w:tcW w:type="dxa" w:w="1728"/>
          </w:tcPr>
          <w:p>
            <w:r>
              <w:rPr>
                <w:sz w:val="16"/>
              </w:rPr>
              <w:t>South Africa</w:t>
            </w:r>
          </w:p>
        </w:tc>
        <w:tc>
          <w:tcPr>
            <w:tcW w:type="dxa" w:w="1728"/>
          </w:tcPr>
          <w:p>
            <w:r>
              <w:rPr>
                <w:sz w:val="16"/>
              </w:rPr>
              <w:t>NSO (Stats SA)</w:t>
            </w:r>
          </w:p>
        </w:tc>
        <w:tc>
          <w:tcPr>
            <w:tcW w:type="dxa" w:w="1728"/>
          </w:tcPr>
          <w:p>
            <w:r>
              <w:rPr>
                <w:sz w:val="16"/>
              </w:rPr>
              <w:t>Report 03-10-08</w:t>
            </w:r>
          </w:p>
        </w:tc>
        <w:tc>
          <w:tcPr>
            <w:tcW w:type="dxa" w:w="1728"/>
          </w:tcPr>
          <w:p>
            <w:r>
              <w:rPr>
                <w:sz w:val="16"/>
              </w:rPr>
              <w:t>60 rows · 2 period(s) · 2001 to 2011</w:t>
            </w:r>
          </w:p>
        </w:tc>
        <w:tc>
          <w:tcPr>
            <w:tcW w:type="dxa" w:w="1728"/>
          </w:tcPr>
          <w:p>
            <w:r>
              <w:rPr>
                <w:sz w:val="16"/>
              </w:rPr>
              <w:t>static_url (Tier-3 report)</w:t>
            </w:r>
          </w:p>
        </w:tc>
      </w:tr>
      <w:tr>
        <w:tc>
          <w:tcPr>
            <w:tcW w:type="dxa" w:w="1728"/>
          </w:tcPr>
          <w:p>
            <w:r>
              <w:rPr>
                <w:sz w:val="16"/>
              </w:rPr>
              <w:t>Uganda</w:t>
            </w:r>
          </w:p>
        </w:tc>
        <w:tc>
          <w:tcPr>
            <w:tcW w:type="dxa" w:w="1728"/>
          </w:tcPr>
          <w:p>
            <w:r>
              <w:rPr>
                <w:sz w:val="16"/>
              </w:rPr>
              <w:t>NSO (UBOS)</w:t>
            </w:r>
          </w:p>
        </w:tc>
        <w:tc>
          <w:tcPr>
            <w:tcW w:type="dxa" w:w="1728"/>
          </w:tcPr>
          <w:p>
            <w:r>
              <w:rPr>
                <w:sz w:val="16"/>
              </w:rPr>
              <w:t>NPHC 2024 Monograph Volume 5</w:t>
            </w:r>
          </w:p>
        </w:tc>
        <w:tc>
          <w:tcPr>
            <w:tcW w:type="dxa" w:w="1728"/>
          </w:tcPr>
          <w:p>
            <w:r>
              <w:rPr>
                <w:sz w:val="16"/>
              </w:rPr>
              <w:t>114 rows · 1 period(s) · 2024 to 2024</w:t>
            </w:r>
          </w:p>
        </w:tc>
        <w:tc>
          <w:tcPr>
            <w:tcW w:type="dxa" w:w="1728"/>
          </w:tcPr>
          <w:p>
            <w:r>
              <w:rPr>
                <w:sz w:val="16"/>
              </w:rPr>
              <w:t>static_url (Tier-3 report)</w:t>
            </w:r>
          </w:p>
        </w:tc>
      </w:tr>
    </w:tbl>
    <w:p>
      <w:pPr>
        <w:pStyle w:val="Heading1"/>
      </w:pPr>
      <w:r>
        <w:t>4. Challenges Encountered and Remedies Applied</w:t>
      </w:r>
    </w:p>
    <w:p>
      <w:r>
        <w:rPr>
          <w:b w:val="0"/>
          <w:sz w:val="21"/>
        </w:rPr>
        <w:t>The obstacles clustered into a small number of recurring types. Each is described below with the tactic that resolved it, and the countries where it bit.</w:t>
      </w:r>
    </w:p>
    <w:p>
      <w:pPr>
        <w:pStyle w:val="Heading2"/>
      </w:pPr>
      <w:r>
        <w:t>4.1  These are national MPIs, not the global MPI</w:t>
      </w:r>
    </w:p>
    <w:p>
      <w:r>
        <w:rPr>
          <w:b w:val="0"/>
          <w:sz w:val="21"/>
        </w:rPr>
        <w:t>The headline finding of this collector is that these measures are not one series. Across the countries collected, the poverty cutoff k runs from 25% to 60%; the dimension count from 3 to 5; the indicator count from 9 to 21; and the unit of analysis is the household in some countries and the person in others. Two national MPIs are no more comparable to each other than either is to OPHI's global MPI. That is why k_cutoff, n_dimensions, n_indicators and unit_of_analysis are mandatory on every row — the row builder raises if any is missing — rather than being kept in a metadata file that somebody forgets to join.</w:t>
      </w:r>
    </w:p>
    <w:p>
      <w:pPr>
        <w:pStyle w:val="Heading2"/>
      </w:pPr>
      <w:r>
        <w:t>4.2  Column order, silently swapped</w:t>
      </w:r>
    </w:p>
    <w:p>
      <w:r>
        <w:rPr>
          <w:b w:val="0"/>
          <w:sz w:val="21"/>
        </w:rPr>
        <w:t>Four layouts declared a column order the report does not use. Uganda and Nigeria both lead with the INDEX rather than the incidence, so M0 was read from a population column — 44.1 million for Uganda, 132.92 (million poor people) for Nigeria. Only the impossibility of an index above 1 caught them; the H/A swap alongside would have shipped unnoticed. Sierra Leone declared two columns against a ten-column row carrying confidence intervals. South Africa declared point decimals for a report that prints commas, and targeted provinces where the table lists census years. Each is now verified against the report's own numbers, recorded in the module.</w:t>
      </w:r>
    </w:p>
    <w:p>
      <w:pPr>
        <w:pStyle w:val="Heading2"/>
      </w:pPr>
      <w:r>
        <w:t>4.3  A bound that cannot say what it bounds</w:t>
      </w:r>
    </w:p>
    <w:p>
      <w:r>
        <w:rPr>
          <w:b w:val="0"/>
          <w:sz w:val="21"/>
        </w:rPr>
        <w:t>The metric vocabulary carried a bare confidence_low / confidence_high pair. A table that publishes intervals for all three measures then emits three lower bounds whose every identifying column is identical, so merge-on-write treated them as one row: Seychelles' nine rows collapsed to five on the second run, and the two survivors were unattributable. The bounds now name their subject, which also buys them the same range checks as the estimates they bracket.</w:t>
      </w:r>
    </w:p>
    <w:p>
      <w:pPr>
        <w:pStyle w:val="Heading2"/>
      </w:pPr>
      <w:r>
        <w:t>4.4  The document is not text</w:t>
      </w:r>
    </w:p>
    <w:p>
      <w:r>
        <w:rPr>
          <w:b w:val="0"/>
          <w:sz w:val="21"/>
        </w:rPr>
        <w:t>Two publications download without trouble and cannot be read. Morocco's is a 263-page, 307 MB map atlas whose figures live inside the plates; HCP's lighter per-region volumes have the same shape. Somalia's headline tables are raster images, and every figure exists only in the executive summary's prose — which names four of seventeen regions. Both raise the same undecided policy question: whether an OCR'd figure still counts as 'as published' for this collector. Until that is answered, neither is scraped out of narrative text, because that would produce partial coverage with the appearance of a full table.</w:t>
      </w:r>
    </w:p>
    <w:p>
      <w:pPr>
        <w:pStyle w:val="Heading2"/>
      </w:pPr>
      <w:r>
        <w:t>4.5  Located, but no longer hosted</w:t>
      </w:r>
    </w:p>
    <w:p>
      <w:r>
        <w:rPr>
          <w:b w:val="0"/>
          <w:sz w:val="21"/>
        </w:rPr>
        <w:t>Egypt's CAPMAS host no longer resolves — a DNS failure, not a 404. Ghana's GSS rebuilt its site on Next.js: the catalogue still lists the 2020 MPI report, but its fileUrl is '#', and so is every other entry's, so the rebuilt site publishes the bibliography without the documents. Neither is a gap in Ghana's MPI coverage — the census-based StatsBank series runs green, and the 2020 report is a different measure that must never be chained to it.</w:t>
      </w:r>
    </w:p>
    <w:p>
      <w:pPr>
        <w:pStyle w:val="Heading1"/>
      </w:pPr>
      <w:r>
        <w:t>5. Outstanding Items and Recommendations</w:t>
      </w:r>
    </w:p>
    <w:p>
      <w:r>
        <w:rPr>
          <w:b w:val="0"/>
          <w:sz w:val="21"/>
        </w:rPr>
        <w:t>Four descriptors are outstanding, in two distinct classes. Egypt and Ghana's 2020 GLSS7 report are HOSTING failures: CAPMAS's host no longer resolves at all, and GSS's rebuilt site lists the report in its catalogue with an empty file link — as it does for every other entry. Neither needs any work here beyond a periodic re-probe.</w:t>
      </w:r>
    </w:p>
    <w:p>
      <w:r>
        <w:rPr>
          <w:b w:val="0"/>
          <w:sz w:val="21"/>
        </w:rPr>
        <w:t>Morocco and Somalia are the same problem as each other and a real decision for the project. Both files download cleanly; neither contains its figures as text. Morocco's is a map atlas and Somalia's headline tables are images, so the numbers survive only inside plates or in narrative prose. The question is whether an OCR'd figure still counts as 'exactly as published' for this collector. Recommended: decide that policy explicitly before either is attempted, because the alternative — mining the narrative — yields partial coverage that reads like a full table.</w:t>
      </w:r>
    </w:p>
    <w:p>
      <w:r>
        <w:rPr>
          <w:b w:val="0"/>
          <w:sz w:val="21"/>
        </w:rPr>
        <w:t>Beyond these four, PENDING.md records the NSO-authored MPIs that exist only on OPHI or UNDP (Namibia, Malawi, Djibouti, Sudan and others), the countries with a located but unverified file, and those verified to publish no national MPI at all.</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6"/>
              </w:rPr>
              <w:t>Country</w:t>
            </w:r>
          </w:p>
        </w:tc>
        <w:tc>
          <w:tcPr>
            <w:tcW w:type="dxa" w:w="2160"/>
          </w:tcPr>
          <w:p>
            <w:r>
              <w:rPr>
                <w:b/>
                <w:sz w:val="16"/>
              </w:rPr>
              <w:t>Category</w:t>
            </w:r>
          </w:p>
        </w:tc>
        <w:tc>
          <w:tcPr>
            <w:tcW w:type="dxa" w:w="2160"/>
          </w:tcPr>
          <w:p>
            <w:r>
              <w:rPr>
                <w:b/>
                <w:sz w:val="16"/>
              </w:rPr>
              <w:t>Reason outstanding</w:t>
            </w:r>
          </w:p>
        </w:tc>
        <w:tc>
          <w:tcPr>
            <w:tcW w:type="dxa" w:w="2160"/>
          </w:tcPr>
          <w:p>
            <w:r>
              <w:rPr>
                <w:b/>
                <w:sz w:val="16"/>
              </w:rPr>
              <w:t>Recommended next step</w:t>
            </w:r>
          </w:p>
        </w:tc>
      </w:tr>
      <w:tr>
        <w:tc>
          <w:tcPr>
            <w:tcW w:type="dxa" w:w="2160"/>
          </w:tcPr>
          <w:p>
            <w:r>
              <w:rPr>
                <w:sz w:val="16"/>
              </w:rPr>
              <w:t>Egypt</w:t>
            </w:r>
          </w:p>
        </w:tc>
        <w:tc>
          <w:tcPr>
            <w:tcW w:type="dxa" w:w="2160"/>
          </w:tcPr>
          <w:p>
            <w:r>
              <w:rPr>
                <w:sz w:val="16"/>
              </w:rPr>
              <w:t>Host no longer resolves</w:t>
            </w:r>
          </w:p>
        </w:tc>
        <w:tc>
          <w:tcPr>
            <w:tcW w:type="dxa" w:w="2160"/>
          </w:tcPr>
          <w:p>
            <w:r>
              <w:rPr>
                <w:sz w:val="16"/>
              </w:rPr>
              <w:t>censusinfo.capmas.gov.eg fails at DNS (NXDOMAIN, not a 404), and the main CAPMAS site is a JavaScript application exposing no path to the report.</w:t>
            </w:r>
          </w:p>
        </w:tc>
        <w:tc>
          <w:tcPr>
            <w:tcW w:type="dxa" w:w="2160"/>
          </w:tcPr>
          <w:p>
            <w:r>
              <w:rPr>
                <w:sz w:val="16"/>
              </w:rPr>
              <w:t>Move the descriptor back to sources/ if CAPMAS restores the host; the layout is kept whole.</w:t>
            </w:r>
          </w:p>
        </w:tc>
      </w:tr>
      <w:tr>
        <w:tc>
          <w:tcPr>
            <w:tcW w:type="dxa" w:w="2160"/>
          </w:tcPr>
          <w:p>
            <w:r>
              <w:rPr>
                <w:sz w:val="16"/>
              </w:rPr>
              <w:t>Ghana</w:t>
            </w:r>
          </w:p>
        </w:tc>
        <w:tc>
          <w:tcPr>
            <w:tcW w:type="dxa" w:w="2160"/>
          </w:tcPr>
          <w:p>
            <w:r>
              <w:rPr>
                <w:sz w:val="16"/>
              </w:rPr>
              <w:t>Catalogued without files</w:t>
            </w:r>
          </w:p>
        </w:tc>
        <w:tc>
          <w:tcPr>
            <w:tcW w:type="dxa" w:w="2160"/>
          </w:tcPr>
          <w:p>
            <w:r>
              <w:rPr>
                <w:sz w:val="16"/>
              </w:rPr>
              <w:t>GSS rebuilt on Next.js. The catalogue still lists the 2020 GLSS7 report, but with fileUrl '#' — and '#' for every other entry too. Ghana's census MPI is unaffected and runs green.</w:t>
            </w:r>
          </w:p>
        </w:tc>
        <w:tc>
          <w:tcPr>
            <w:tcW w:type="dxa" w:w="2160"/>
          </w:tcPr>
          <w:p>
            <w:r>
              <w:rPr>
                <w:sz w:val="16"/>
              </w:rPr>
              <w:t>Re-probe the survey-reports search for a non-'#' fileUrl. This is a separate measure from the census MPI and must not be chained to it.</w:t>
            </w:r>
          </w:p>
        </w:tc>
      </w:tr>
      <w:tr>
        <w:tc>
          <w:tcPr>
            <w:tcW w:type="dxa" w:w="2160"/>
          </w:tcPr>
          <w:p>
            <w:r>
              <w:rPr>
                <w:sz w:val="16"/>
              </w:rPr>
              <w:t>Morocco</w:t>
            </w:r>
          </w:p>
        </w:tc>
        <w:tc>
          <w:tcPr>
            <w:tcW w:type="dxa" w:w="2160"/>
          </w:tcPr>
          <w:p>
            <w:r>
              <w:rPr>
                <w:sz w:val="16"/>
              </w:rPr>
              <w:t>Map atlas, not tables</w:t>
            </w:r>
          </w:p>
        </w:tc>
        <w:tc>
          <w:tcPr>
            <w:tcW w:type="dxa" w:w="2160"/>
          </w:tcPr>
          <w:p>
            <w:r>
              <w:rPr>
                <w:sz w:val="16"/>
              </w:rPr>
              <w:t>The publication is 263 pages and 307 MB of cartography. Scanning every page for a line carrying six or more numbers returns eleven, and ten are sentences; the regional and provincial figures live inside the map plates. HCP's lighter per-region volumes were checked and have the same shape.</w:t>
            </w:r>
          </w:p>
        </w:tc>
        <w:tc>
          <w:tcPr>
            <w:tcW w:type="dxa" w:w="2160"/>
          </w:tcPr>
          <w:p>
            <w:r>
              <w:rPr>
                <w:sz w:val="16"/>
              </w:rPr>
              <w:t>Decide whether an OCR'd figure counts as 'as published' for this collector; the layout is kept for that day.</w:t>
            </w:r>
          </w:p>
        </w:tc>
      </w:tr>
      <w:tr>
        <w:tc>
          <w:tcPr>
            <w:tcW w:type="dxa" w:w="2160"/>
          </w:tcPr>
          <w:p>
            <w:r>
              <w:rPr>
                <w:sz w:val="16"/>
              </w:rPr>
              <w:t>Somalia</w:t>
            </w:r>
          </w:p>
        </w:tc>
        <w:tc>
          <w:tcPr>
            <w:tcW w:type="dxa" w:w="2160"/>
          </w:tcPr>
          <w:p>
            <w:r>
              <w:rPr>
                <w:sz w:val="16"/>
              </w:rPr>
              <w:t>Tables are images</w:t>
            </w:r>
          </w:p>
        </w:tc>
        <w:tc>
          <w:tcPr>
            <w:tcW w:type="dxa" w:w="2160"/>
          </w:tcPr>
          <w:p>
            <w:r>
              <w:rPr>
                <w:sz w:val="16"/>
              </w:rPr>
              <w:t>Tables 3.1-3.3 — the national MPI, the urban/rural/nomadic split and all 17 regions — are raster images. Every headline figure exists only in the executive summary's prose, which names four of the seventeen regions.</w:t>
            </w:r>
          </w:p>
        </w:tc>
        <w:tc>
          <w:tcPr>
            <w:tcW w:type="dxa" w:w="2160"/>
          </w:tcPr>
          <w:p>
            <w:r>
              <w:rPr>
                <w:sz w:val="16"/>
              </w:rPr>
              <w:t>Same OCR decision as Morocco. Scraping the narrative would give partial coverage wearing the appearance of a full table.</w:t>
            </w:r>
          </w:p>
        </w:tc>
      </w:tr>
    </w:tbl>
    <w:p>
      <w:pPr>
        <w:pStyle w:val="Heading1"/>
      </w:pPr>
      <w:r>
        <w:t>6. Conclusion</w:t>
      </w:r>
    </w:p>
    <w:p>
      <w:r>
        <w:rPr>
          <w:b w:val="0"/>
          <w:sz w:val="21"/>
        </w:rPr>
        <w:t>The collector now holds 2,130 rows of national MPI across 14 African countries, each carrying the methodology that makes it interpretable — the cutoff, the dimension and indicator counts, the survey, and the unit of analysis.</w:t>
      </w:r>
    </w:p>
    <w:p>
      <w:r>
        <w:rPr>
          <w:b w:val="0"/>
          <w:sz w:val="21"/>
        </w:rPr>
        <w:t>The value of the dataset is as much in what it refuses as in what it contains: it does not recompute M0 from H x A, does not rescale a percentage index into a decimal one, does not chain measures across a methodology break, and does not take an NSO's figure from an aggregator. Where a number could not be read honestly, the country is in PENDING.md with the evidence rather than in the dataset with a guess.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