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Africa Data Commons: which columns to use</w:t>
      </w:r>
    </w:p>
    <w:p>
      <w:pPr/>
      <w:r>
        <w:t xml:space="preserve">Oct 15, 2026</w:t>
      </w:r>
      <w:r>
        <w:t xml:space="preserve"> · </w:t>
      </w:r>
      <w:r>
        <w:t xml:space="preserve">@Peter</w:t>
      </w:r>
    </w:p>
    <w:p>
      <w:pPr/>
      <w:r>
        <w:t xml:space="preserve">Every output file of the Africa stats collector, for all 14 indicators, now carries clean standardised columns. Build the app from those columns only. The quick guide below says which column to use for each job. The rest of the page explains why the odd labels such as "[Sac6314]" appeared and what each indicator's columns mean.</w:t>
      </w:r>
    </w:p>
    <w:p>
      <w:pPr>
        <w:pStyle w:val="Heading2"/>
      </w:pPr>
      <w:r>
        <w:t xml:space="preserve">The two columns to use</w:t>
      </w:r>
    </w:p>
    <w:p>
      <w:pPr/>
      <w:r>
        <w:t xml:space="preserve">Every output file in all 14 indicators now ends with </w:t>
      </w:r>
      <w:r>
        <w:rPr>
          <w:rStyle w:val="CodeChar"/>
        </w:rPr>
        <w:t xml:space="preserve">series_id</w:t>
      </w:r>
      <w:r>
        <w:t xml:space="preserve"> and </w:t>
      </w:r>
      <w:r>
        <w:rPr>
          <w:rStyle w:val="CodeChar"/>
        </w:rPr>
        <w:t xml:space="preserve">series_name</w:t>
      </w:r>
      <w:r>
        <w:t xml:space="preserve">. Use </w:t>
      </w:r>
      <w:r>
        <w:rPr>
          <w:rStyle w:val="CodeChar"/>
        </w:rPr>
        <w:t xml:space="preserve">series_id</w:t>
      </w:r>
      <w:r>
        <w:t xml:space="preserve"> as the variable ID and </w:t>
      </w:r>
      <w:r>
        <w:rPr>
          <w:rStyle w:val="CodeChar"/>
        </w:rPr>
        <w:t xml:space="preserve">series_name</w:t>
      </w:r>
      <w:r>
        <w:t xml:space="preserve"> as its display name, and build nothing else from labels.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series_id</w:t>
            </w:r>
          </w:p>
        </w:tc>
        <w:tc>
          <w:tcPr>
            <w:tcW w:w="4680" w:type="dxa"/>
            <w:shd w:val="clear" w:color="auto" w:fill="F2F2F2"/>
          </w:tcPr>
          <w:p>
            <w:pPr/>
            <w:r>
              <w:t xml:space="preserve">series_name</w:t>
            </w:r>
          </w:p>
        </w:tc>
      </w:tr>
      <w:tr>
        <w:tc>
          <w:tcPr>
            <w:tcW w:w="4680" w:type="dxa"/>
          </w:tcPr>
          <w:p>
            <w:pPr/>
            <w:r>
              <w:rPr>
                <w:rStyle w:val="CodeChar"/>
              </w:rPr>
              <w:t xml:space="preserve">GDP_FCE_HH_LEVEL_CUR_LCU_Q_NSA</w:t>
            </w:r>
          </w:p>
        </w:tc>
        <w:tc>
          <w:tcPr>
            <w:tcW w:w="4680" w:type="dxa"/>
          </w:tcPr>
          <w:p>
            <w:pPr/>
            <w:r>
              <w:t xml:space="preserve">Final consumption: households - level, current prices, local currency, quarterly, not seasonally adjusted</w:t>
            </w:r>
          </w:p>
        </w:tc>
      </w:tr>
      <w:tr>
        <w:tc>
          <w:tcPr>
            <w:tcW w:w="4680" w:type="dxa"/>
          </w:tcPr>
          <w:p>
            <w:pPr/>
            <w:r>
              <w:rPr>
                <w:rStyle w:val="CodeChar"/>
              </w:rPr>
              <w:t xml:space="preserve">CPI_C2018_12_INDEX_B2023_M</w:t>
            </w:r>
          </w:p>
        </w:tc>
        <w:tc>
          <w:tcPr>
            <w:tcW w:w="4680" w:type="dxa"/>
          </w:tcPr>
          <w:p>
            <w:pPr/>
            <w:r>
              <w:t xml:space="preserve">Consumer price index, insurance and financial services (COICOP 2018) - index, base 2023 = 100, monthly</w:t>
            </w:r>
          </w:p>
        </w:tc>
      </w:tr>
      <w:tr>
        <w:tc>
          <w:tcPr>
            <w:tcW w:w="4680" w:type="dxa"/>
          </w:tcPr>
          <w:p>
            <w:pPr/>
            <w:r>
              <w:rPr>
                <w:rStyle w:val="CodeChar"/>
              </w:rPr>
              <w:t xml:space="preserve">UNE_UNE_RATE_STRICT_WA15P_A_F_Y15T24</w:t>
            </w:r>
          </w:p>
        </w:tc>
        <w:tc>
          <w:tcPr>
            <w:tcW w:w="4680" w:type="dxa"/>
          </w:tcPr>
          <w:p>
            <w:pPr/>
            <w:r>
              <w:t xml:space="preserve">Unemployment rate - strict definition, working-age base 15+, annual, female, aged 15-24</w:t>
            </w:r>
          </w:p>
        </w:tc>
      </w:tr>
      <w:tr>
        <w:tc>
          <w:tcPr>
            <w:tcW w:w="4680" w:type="dxa"/>
          </w:tcPr>
          <w:p>
            <w:pPr/>
            <w:r>
              <w:rPr>
                <w:rStyle w:val="CodeChar"/>
              </w:rPr>
              <w:t xml:space="preserve">POP_COUNT_F_Y15T19</w:t>
            </w:r>
          </w:p>
        </w:tc>
        <w:tc>
          <w:tcPr>
            <w:tcW w:w="4680" w:type="dxa"/>
          </w:tcPr>
          <w:p>
            <w:pPr/>
            <w:r>
              <w:t xml:space="preserve">Population - female, aged 15-19</w:t>
            </w:r>
          </w:p>
        </w:tc>
      </w:tr>
    </w:tbl>
    <w:p>
      <w:pPr/>
      <w:r>
        <w:t xml:space="preserve">Three guarantees, checked by a test on every run:</w:t>
      </w:r>
    </w:p>
    <w:p>
      <w:pPr>
        <w:pStyle w:val="ListParagraph"/>
        <w:numPr>
          <w:ilvl w:val="0"/>
          <w:numId w:val="2"/>
        </w:numPr>
      </w:pPr>
      <w:r>
        <w:rPr>
          <w:b/>
        </w:rPr>
        <w:t xml:space="preserve">One name per ID and one ID per name, across all countries.</w:t>
      </w:r>
      <w:r>
        <w:t xml:space="preserve"> A name never needs a suffix to tell it apart.</w:t>
      </w:r>
    </w:p>
    <w:p>
      <w:pPr>
        <w:pStyle w:val="ListParagraph"/>
        <w:numPr>
          <w:ilvl w:val="0"/>
          <w:numId w:val="2"/>
        </w:numPr>
      </w:pPr>
      <w:r>
        <w:rPr>
          <w:b/>
        </w:rPr>
        <w:t xml:space="preserve">One preferred value per country, place, date and </w:t>
      </w:r>
      <w:r>
        <w:rPr>
          <w:rStyle w:val="CodeChar"/>
          <w:b/>
        </w:rPr>
        <w:t xml:space="preserve">series_id</w:t>
      </w:r>
      <w:r>
        <w:rPr>
          <w:b/>
        </w:rPr>
        <w:t xml:space="preserve">.</w:t>
      </w:r>
      <w:r>
        <w:t xml:space="preserve"> Load rows where </w:t>
      </w:r>
      <w:r>
        <w:rPr>
          <w:rStyle w:val="CodeChar"/>
        </w:rPr>
        <w:t xml:space="preserve">is_preferred</w:t>
      </w:r>
      <w:r>
        <w:t xml:space="preserve"> is </w:t>
      </w:r>
      <w:r>
        <w:rPr>
          <w:rStyle w:val="CodeChar"/>
        </w:rPr>
        <w:t xml:space="preserve">True</w:t>
      </w:r>
      <w:r>
        <w:t xml:space="preserve">. Sex, age band and urban/rural are part of the ID, not columns beside it.</w:t>
      </w:r>
    </w:p>
    <w:p>
      <w:pPr>
        <w:pStyle w:val="ListParagraph"/>
        <w:numPr>
          <w:ilvl w:val="0"/>
          <w:numId w:val="2"/>
        </w:numPr>
      </w:pPr>
      <w:r>
        <w:rPr>
          <w:b/>
        </w:rPr>
        <w:t xml:space="preserve">Names are plain English</w:t>
      </w:r>
      <w:r>
        <w:t xml:space="preserve">, with no codes, underscores or bracketed tokens.</w:t>
      </w:r>
    </w:p>
    <w:p>
      <w:pPr/>
      <w:r>
        <w:t xml:space="preserve">Rows without a </w:t>
      </w:r>
      <w:r>
        <w:rPr>
          <w:rStyle w:val="CodeChar"/>
        </w:rPr>
        <w:t xml:space="preserve">series_id</w:t>
      </w:r>
      <w:r>
        <w:t xml:space="preserve"> are not comparable across countries yet (ambiguous or national-only categories); skip them.</w:t>
      </w:r>
    </w:p>
    <w:p>
      <w:pPr>
        <w:pStyle w:val="Heading2"/>
      </w:pPr>
      <w:r>
        <w:t xml:space="preserve">Column guide: which column for which job</w:t>
      </w:r>
    </w:p>
    <w:p>
      <w:pPr/>
      <w:r>
        <w:t xml:space="preserve">The same columns do the same job in every indicator. Where an indicator differs, the table below this one says so.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 in the app</w:t>
            </w:r>
          </w:p>
        </w:tc>
        <w:tc>
          <w:tcPr>
            <w:tcW w:w="3120" w:type="dxa"/>
            <w:shd w:val="clear" w:color="auto" w:fill="F2F2F2"/>
          </w:tcPr>
          <w:p>
            <w:pPr/>
            <w:r>
              <w:t xml:space="preserve">Use this column</w:t>
            </w:r>
          </w:p>
        </w:tc>
        <w:tc>
          <w:tcPr>
            <w:tcW w:w="3120" w:type="dxa"/>
            <w:shd w:val="clear" w:color="auto" w:fill="F2F2F2"/>
          </w:tcPr>
          <w:p>
            <w:pPr/>
            <w:r>
              <w:t xml:space="preserve">Notes</w:t>
            </w:r>
          </w:p>
        </w:tc>
      </w:tr>
      <w:tr>
        <w:tc>
          <w:tcPr>
            <w:tcW w:w="3120" w:type="dxa"/>
          </w:tcPr>
          <w:p>
            <w:pPr/>
            <w:r>
              <w:t xml:space="preserve">Variable ID</w:t>
            </w:r>
          </w:p>
        </w:tc>
        <w:tc>
          <w:tcPr>
            <w:tcW w:w="3120" w:type="dxa"/>
          </w:tcPr>
          <w:p>
            <w:pPr/>
            <w:r>
              <w:rPr>
                <w:rStyle w:val="CodeChar"/>
              </w:rPr>
              <w:t xml:space="preserve">series_id</w:t>
            </w:r>
          </w:p>
        </w:tc>
        <w:tc>
          <w:tcPr>
            <w:tcW w:w="3120" w:type="dxa"/>
          </w:tcPr>
          <w:p>
            <w:pPr/>
            <w:r>
              <w:t xml:space="preserve">Letters, digits and underscores; always starts with a letter</w:t>
            </w:r>
          </w:p>
        </w:tc>
      </w:tr>
      <w:tr>
        <w:tc>
          <w:tcPr>
            <w:tcW w:w="3120" w:type="dxa"/>
          </w:tcPr>
          <w:p>
            <w:pPr/>
            <w:r>
              <w:t xml:space="preserve">Variable display name</w:t>
            </w:r>
          </w:p>
        </w:tc>
        <w:tc>
          <w:tcPr>
            <w:tcW w:w="3120" w:type="dxa"/>
          </w:tcPr>
          <w:p>
            <w:pPr/>
            <w:r>
              <w:rPr>
                <w:rStyle w:val="CodeChar"/>
              </w:rPr>
              <w:t xml:space="preserve">series_name</w:t>
            </w:r>
          </w:p>
        </w:tc>
        <w:tc>
          <w:tcPr>
            <w:tcW w:w="3120" w:type="dxa"/>
          </w:tcPr>
          <w:p>
            <w:pPr/>
            <w:r>
              <w:t xml:space="preserve">Plain English; exactly one name per ID</w:t>
            </w:r>
          </w:p>
        </w:tc>
      </w:tr>
      <w:tr>
        <w:tc>
          <w:tcPr>
            <w:tcW w:w="3120" w:type="dxa"/>
          </w:tcPr>
          <w:p>
            <w:pPr/>
            <w:r>
              <w:t xml:space="preserve">Which rows to load</w:t>
            </w:r>
          </w:p>
        </w:tc>
        <w:tc>
          <w:tcPr>
            <w:tcW w:w="3120" w:type="dxa"/>
          </w:tcPr>
          <w:p>
            <w:pPr/>
            <w:r>
              <w:rPr>
                <w:rStyle w:val="CodeChar"/>
              </w:rPr>
              <w:t xml:space="preserve">is_preferred</w:t>
            </w:r>
            <w:r>
              <w:t xml:space="preserve"> = </w:t>
            </w:r>
            <w:r>
              <w:rPr>
                <w:rStyle w:val="CodeChar"/>
              </w:rPr>
              <w:t xml:space="preserve">True</w:t>
            </w:r>
          </w:p>
        </w:tc>
        <w:tc>
          <w:tcPr>
            <w:tcW w:w="3120" w:type="dxa"/>
          </w:tcPr>
          <w:p>
            <w:pPr/>
            <w:r>
              <w:t xml:space="preserve">Gives exactly one value per country, place, date and variable. Skip rows with a blank </w:t>
            </w:r>
            <w:r>
              <w:rPr>
                <w:rStyle w:val="CodeChar"/>
              </w:rPr>
              <w:t xml:space="preserve">series_id</w:t>
            </w:r>
          </w:p>
        </w:tc>
      </w:tr>
      <w:tr>
        <w:tc>
          <w:tcPr>
            <w:tcW w:w="3120" w:type="dxa"/>
          </w:tcPr>
          <w:p>
            <w:pPr/>
            <w:r>
              <w:t xml:space="preserve">Country</w:t>
            </w:r>
          </w:p>
        </w:tc>
        <w:tc>
          <w:tcPr>
            <w:tcW w:w="3120" w:type="dxa"/>
          </w:tcPr>
          <w:p>
            <w:pPr/>
            <w:r>
              <w:rPr>
                <w:rStyle w:val="CodeChar"/>
              </w:rPr>
              <w:t xml:space="preserve">iso3</w:t>
            </w:r>
            <w:r>
              <w:t xml:space="preserve"> (or </w:t>
            </w:r>
            <w:r>
              <w:rPr>
                <w:rStyle w:val="CodeChar"/>
              </w:rPr>
              <w:t xml:space="preserve">country</w:t>
            </w:r>
            <w:r>
              <w:t xml:space="preserve">)</w:t>
            </w:r>
          </w:p>
        </w:tc>
        <w:tc>
          <w:tcPr>
            <w:tcW w:w="3120" w:type="dxa"/>
          </w:tcPr>
          <w:p>
            <w:pPr/>
            <w:r>
              <w:t xml:space="preserve">ISO 3166 alpha-3, e.g. </w:t>
            </w:r>
            <w:r>
              <w:rPr>
                <w:rStyle w:val="CodeChar"/>
              </w:rPr>
              <w:t xml:space="preserve">GHA</w:t>
            </w:r>
          </w:p>
        </w:tc>
      </w:tr>
      <w:tr>
        <w:tc>
          <w:tcPr>
            <w:tcW w:w="3120" w:type="dxa"/>
          </w:tcPr>
          <w:p>
            <w:pPr/>
            <w:r>
              <w:t xml:space="preserve">Place inside the country</w:t>
            </w:r>
          </w:p>
        </w:tc>
        <w:tc>
          <w:tcPr>
            <w:tcW w:w="3120" w:type="dxa"/>
          </w:tcPr>
          <w:p>
            <w:pPr/>
            <w:r>
              <w:rPr>
                <w:rStyle w:val="CodeChar"/>
              </w:rPr>
              <w:t xml:space="preserve">geography</w:t>
            </w:r>
          </w:p>
        </w:tc>
        <w:tc>
          <w:tcPr>
            <w:tcW w:w="3120" w:type="dxa"/>
          </w:tcPr>
          <w:p>
            <w:pPr/>
            <w:r>
              <w:t xml:space="preserve">"National" and "Total country" both mean the whole country; anything else is a region or city</w:t>
            </w:r>
          </w:p>
        </w:tc>
      </w:tr>
      <w:tr>
        <w:tc>
          <w:tcPr>
            <w:tcW w:w="3120" w:type="dxa"/>
          </w:tcPr>
          <w:p>
            <w:pPr/>
            <w:r>
              <w:t xml:space="preserve">National or sub-national</w:t>
            </w:r>
          </w:p>
        </w:tc>
        <w:tc>
          <w:tcPr>
            <w:tcW w:w="3120" w:type="dxa"/>
          </w:tcPr>
          <w:p>
            <w:pPr/>
            <w:r>
              <w:rPr>
                <w:rStyle w:val="CodeChar"/>
              </w:rPr>
              <w:t xml:space="preserve">geography_level</w:t>
            </w:r>
          </w:p>
        </w:tc>
        <w:tc>
          <w:tcPr>
            <w:tcW w:w="3120" w:type="dxa"/>
          </w:tcPr>
          <w:p>
            <w:pPr/>
            <w:r>
              <w:rPr>
                <w:rStyle w:val="CodeChar"/>
              </w:rPr>
              <w:t xml:space="preserve">national</w:t>
            </w:r>
            <w:r>
              <w:t xml:space="preserve"> or </w:t>
            </w:r>
            <w:r>
              <w:rPr>
                <w:rStyle w:val="CodeChar"/>
              </w:rPr>
              <w:t xml:space="preserve">subnational</w:t>
            </w:r>
          </w:p>
        </w:tc>
      </w:tr>
      <w:tr>
        <w:tc>
          <w:tcPr>
            <w:tcW w:w="3120" w:type="dxa"/>
          </w:tcPr>
          <w:p>
            <w:pPr/>
            <w:r>
              <w:t xml:space="preserve">Date</w:t>
            </w:r>
          </w:p>
        </w:tc>
        <w:tc>
          <w:tcPr>
            <w:tcW w:w="3120" w:type="dxa"/>
          </w:tcPr>
          <w:p>
            <w:pPr/>
            <w:r>
              <w:rPr>
                <w:rStyle w:val="CodeChar"/>
              </w:rPr>
              <w:t xml:space="preserve">period</w:t>
            </w:r>
          </w:p>
        </w:tc>
        <w:tc>
          <w:tcPr>
            <w:tcW w:w="3120" w:type="dxa"/>
          </w:tcPr>
          <w:p>
            <w:pPr/>
            <w:r>
              <w:rPr>
                <w:rStyle w:val="CodeChar"/>
              </w:rPr>
              <w:t xml:space="preserve">2024</w:t>
            </w:r>
            <w:r>
              <w:t xml:space="preserve"> (year), </w:t>
            </w:r>
            <w:r>
              <w:rPr>
                <w:rStyle w:val="CodeChar"/>
              </w:rPr>
              <w:t xml:space="preserve">2024-Q3</w:t>
            </w:r>
            <w:r>
              <w:t xml:space="preserve"> (quarter), </w:t>
            </w:r>
            <w:r>
              <w:rPr>
                <w:rStyle w:val="CodeChar"/>
              </w:rPr>
              <w:t xml:space="preserve">2024-H1</w:t>
            </w:r>
            <w:r>
              <w:t xml:space="preserve"> (half-year), </w:t>
            </w:r>
            <w:r>
              <w:rPr>
                <w:rStyle w:val="CodeChar"/>
              </w:rPr>
              <w:t xml:space="preserve">2024-07</w:t>
            </w:r>
            <w:r>
              <w:t xml:space="preserve"> (month), </w:t>
            </w:r>
            <w:r>
              <w:rPr>
                <w:rStyle w:val="CodeChar"/>
              </w:rPr>
              <w:t xml:space="preserve">2019/20</w:t>
            </w:r>
            <w:r>
              <w:t xml:space="preserve"> (school year)</w:t>
            </w:r>
          </w:p>
        </w:tc>
      </w:tr>
      <w:tr>
        <w:tc>
          <w:tcPr>
            <w:tcW w:w="3120" w:type="dxa"/>
          </w:tcPr>
          <w:p>
            <w:pPr/>
            <w:r>
              <w:t xml:space="preserve">Value to chart</w:t>
            </w:r>
          </w:p>
        </w:tc>
        <w:tc>
          <w:tcPr>
            <w:tcW w:w="3120" w:type="dxa"/>
          </w:tcPr>
          <w:p>
            <w:pPr/>
            <w:r>
              <w:rPr>
                <w:rStyle w:val="CodeChar"/>
              </w:rPr>
              <w:t xml:space="preserve">value_std</w:t>
            </w:r>
          </w:p>
        </w:tc>
        <w:tc>
          <w:tcPr>
            <w:tcW w:w="3120" w:type="dxa"/>
          </w:tcPr>
          <w:p>
            <w:pPr/>
            <w:r>
              <w:t xml:space="preserve">Already scaled to base units (e.g. millions multiplied out); imports always positive</w:t>
            </w:r>
          </w:p>
        </w:tc>
      </w:tr>
      <w:tr>
        <w:tc>
          <w:tcPr>
            <w:tcW w:w="3120" w:type="dxa"/>
          </w:tcPr>
          <w:p>
            <w:pPr/>
            <w:r>
              <w:t xml:space="preserve">Unit of the value</w:t>
            </w:r>
          </w:p>
        </w:tc>
        <w:tc>
          <w:tcPr>
            <w:tcW w:w="3120" w:type="dxa"/>
          </w:tcPr>
          <w:p>
            <w:pPr/>
            <w:r>
              <w:rPr>
                <w:rStyle w:val="CodeChar"/>
              </w:rPr>
              <w:t xml:space="preserve">unit_std</w:t>
            </w:r>
          </w:p>
        </w:tc>
        <w:tc>
          <w:tcPr>
            <w:tcW w:w="3120" w:type="dxa"/>
          </w:tcPr>
          <w:p>
            <w:pPr/>
            <w:r>
              <w:t xml:space="preserve">e.g. </w:t>
            </w:r>
            <w:r>
              <w:rPr>
                <w:rStyle w:val="CodeChar"/>
              </w:rPr>
              <w:t xml:space="preserve">percent</w:t>
            </w:r>
            <w:r>
              <w:t xml:space="preserve">, </w:t>
            </w:r>
            <w:r>
              <w:rPr>
                <w:rStyle w:val="CodeChar"/>
              </w:rPr>
              <w:t xml:space="preserve">index</w:t>
            </w:r>
            <w:r>
              <w:t xml:space="preserve">, </w:t>
            </w:r>
            <w:r>
              <w:rPr>
                <w:rStyle w:val="CodeChar"/>
              </w:rPr>
              <w:t xml:space="preserve">persons</w:t>
            </w:r>
            <w:r>
              <w:t xml:space="preserve">, or an ISO currency code</w:t>
            </w:r>
          </w:p>
        </w:tc>
      </w:tr>
      <w:tr>
        <w:tc>
          <w:tcPr>
            <w:tcW w:w="3120" w:type="dxa"/>
          </w:tcPr>
          <w:p>
            <w:pPr/>
            <w:r>
              <w:t xml:space="preserve">Currency</w:t>
            </w:r>
          </w:p>
        </w:tc>
        <w:tc>
          <w:tcPr>
            <w:tcW w:w="3120" w:type="dxa"/>
          </w:tcPr>
          <w:p>
            <w:pPr/>
            <w:r>
              <w:rPr>
                <w:rStyle w:val="CodeChar"/>
              </w:rPr>
              <w:t xml:space="preserve">currency</w:t>
            </w:r>
          </w:p>
        </w:tc>
        <w:tc>
          <w:tcPr>
            <w:tcW w:w="3120" w:type="dxa"/>
          </w:tcPr>
          <w:p>
            <w:pPr/>
            <w:r>
              <w:t xml:space="preserve">ISO 4217; the CFA franc is resolved by country (XOF West Africa, XAF Central Africa)</w:t>
            </w:r>
          </w:p>
        </w:tc>
      </w:tr>
      <w:tr>
        <w:tc>
          <w:tcPr>
            <w:tcW w:w="3120" w:type="dxa"/>
          </w:tcPr>
          <w:p>
            <w:pPr/>
            <w:r>
              <w:t xml:space="preserve">Scale already applied</w:t>
            </w:r>
          </w:p>
        </w:tc>
        <w:tc>
          <w:tcPr>
            <w:tcW w:w="3120" w:type="dxa"/>
          </w:tcPr>
          <w:p>
            <w:pPr/>
            <w:r>
              <w:rPr>
                <w:rStyle w:val="CodeChar"/>
              </w:rPr>
              <w:t xml:space="preserve">unit_multiplier</w:t>
            </w:r>
          </w:p>
        </w:tc>
        <w:tc>
          <w:tcPr>
            <w:tcW w:w="3120" w:type="dxa"/>
          </w:tcPr>
          <w:p>
            <w:pPr/>
            <w:r>
              <w:t xml:space="preserve">For reference only; </w:t>
            </w:r>
            <w:r>
              <w:rPr>
                <w:rStyle w:val="CodeChar"/>
              </w:rPr>
              <w:t xml:space="preserve">value_std</w:t>
            </w:r>
            <w:r>
              <w:t xml:space="preserve"> already includes it</w:t>
            </w:r>
          </w:p>
        </w:tc>
      </w:tr>
      <w:tr>
        <w:tc>
          <w:tcPr>
            <w:tcW w:w="3120" w:type="dxa"/>
          </w:tcPr>
          <w:p>
            <w:pPr/>
            <w:r>
              <w:t xml:space="preserve">Breakdowns, for filters</w:t>
            </w:r>
          </w:p>
        </w:tc>
        <w:tc>
          <w:tcPr>
            <w:tcW w:w="3120" w:type="dxa"/>
          </w:tcPr>
          <w:p>
            <w:pPr/>
            <w:r>
              <w:rPr>
                <w:rStyle w:val="CodeChar"/>
              </w:rPr>
              <w:t xml:space="preserve">category_code</w:t>
            </w:r>
            <w:r>
              <w:t xml:space="preserve">, </w:t>
            </w:r>
            <w:r>
              <w:rPr>
                <w:rStyle w:val="CodeChar"/>
              </w:rPr>
              <w:t xml:space="preserve">sex_code</w:t>
            </w:r>
            <w:r>
              <w:t xml:space="preserve">, </w:t>
            </w:r>
            <w:r>
              <w:rPr>
                <w:rStyle w:val="CodeChar"/>
              </w:rPr>
              <w:t xml:space="preserve">age_code</w:t>
            </w:r>
          </w:p>
        </w:tc>
        <w:tc>
          <w:tcPr>
            <w:tcW w:w="3120" w:type="dxa"/>
          </w:tcPr>
          <w:p>
            <w:pPr/>
            <w:r>
              <w:t xml:space="preserve">e.g. </w:t>
            </w:r>
            <w:r>
              <w:rPr>
                <w:rStyle w:val="CodeChar"/>
              </w:rPr>
              <w:t xml:space="preserve">FCE_HH</w:t>
            </w:r>
            <w:r>
              <w:t xml:space="preserve">; </w:t>
            </w:r>
            <w:r>
              <w:rPr>
                <w:rStyle w:val="CodeChar"/>
              </w:rPr>
              <w:t xml:space="preserve">M</w:t>
            </w:r>
            <w:r>
              <w:t xml:space="preserve">/</w:t>
            </w:r>
            <w:r>
              <w:rPr>
                <w:rStyle w:val="CodeChar"/>
              </w:rPr>
              <w:t xml:space="preserve">F</w:t>
            </w:r>
            <w:r>
              <w:t xml:space="preserve">/</w:t>
            </w:r>
            <w:r>
              <w:rPr>
                <w:rStyle w:val="CodeChar"/>
              </w:rPr>
              <w:t xml:space="preserve">_T</w:t>
            </w:r>
            <w:r>
              <w:t xml:space="preserve">; </w:t>
            </w:r>
            <w:r>
              <w:rPr>
                <w:rStyle w:val="CodeChar"/>
              </w:rPr>
              <w:t xml:space="preserve">Y15T24</w:t>
            </w:r>
            <w:r>
              <w:t xml:space="preserve">, </w:t>
            </w:r>
            <w:r>
              <w:rPr>
                <w:rStyle w:val="CodeChar"/>
              </w:rPr>
              <w:t xml:space="preserve">Y_GE65</w:t>
            </w:r>
          </w:p>
        </w:tc>
      </w:tr>
      <w:tr>
        <w:tc>
          <w:tcPr>
            <w:tcW w:w="3120" w:type="dxa"/>
          </w:tcPr>
          <w:p>
            <w:pPr/>
            <w:r>
              <w:t xml:space="preserve">English concept name</w:t>
            </w:r>
          </w:p>
        </w:tc>
        <w:tc>
          <w:tcPr>
            <w:tcW w:w="3120" w:type="dxa"/>
          </w:tcPr>
          <w:p>
            <w:pPr/>
            <w:r>
              <w:rPr>
                <w:rStyle w:val="CodeChar"/>
              </w:rPr>
              <w:t xml:space="preserve">category_std</w:t>
            </w:r>
          </w:p>
        </w:tc>
        <w:tc>
          <w:tcPr>
            <w:tcW w:w="3120" w:type="dxa"/>
          </w:tcPr>
          <w:p>
            <w:pPr/>
            <w:r>
              <w:t xml:space="preserve">e.g. "Final consumption: households"</w:t>
            </w:r>
          </w:p>
        </w:tc>
      </w:tr>
      <w:tr>
        <w:tc>
          <w:tcPr>
            <w:tcW w:w="3120" w:type="dxa"/>
          </w:tcPr>
          <w:p>
            <w:pPr/>
            <w:r>
              <w:t xml:space="preserve">Source, for tooltips</w:t>
            </w:r>
          </w:p>
        </w:tc>
        <w:tc>
          <w:tcPr>
            <w:tcW w:w="3120" w:type="dxa"/>
          </w:tcPr>
          <w:p>
            <w:pPr/>
            <w:r>
              <w:rPr>
                <w:rStyle w:val="CodeChar"/>
              </w:rPr>
              <w:t xml:space="preserve">source_url</w:t>
            </w:r>
            <w:r>
              <w:t xml:space="preserve">, </w:t>
            </w:r>
            <w:r>
              <w:rPr>
                <w:rStyle w:val="CodeChar"/>
              </w:rPr>
              <w:t xml:space="preserve">source_file</w:t>
            </w:r>
            <w:r>
              <w:t xml:space="preserve">, </w:t>
            </w:r>
            <w:r>
              <w:rPr>
                <w:rStyle w:val="CodeChar"/>
              </w:rPr>
              <w:t xml:space="preserve">edition</w:t>
            </w:r>
          </w:p>
        </w:tc>
        <w:tc>
          <w:tcPr>
            <w:tcW w:w="3120" w:type="dxa"/>
          </w:tcPr>
          <w:p>
            <w:pPr/>
            <w:r>
              <w:t xml:space="preserve">Where the figure came from and which publication</w:t>
            </w:r>
          </w:p>
        </w:tc>
      </w:tr>
    </w:tbl>
    <w:p>
      <w:pPr/>
      <w:r>
        <w:t xml:space="preserve">Do not build IDs or names from the published label columns: </w:t>
      </w:r>
      <w:r>
        <w:rPr>
          <w:rStyle w:val="CodeChar"/>
        </w:rPr>
        <w:t xml:space="preserve">category</w:t>
      </w:r>
      <w:r>
        <w:t xml:space="preserve">, </w:t>
      </w:r>
      <w:r>
        <w:rPr>
          <w:rStyle w:val="CodeChar"/>
        </w:rPr>
        <w:t xml:space="preserve">category_group</w:t>
      </w:r>
      <w:r>
        <w:t xml:space="preserve">, </w:t>
      </w:r>
      <w:r>
        <w:rPr>
          <w:rStyle w:val="CodeChar"/>
        </w:rPr>
        <w:t xml:space="preserve">series_code</w:t>
      </w:r>
      <w:r>
        <w:t xml:space="preserve">, </w:t>
      </w:r>
      <w:r>
        <w:rPr>
          <w:rStyle w:val="CodeChar"/>
        </w:rPr>
        <w:t xml:space="preserve">component</w:t>
      </w:r>
      <w:r>
        <w:t xml:space="preserve">, </w:t>
      </w:r>
      <w:r>
        <w:rPr>
          <w:rStyle w:val="CodeChar"/>
        </w:rPr>
        <w:t xml:space="preserve">characteristic</w:t>
      </w:r>
      <w:r>
        <w:t xml:space="preserve">, </w:t>
      </w:r>
      <w:r>
        <w:rPr>
          <w:rStyle w:val="CodeChar"/>
        </w:rPr>
        <w:t xml:space="preserve">series_label</w:t>
      </w:r>
      <w:r>
        <w:t xml:space="preserve">, </w:t>
      </w:r>
      <w:r>
        <w:rPr>
          <w:rStyle w:val="CodeChar"/>
        </w:rPr>
        <w:t xml:space="preserve">coicop_label</w:t>
      </w:r>
      <w:r>
        <w:t xml:space="preserve">, </w:t>
      </w:r>
      <w:r>
        <w:rPr>
          <w:rStyle w:val="CodeChar"/>
        </w:rPr>
        <w:t xml:space="preserve">unit</w:t>
      </w:r>
      <w:r>
        <w:t xml:space="preserve">, </w:t>
      </w:r>
      <w:r>
        <w:rPr>
          <w:rStyle w:val="CodeChar"/>
        </w:rPr>
        <w:t xml:space="preserve">base_period</w:t>
      </w:r>
      <w:r>
        <w:t xml:space="preserve">. They keep each office's own wording and are only for showing provenance.</w:t>
      </w:r>
    </w:p>
    <w:p>
      <w:pPr>
        <w:pStyle w:val="Heading3"/>
      </w:pPr>
      <w:r>
        <w:t xml:space="preserve">Where indicators differ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Indicator</w:t>
            </w:r>
          </w:p>
        </w:tc>
        <w:tc>
          <w:tcPr>
            <w:tcW w:w="2340" w:type="dxa"/>
            <w:shd w:val="clear" w:color="auto" w:fill="F2F2F2"/>
          </w:tcPr>
          <w:p>
            <w:pPr/>
            <w:r>
              <w:t xml:space="preserve">Value column</w:t>
            </w:r>
          </w:p>
        </w:tc>
        <w:tc>
          <w:tcPr>
            <w:tcW w:w="2340" w:type="dxa"/>
            <w:shd w:val="clear" w:color="auto" w:fill="F2F2F2"/>
          </w:tcPr>
          <w:p>
            <w:pPr/>
            <w:r>
              <w:t xml:space="preserve">Concept column</w:t>
            </w:r>
          </w:p>
        </w:tc>
        <w:tc>
          <w:tcPr>
            <w:tcW w:w="2340" w:type="dxa"/>
            <w:shd w:val="clear" w:color="auto" w:fill="F2F2F2"/>
          </w:tcPr>
          <w:p>
            <w:pPr/>
            <w:r>
              <w:t xml:space="preserve">Also note</w:t>
            </w:r>
          </w:p>
        </w:tc>
      </w:tr>
      <w:tr>
        <w:tc>
          <w:tcPr>
            <w:tcW w:w="2340" w:type="dxa"/>
          </w:tcPr>
          <w:p>
            <w:pPr/>
            <w:r>
              <w:t xml:space="preserve">GDP</w:t>
            </w:r>
          </w:p>
        </w:tc>
        <w:tc>
          <w:tcPr>
            <w:tcW w:w="2340" w:type="dxa"/>
          </w:tcPr>
          <w:p>
            <w:pPr/>
            <w:r>
              <w:rPr>
                <w:rStyle w:val="CodeChar"/>
              </w:rPr>
              <w:t xml:space="preserve">value_std</w:t>
            </w:r>
          </w:p>
        </w:tc>
        <w:tc>
          <w:tcPr>
            <w:tcW w:w="2340" w:type="dxa"/>
          </w:tcPr>
          <w:p>
            <w:pPr/>
            <w:r>
              <w:rPr>
                <w:rStyle w:val="CodeChar"/>
              </w:rPr>
              <w:t xml:space="preserve">category_code</w:t>
            </w:r>
            <w:r>
              <w:t xml:space="preserve"> / </w:t>
            </w:r>
            <w:r>
              <w:rPr>
                <w:rStyle w:val="CodeChar"/>
              </w:rPr>
              <w:t xml:space="preserve">category_std</w:t>
            </w:r>
          </w:p>
        </w:tc>
        <w:tc>
          <w:tcPr>
            <w:tcW w:w="2340" w:type="dxa"/>
          </w:tcPr>
          <w:p>
            <w:pPr/>
            <w:r>
              <w:rPr>
                <w:rStyle w:val="CodeChar"/>
              </w:rPr>
              <w:t xml:space="preserve">price_concept</w:t>
            </w:r>
            <w:r>
              <w:t xml:space="preserve"> + </w:t>
            </w:r>
            <w:r>
              <w:rPr>
                <w:rStyle w:val="CodeChar"/>
              </w:rPr>
              <w:t xml:space="preserve">base_year</w:t>
            </w:r>
            <w:r>
              <w:t xml:space="preserve"> say which prices; never mix different base years</w:t>
            </w:r>
          </w:p>
        </w:tc>
      </w:tr>
      <w:tr>
        <w:tc>
          <w:tcPr>
            <w:tcW w:w="2340" w:type="dxa"/>
          </w:tcPr>
          <w:p>
            <w:pPr/>
            <w:r>
              <w:t xml:space="preserve">CPI</w:t>
            </w:r>
          </w:p>
        </w:tc>
        <w:tc>
          <w:tcPr>
            <w:tcW w:w="2340" w:type="dxa"/>
          </w:tcPr>
          <w:p>
            <w:pPr/>
            <w:r>
              <w:rPr>
                <w:rStyle w:val="CodeChar"/>
              </w:rPr>
              <w:t xml:space="preserve">value</w:t>
            </w:r>
            <w:r>
              <w:t xml:space="preserve"> (no </w:t>
            </w:r>
            <w:r>
              <w:rPr>
                <w:rStyle w:val="CodeChar"/>
              </w:rPr>
              <w:t xml:space="preserve">value_std</w:t>
            </w:r>
            <w:r>
              <w:t xml:space="preserve">)</w:t>
            </w:r>
          </w:p>
        </w:tc>
        <w:tc>
          <w:tcPr>
            <w:tcW w:w="2340" w:type="dxa"/>
          </w:tcPr>
          <w:p>
            <w:pPr/>
            <w:r>
              <w:rPr>
                <w:rStyle w:val="CodeChar"/>
              </w:rPr>
              <w:t xml:space="preserve">coicop_code</w:t>
            </w:r>
            <w:r>
              <w:t xml:space="preserve"> + </w:t>
            </w:r>
            <w:r>
              <w:rPr>
                <w:rStyle w:val="CodeChar"/>
              </w:rPr>
              <w:t xml:space="preserve">coicop_version</w:t>
            </w:r>
            <w:r>
              <w:t xml:space="preserve"> / </w:t>
            </w:r>
            <w:r>
              <w:rPr>
                <w:rStyle w:val="CodeChar"/>
              </w:rPr>
              <w:t xml:space="preserve">coicop_std</w:t>
            </w:r>
          </w:p>
        </w:tc>
        <w:tc>
          <w:tcPr>
            <w:tcW w:w="2340" w:type="dxa"/>
          </w:tcPr>
          <w:p>
            <w:pPr/>
            <w:r>
              <w:t xml:space="preserve">Compare countries with inflation rates, not index levels; an index's base year is in its ID</w:t>
            </w:r>
          </w:p>
        </w:tc>
      </w:tr>
      <w:tr>
        <w:tc>
          <w:tcPr>
            <w:tcW w:w="2340" w:type="dxa"/>
          </w:tcPr>
          <w:p>
            <w:pPr/>
            <w:r>
              <w:t xml:space="preserve">Population</w:t>
            </w:r>
          </w:p>
        </w:tc>
        <w:tc>
          <w:tcPr>
            <w:tcW w:w="2340" w:type="dxa"/>
          </w:tcPr>
          <w:p>
            <w:pPr/>
            <w:r>
              <w:rPr>
                <w:rStyle w:val="CodeChar"/>
              </w:rPr>
              <w:t xml:space="preserve">value_std</w:t>
            </w:r>
          </w:p>
        </w:tc>
        <w:tc>
          <w:tcPr>
            <w:tcW w:w="2340" w:type="dxa"/>
          </w:tcPr>
          <w:p>
            <w:pPr/>
            <w:r>
              <w:rPr>
                <w:rStyle w:val="CodeChar"/>
              </w:rPr>
              <w:t xml:space="preserve">sex_code</w:t>
            </w:r>
            <w:r>
              <w:t xml:space="preserve">, </w:t>
            </w:r>
            <w:r>
              <w:rPr>
                <w:rStyle w:val="CodeChar"/>
              </w:rPr>
              <w:t xml:space="preserve">age_code</w:t>
            </w:r>
          </w:p>
        </w:tc>
        <w:tc>
          <w:tcPr>
            <w:tcW w:w="2340" w:type="dxa"/>
          </w:tcPr>
          <w:p>
            <w:pPr/>
            <w:r>
              <w:rPr>
                <w:rStyle w:val="CodeChar"/>
              </w:rPr>
              <w:t xml:space="preserve">series_type</w:t>
            </w:r>
            <w:r>
              <w:t xml:space="preserve"> says census, estimate or projection; </w:t>
            </w:r>
            <w:r>
              <w:rPr>
                <w:rStyle w:val="CodeChar"/>
              </w:rPr>
              <w:t xml:space="preserve">is_preferred</w:t>
            </w:r>
            <w:r>
              <w:t xml:space="preserve"> chooses census first</w:t>
            </w:r>
          </w:p>
        </w:tc>
      </w:tr>
      <w:tr>
        <w:tc>
          <w:tcPr>
            <w:tcW w:w="2340" w:type="dxa"/>
          </w:tcPr>
          <w:p>
            <w:pPr/>
            <w:r>
              <w:t xml:space="preserve">Unemployment</w:t>
            </w:r>
          </w:p>
        </w:tc>
        <w:tc>
          <w:tcPr>
            <w:tcW w:w="2340" w:type="dxa"/>
          </w:tcPr>
          <w:p>
            <w:pPr/>
            <w:r>
              <w:rPr>
                <w:rStyle w:val="CodeChar"/>
              </w:rPr>
              <w:t xml:space="preserve">value_std</w:t>
            </w:r>
          </w:p>
        </w:tc>
        <w:tc>
          <w:tcPr>
            <w:tcW w:w="2340" w:type="dxa"/>
          </w:tcPr>
          <w:p>
            <w:pPr/>
            <w:r>
              <w:rPr>
                <w:rStyle w:val="CodeChar"/>
              </w:rPr>
              <w:t xml:space="preserve">category_code</w:t>
            </w:r>
            <w:r>
              <w:t xml:space="preserve"> / </w:t>
            </w:r>
            <w:r>
              <w:rPr>
                <w:rStyle w:val="CodeChar"/>
              </w:rPr>
              <w:t xml:space="preserve">category_std</w:t>
            </w:r>
          </w:p>
        </w:tc>
        <w:tc>
          <w:tcPr>
            <w:tcW w:w="2340" w:type="dxa"/>
          </w:tcPr>
          <w:p>
            <w:pPr/>
            <w:r>
              <w:t xml:space="preserve">Definition (strict or broad), ILO convention and working-age base are in the ID</w:t>
            </w:r>
          </w:p>
        </w:tc>
      </w:tr>
      <w:tr>
        <w:tc>
          <w:tcPr>
            <w:tcW w:w="2340" w:type="dxa"/>
          </w:tcPr>
          <w:p>
            <w:pPr/>
            <w:r>
              <w:t xml:space="preserve">Labour</w:t>
            </w:r>
          </w:p>
        </w:tc>
        <w:tc>
          <w:tcPr>
            <w:tcW w:w="2340" w:type="dxa"/>
          </w:tcPr>
          <w:p>
            <w:pPr/>
            <w:r>
              <w:rPr>
                <w:rStyle w:val="CodeChar"/>
              </w:rPr>
              <w:t xml:space="preserve">value_std</w:t>
            </w:r>
          </w:p>
        </w:tc>
        <w:tc>
          <w:tcPr>
            <w:tcW w:w="2340" w:type="dxa"/>
          </w:tcPr>
          <w:p>
            <w:pPr/>
            <w:r>
              <w:rPr>
                <w:rStyle w:val="CodeChar"/>
              </w:rPr>
              <w:t xml:space="preserve">category_code</w:t>
            </w:r>
            <w:r>
              <w:t xml:space="preserve"> / </w:t>
            </w:r>
            <w:r>
              <w:rPr>
                <w:rStyle w:val="CodeChar"/>
              </w:rPr>
              <w:t xml:space="preserve">category_std</w:t>
            </w:r>
          </w:p>
        </w:tc>
        <w:tc>
          <w:tcPr>
            <w:tcW w:w="2340" w:type="dxa"/>
          </w:tcPr>
          <w:p>
            <w:pPr/>
            <w:r>
              <w:t xml:space="preserve">ISIC sections, ISCO groups, status in employment, formality</w:t>
            </w:r>
          </w:p>
        </w:tc>
      </w:tr>
      <w:tr>
        <w:tc>
          <w:tcPr>
            <w:tcW w:w="2340" w:type="dxa"/>
          </w:tcPr>
          <w:p>
            <w:pPr/>
            <w:r>
              <w:t xml:space="preserve">Public debt</w:t>
            </w:r>
          </w:p>
        </w:tc>
        <w:tc>
          <w:tcPr>
            <w:tcW w:w="2340" w:type="dxa"/>
          </w:tcPr>
          <w:p>
            <w:pPr/>
            <w:r>
              <w:rPr>
                <w:rStyle w:val="CodeChar"/>
              </w:rPr>
              <w:t xml:space="preserve">value_std</w:t>
            </w:r>
          </w:p>
        </w:tc>
        <w:tc>
          <w:tcPr>
            <w:tcW w:w="2340" w:type="dxa"/>
          </w:tcPr>
          <w:p>
            <w:pPr/>
            <w:r>
              <w:rPr>
                <w:rStyle w:val="CodeChar"/>
              </w:rPr>
              <w:t xml:space="preserve">category_code</w:t>
            </w:r>
            <w:r>
              <w:t xml:space="preserve"> + </w:t>
            </w:r>
            <w:r>
              <w:rPr>
                <w:rStyle w:val="CodeChar"/>
              </w:rPr>
              <w:t xml:space="preserve">coverage_code</w:t>
            </w:r>
          </w:p>
        </w:tc>
        <w:tc>
          <w:tcPr>
            <w:tcW w:w="2340" w:type="dxa"/>
          </w:tcPr>
          <w:p>
            <w:pPr/>
            <w:r>
              <w:t xml:space="preserve">No </w:t>
            </w:r>
            <w:r>
              <w:rPr>
                <w:rStyle w:val="CodeChar"/>
              </w:rPr>
              <w:t xml:space="preserve">geography</w:t>
            </w:r>
            <w:r>
              <w:t xml:space="preserve">: national only. Compare countries only when </w:t>
            </w:r>
            <w:r>
              <w:rPr>
                <w:rStyle w:val="CodeChar"/>
              </w:rPr>
              <w:t xml:space="preserve">coverage_code</w:t>
            </w:r>
            <w:r>
              <w:t xml:space="preserve"> matches</w:t>
            </w:r>
          </w:p>
        </w:tc>
      </w:tr>
      <w:tr>
        <w:tc>
          <w:tcPr>
            <w:tcW w:w="2340" w:type="dxa"/>
          </w:tcPr>
          <w:p>
            <w:pPr/>
            <w:r>
              <w:t xml:space="preserve">MPI</w:t>
            </w:r>
          </w:p>
        </w:tc>
        <w:tc>
          <w:tcPr>
            <w:tcW w:w="2340" w:type="dxa"/>
          </w:tcPr>
          <w:p>
            <w:pPr/>
            <w:r>
              <w:rPr>
                <w:rStyle w:val="CodeChar"/>
              </w:rPr>
              <w:t xml:space="preserve">value_std</w:t>
            </w:r>
          </w:p>
        </w:tc>
        <w:tc>
          <w:tcPr>
            <w:tcW w:w="2340" w:type="dxa"/>
          </w:tcPr>
          <w:p>
            <w:pPr/>
            <w:r>
              <w:rPr>
                <w:rStyle w:val="CodeChar"/>
              </w:rPr>
              <w:t xml:space="preserve">breakdown_code</w:t>
            </w:r>
          </w:p>
        </w:tc>
        <w:tc>
          <w:tcPr>
            <w:tcW w:w="2340" w:type="dxa"/>
          </w:tcPr>
          <w:p>
            <w:pPr/>
            <w:r>
              <w:t xml:space="preserve">Each country's MPI is its own design; never put two countries' MPIs on one chart as if comparable</w:t>
            </w:r>
          </w:p>
        </w:tc>
      </w:tr>
      <w:tr>
        <w:tc>
          <w:tcPr>
            <w:tcW w:w="2340" w:type="dxa"/>
          </w:tcPr>
          <w:p>
            <w:pPr/>
            <w:r>
              <w:t xml:space="preserve">Trade</w:t>
            </w:r>
          </w:p>
        </w:tc>
        <w:tc>
          <w:tcPr>
            <w:tcW w:w="2340" w:type="dxa"/>
          </w:tcPr>
          <w:p>
            <w:pPr/>
            <w:r>
              <w:rPr>
                <w:rStyle w:val="CodeChar"/>
              </w:rPr>
              <w:t xml:space="preserve">value_std</w:t>
            </w:r>
          </w:p>
        </w:tc>
        <w:tc>
          <w:tcPr>
            <w:tcW w:w="2340" w:type="dxa"/>
          </w:tcPr>
          <w:p>
            <w:pPr/>
            <w:r>
              <w:rPr>
                <w:rStyle w:val="CodeChar"/>
              </w:rPr>
              <w:t xml:space="preserve">hs2_code</w:t>
            </w:r>
          </w:p>
        </w:tc>
        <w:tc>
          <w:tcPr>
            <w:tcW w:w="2340" w:type="dxa"/>
          </w:tcPr>
          <w:p>
            <w:pPr/>
            <w:r>
              <w:t xml:space="preserve">No </w:t>
            </w:r>
            <w:r>
              <w:rPr>
                <w:rStyle w:val="CodeChar"/>
              </w:rPr>
              <w:t xml:space="preserve">geography</w:t>
            </w:r>
            <w:r>
              <w:t xml:space="preserve">; </w:t>
            </w:r>
            <w:r>
              <w:rPr>
                <w:rStyle w:val="CodeChar"/>
              </w:rPr>
              <w:t xml:space="preserve">partner</w:t>
            </w:r>
            <w:r>
              <w:t xml:space="preserve"> is the trading partner</w:t>
            </w:r>
          </w:p>
        </w:tc>
      </w:tr>
      <w:tr>
        <w:tc>
          <w:tcPr>
            <w:tcW w:w="2340" w:type="dxa"/>
          </w:tcPr>
          <w:p>
            <w:pPr/>
            <w:r>
              <w:t xml:space="preserve">PPI</w:t>
            </w:r>
          </w:p>
        </w:tc>
        <w:tc>
          <w:tcPr>
            <w:tcW w:w="2340" w:type="dxa"/>
          </w:tcPr>
          <w:p>
            <w:pPr/>
            <w:r>
              <w:rPr>
                <w:rStyle w:val="CodeChar"/>
              </w:rPr>
              <w:t xml:space="preserve">value_std</w:t>
            </w:r>
          </w:p>
        </w:tc>
        <w:tc>
          <w:tcPr>
            <w:tcW w:w="2340" w:type="dxa"/>
          </w:tcPr>
          <w:p>
            <w:pPr/>
            <w:r>
              <w:rPr>
                <w:rStyle w:val="CodeChar"/>
              </w:rPr>
              <w:t xml:space="preserve">industry_code</w:t>
            </w:r>
          </w:p>
        </w:tc>
        <w:tc>
          <w:tcPr>
            <w:tcW w:w="2340" w:type="dxa"/>
          </w:tcPr>
          <w:p>
            <w:pPr/>
            <w:r>
              <w:t xml:space="preserve">No </w:t>
            </w:r>
            <w:r>
              <w:rPr>
                <w:rStyle w:val="CodeChar"/>
              </w:rPr>
              <w:t xml:space="preserve">geography</w:t>
            </w:r>
            <w:r>
              <w:t xml:space="preserve">: national only</w:t>
            </w:r>
          </w:p>
        </w:tc>
      </w:tr>
      <w:tr>
        <w:tc>
          <w:tcPr>
            <w:tcW w:w="2340" w:type="dxa"/>
          </w:tcPr>
          <w:p>
            <w:pPr/>
            <w:r>
              <w:t xml:space="preserve">School enrolment</w:t>
            </w:r>
          </w:p>
        </w:tc>
        <w:tc>
          <w:tcPr>
            <w:tcW w:w="2340" w:type="dxa"/>
          </w:tcPr>
          <w:p>
            <w:pPr/>
            <w:r>
              <w:rPr>
                <w:rStyle w:val="CodeChar"/>
              </w:rPr>
              <w:t xml:space="preserve">value_std</w:t>
            </w:r>
          </w:p>
        </w:tc>
        <w:tc>
          <w:tcPr>
            <w:tcW w:w="2340" w:type="dxa"/>
          </w:tcPr>
          <w:p>
            <w:pPr/>
            <w:r>
              <w:rPr>
                <w:rStyle w:val="CodeChar"/>
              </w:rPr>
              <w:t xml:space="preserve">isced_level</w:t>
            </w:r>
          </w:p>
        </w:tc>
        <w:tc>
          <w:tcPr>
            <w:tcW w:w="2340" w:type="dxa"/>
          </w:tcPr>
          <w:p>
            <w:pPr/>
            <w:r>
              <w:t xml:space="preserve">Periods are school years, e.g. </w:t>
            </w:r>
            <w:r>
              <w:rPr>
                <w:rStyle w:val="CodeChar"/>
              </w:rPr>
              <w:t xml:space="preserve">2019/20</w:t>
            </w:r>
          </w:p>
        </w:tc>
      </w:tr>
      <w:tr>
        <w:tc>
          <w:tcPr>
            <w:tcW w:w="2340" w:type="dxa"/>
          </w:tcPr>
          <w:p>
            <w:pPr/>
            <w:r>
              <w:t xml:space="preserve">Census characteristics, education</w:t>
            </w:r>
          </w:p>
        </w:tc>
        <w:tc>
          <w:tcPr>
            <w:tcW w:w="2340" w:type="dxa"/>
          </w:tcPr>
          <w:p>
            <w:pPr/>
            <w:r>
              <w:rPr>
                <w:rStyle w:val="CodeChar"/>
              </w:rPr>
              <w:t xml:space="preserve">value_std</w:t>
            </w:r>
          </w:p>
        </w:tc>
        <w:tc>
          <w:tcPr>
            <w:tcW w:w="2340" w:type="dxa"/>
          </w:tcPr>
          <w:p>
            <w:pPr/>
            <w:r>
              <w:rPr>
                <w:rStyle w:val="CodeChar"/>
              </w:rPr>
              <w:t xml:space="preserve">characteristic_code</w:t>
            </w:r>
          </w:p>
        </w:tc>
        <w:tc>
          <w:tcPr>
            <w:tcW w:w="2340" w:type="dxa"/>
          </w:tcPr>
          <w:p>
            <w:pPr/>
            <w:r>
              <w:t xml:space="preserve">Codes are slugs of the published label, not harmonised across countries</w:t>
            </w:r>
          </w:p>
        </w:tc>
      </w:tr>
      <w:tr>
        <w:tc>
          <w:tcPr>
            <w:tcW w:w="2340" w:type="dxa"/>
          </w:tcPr>
          <w:p>
            <w:pPr/>
            <w:r>
              <w:t xml:space="preserve">Fertility, mortality</w:t>
            </w:r>
          </w:p>
        </w:tc>
        <w:tc>
          <w:tcPr>
            <w:tcW w:w="2340" w:type="dxa"/>
          </w:tcPr>
          <w:p>
            <w:pPr/>
            <w:r>
              <w:rPr>
                <w:rStyle w:val="CodeChar"/>
              </w:rPr>
              <w:t xml:space="preserve">value_std</w:t>
            </w:r>
          </w:p>
        </w:tc>
        <w:tc>
          <w:tcPr>
            <w:tcW w:w="2340" w:type="dxa"/>
          </w:tcPr>
          <w:p>
            <w:pPr/>
            <w:r>
              <w:rPr>
                <w:rStyle w:val="CodeChar"/>
              </w:rPr>
              <w:t xml:space="preserve">sex_code</w:t>
            </w:r>
            <w:r>
              <w:t xml:space="preserve">, </w:t>
            </w:r>
            <w:r>
              <w:rPr>
                <w:rStyle w:val="CodeChar"/>
              </w:rPr>
              <w:t xml:space="preserve">age_code</w:t>
            </w:r>
          </w:p>
        </w:tc>
        <w:tc>
          <w:tcPr>
            <w:tcW w:w="2340" w:type="dxa"/>
          </w:tcPr>
          <w:p>
            <w:pPr/>
          </w:p>
        </w:tc>
      </w:tr>
    </w:tbl>
    <w:p>
      <w:pPr>
        <w:pStyle w:val="Heading2"/>
      </w:pPr>
      <w:r>
        <w:t xml:space="preserve">How the app names variables</w:t>
      </w:r>
    </w:p>
    <w:p>
      <w:pPr/>
      <w:r>
        <w:t xml:space="preserve">The app joins our columns into one ID and appends a short suffix when that ID is not unique. This is what its explore API returned for the flagged question ("How does annual final consumption expenditure growth compare among Central Africa, Eastern Africa and West Africa?"):</w:t>
      </w:r>
    </w:p>
    <w:p>
      <w:pPr>
        <w:pStyle w:val="Code"/>
      </w:pPr>
      <w:r>
        <w:t xml:space="preserve">National_Accounts_Final_Consumption_Expenditure_Expenditure_Level_Constant_2005_Prices_Xaf_Billion_Quarterly_Sac6314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 part</w:t>
            </w:r>
          </w:p>
        </w:tc>
        <w:tc>
          <w:tcPr>
            <w:tcW w:w="4680" w:type="dxa"/>
            <w:shd w:val="clear" w:color="auto" w:fill="F2F2F2"/>
          </w:tcPr>
          <w:p>
            <w:pPr/>
            <w:r>
              <w:t xml:space="preserve">Comes from our column</w:t>
            </w:r>
          </w:p>
        </w:tc>
      </w:tr>
      <w:tr>
        <w:tc>
          <w:tcPr>
            <w:tcW w:w="4680" w:type="dxa"/>
          </w:tcPr>
          <w:p>
            <w:pPr/>
            <w:r>
              <w:t xml:space="preserve">National_Accounts</w:t>
            </w:r>
          </w:p>
        </w:tc>
        <w:tc>
          <w:tcPr>
            <w:tcW w:w="4680" w:type="dxa"/>
          </w:tcPr>
          <w:p>
            <w:pPr/>
            <w:r>
              <w:t xml:space="preserve">indicator (GDP)</w:t>
            </w:r>
          </w:p>
        </w:tc>
      </w:tr>
      <w:tr>
        <w:tc>
          <w:tcPr>
            <w:tcW w:w="4680" w:type="dxa"/>
          </w:tcPr>
          <w:p>
            <w:pPr/>
            <w:r>
              <w:t xml:space="preserve">Final_Consumption_Expenditure</w:t>
            </w:r>
          </w:p>
        </w:tc>
        <w:tc>
          <w:tcPr>
            <w:tcW w:w="4680" w:type="dxa"/>
          </w:tcPr>
          <w:p>
            <w:pPr/>
            <w:r>
              <w:t xml:space="preserve">category, mapped to English by the app</w:t>
            </w:r>
          </w:p>
        </w:tc>
      </w:tr>
      <w:tr>
        <w:tc>
          <w:tcPr>
            <w:tcW w:w="4680" w:type="dxa"/>
          </w:tcPr>
          <w:p>
            <w:pPr/>
            <w:r>
              <w:t xml:space="preserve">Expenditure</w:t>
            </w:r>
          </w:p>
        </w:tc>
        <w:tc>
          <w:tcPr>
            <w:tcW w:w="4680" w:type="dxa"/>
          </w:tcPr>
          <w:p>
            <w:pPr/>
            <w:r>
              <w:t xml:space="preserve">approach</w:t>
            </w:r>
          </w:p>
        </w:tc>
      </w:tr>
      <w:tr>
        <w:tc>
          <w:tcPr>
            <w:tcW w:w="4680" w:type="dxa"/>
          </w:tcPr>
          <w:p>
            <w:pPr/>
            <w:r>
              <w:t xml:space="preserve">Level</w:t>
            </w:r>
          </w:p>
        </w:tc>
        <w:tc>
          <w:tcPr>
            <w:tcW w:w="4680" w:type="dxa"/>
          </w:tcPr>
          <w:p>
            <w:pPr/>
            <w:r>
              <w:t xml:space="preserve">measure</w:t>
            </w:r>
          </w:p>
        </w:tc>
      </w:tr>
      <w:tr>
        <w:tc>
          <w:tcPr>
            <w:tcW w:w="4680" w:type="dxa"/>
          </w:tcPr>
          <w:p>
            <w:pPr/>
            <w:r>
              <w:t xml:space="preserve">Constant_2005_Prices</w:t>
            </w:r>
          </w:p>
        </w:tc>
        <w:tc>
          <w:tcPr>
            <w:tcW w:w="4680" w:type="dxa"/>
          </w:tcPr>
          <w:p>
            <w:pPr/>
            <w:r>
              <w:t xml:space="preserve">price_basis + base_period</w:t>
            </w:r>
          </w:p>
        </w:tc>
      </w:tr>
      <w:tr>
        <w:tc>
          <w:tcPr>
            <w:tcW w:w="4680" w:type="dxa"/>
          </w:tcPr>
          <w:p>
            <w:pPr/>
            <w:r>
              <w:t xml:space="preserve">Xaf_Billion</w:t>
            </w:r>
          </w:p>
        </w:tc>
        <w:tc>
          <w:tcPr>
            <w:tcW w:w="4680" w:type="dxa"/>
          </w:tcPr>
          <w:p>
            <w:pPr/>
            <w:r>
              <w:t xml:space="preserve">unit</w:t>
            </w:r>
          </w:p>
        </w:tc>
      </w:tr>
      <w:tr>
        <w:tc>
          <w:tcPr>
            <w:tcW w:w="4680" w:type="dxa"/>
          </w:tcPr>
          <w:p>
            <w:pPr/>
            <w:r>
              <w:t xml:space="preserve">Quarterly</w:t>
            </w:r>
          </w:p>
        </w:tc>
        <w:tc>
          <w:tcPr>
            <w:tcW w:w="4680" w:type="dxa"/>
          </w:tcPr>
          <w:p>
            <w:pPr/>
            <w:r>
              <w:t xml:space="preserve">frequency</w:t>
            </w:r>
          </w:p>
        </w:tc>
      </w:tr>
      <w:tr>
        <w:tc>
          <w:tcPr>
            <w:tcW w:w="4680" w:type="dxa"/>
          </w:tcPr>
          <w:p>
            <w:pPr/>
            <w:r>
              <w:t xml:space="preserve">Sac6314</w:t>
            </w:r>
          </w:p>
        </w:tc>
        <w:tc>
          <w:tcPr>
            <w:tcW w:w="4680" w:type="dxa"/>
          </w:tcPr>
          <w:p>
            <w:pPr/>
            <w:r>
              <w:t xml:space="preserve">a disambiguator the app adds (see below)</w:t>
            </w:r>
          </w:p>
        </w:tc>
      </w:tr>
    </w:tbl>
    <w:p>
      <w:pPr/>
      <w:r>
        <w:t xml:space="preserve">The suffix appears to be "s" plus six hex characters, added whenever the parts above leave two series identical:</w:t>
      </w:r>
    </w:p>
    <w:p>
      <w:pPr>
        <w:pStyle w:val="ListParagraph"/>
        <w:numPr>
          <w:ilvl w:val="0"/>
          <w:numId w:val="3"/>
        </w:numPr>
      </w:pPr>
      <w:r>
        <w:rPr>
          <w:b/>
        </w:rPr>
        <w:t xml:space="preserve">[Sac6314]</w:t>
      </w:r>
      <w:r>
        <w:t xml:space="preserve">: the series has an empty </w:t>
      </w:r>
      <w:r>
        <w:rPr>
          <w:rStyle w:val="CodeChar"/>
        </w:rPr>
        <w:t xml:space="preserve">series_code</w:t>
      </w:r>
      <w:r>
        <w:t xml:space="preserve">, so only "s" + </w:t>
      </w:r>
      <w:r>
        <w:rPr>
          <w:rStyle w:val="CodeChar"/>
        </w:rPr>
        <w:t xml:space="preserve">ac6314</w:t>
      </w:r>
      <w:r>
        <w:t xml:space="preserve"> remains, title-cased.</w:t>
      </w:r>
    </w:p>
    <w:p>
      <w:pPr>
        <w:pStyle w:val="ListParagraph"/>
        <w:numPr>
          <w:ilvl w:val="0"/>
          <w:numId w:val="3"/>
        </w:numPr>
      </w:pPr>
      <w:r>
        <w:rPr>
          <w:b/>
        </w:rPr>
        <w:t xml:space="preserve">[DGS Annuaire 2004-2008 V.1.1.3 S4161fd]</w:t>
      </w:r>
      <w:r>
        <w:t xml:space="preserve">: Gabon's </w:t>
      </w:r>
      <w:r>
        <w:rPr>
          <w:rStyle w:val="CodeChar"/>
        </w:rPr>
        <w:t xml:space="preserve">series_code</w:t>
      </w:r>
      <w:r>
        <w:t xml:space="preserve"> "DGS Annuaire 2004-2008 V.1.1.3" plus the suffix </w:t>
      </w:r>
      <w:r>
        <w:rPr>
          <w:rStyle w:val="CodeChar"/>
        </w:rPr>
        <w:t xml:space="preserve">s4161fd</w:t>
      </w:r>
      <w:r>
        <w:t xml:space="preserve">.</w:t>
      </w:r>
    </w:p>
    <w:p>
      <w:pPr/>
      <w:r>
        <w:t xml:space="preserve">This reading is inferred from the output; please confirm it against the converter code.</w:t>
      </w:r>
    </w:p>
    <w:p>
      <w:pPr/>
      <w:r>
        <w:t xml:space="preserve">One variable also pools several countries on different bases. It is titled "Constant </w:t>
      </w:r>
      <w:r>
        <w:rPr>
          <w:b/>
        </w:rPr>
        <w:t xml:space="preserve">2005</w:t>
      </w:r>
      <w:r>
        <w:t xml:space="preserve"> Prices", yet Cameroon's quarterly figures inside it are chained volumes, reference </w:t>
      </w:r>
      <w:r>
        <w:rPr>
          <w:b/>
        </w:rPr>
        <w:t xml:space="preserve">2016</w:t>
      </w:r>
      <w:r>
        <w:t xml:space="preserve">. The map and ranking therefore compare figures that are not on the same basis.</w:t>
      </w:r>
    </w:p>
    <w:p>
      <w:pPr>
        <w:pStyle w:val="Heading2"/>
      </w:pPr>
      <w:r>
        <w:t xml:space="preserve">Why our GDP data triggers it</w:t>
      </w:r>
    </w:p>
    <w:p>
      <w:pPr/>
      <w:r>
        <w:t xml:space="preserve">The GDP files are deliberately verbatim: </w:t>
      </w:r>
      <w:r>
        <w:rPr>
          <w:rStyle w:val="CodeChar"/>
        </w:rPr>
        <w:t xml:space="preserve">indicators/gdp/schema.py</w:t>
      </w:r>
      <w:r>
        <w:t xml:space="preserve"> keeps each office's own labels and leaves standardisation as "a later step". Four fields therefore carry free text the app was never meant to build IDs from. Counts are over 329,042 rows from 53 countries, as of 15 October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What it holds</w:t>
            </w:r>
          </w:p>
        </w:tc>
        <w:tc>
          <w:tcPr>
            <w:tcW w:w="2340" w:type="dxa"/>
            <w:shd w:val="clear" w:color="auto" w:fill="F2F2F2"/>
          </w:tcPr>
          <w:p>
            <w:pPr/>
            <w:r>
              <w:t xml:space="preserve">Size of the problem</w:t>
            </w:r>
          </w:p>
        </w:tc>
        <w:tc>
          <w:tcPr>
            <w:tcW w:w="2340" w:type="dxa"/>
            <w:shd w:val="clear" w:color="auto" w:fill="F2F2F2"/>
          </w:tcPr>
          <w:p>
            <w:pPr/>
            <w:r>
              <w:t xml:space="preserve">Examples</w:t>
            </w:r>
          </w:p>
        </w:tc>
      </w:tr>
      <w:tr>
        <w:tc>
          <w:tcPr>
            <w:tcW w:w="2340" w:type="dxa"/>
          </w:tcPr>
          <w:p>
            <w:pPr/>
            <w:r>
              <w:rPr>
                <w:rStyle w:val="CodeChar"/>
              </w:rPr>
              <w:t xml:space="preserve">category</w:t>
            </w:r>
          </w:p>
        </w:tc>
        <w:tc>
          <w:tcPr>
            <w:tcW w:w="2340" w:type="dxa"/>
          </w:tcPr>
          <w:p>
            <w:pPr/>
            <w:r>
              <w:t xml:space="preserve">The office's own label, in English, French, Portuguese or Spanish</w:t>
            </w:r>
          </w:p>
        </w:tc>
        <w:tc>
          <w:tcPr>
            <w:tcW w:w="2340" w:type="dxa"/>
          </w:tcPr>
          <w:p>
            <w:pPr/>
            <w:r>
              <w:t xml:space="preserve">2,129 distinct labels; 118 start with a digit or symbol; about 300 contain </w:t>
            </w:r>
            <w:r>
              <w:rPr>
                <w:rStyle w:val="CodeChar"/>
              </w:rPr>
              <w:t xml:space="preserve">/ $ ^ * **</w:t>
            </w:r>
            <w:r>
              <w:t xml:space="preserve"> or accents</w:t>
            </w:r>
          </w:p>
        </w:tc>
        <w:tc>
          <w:tcPr>
            <w:tcW w:w="2340" w:type="dxa"/>
          </w:tcPr>
          <w:p>
            <w:pPr/>
            <w:r>
              <w:t xml:space="preserve">"1. Dépense de consommation finale", "(1) Consommation finale", "001 Agriculture vivrière", "………dont extraction", "=PRODUIT INTERIEUR BRUT", "PIB en 10^6 US$"</w:t>
            </w:r>
          </w:p>
        </w:tc>
      </w:tr>
      <w:tr>
        <w:tc>
          <w:tcPr>
            <w:tcW w:w="2340" w:type="dxa"/>
          </w:tcPr>
          <w:p>
            <w:pPr/>
            <w:r>
              <w:rPr>
                <w:rStyle w:val="CodeChar"/>
              </w:rPr>
              <w:t xml:space="preserve">series_code</w:t>
            </w:r>
          </w:p>
        </w:tc>
        <w:tc>
          <w:tcPr>
            <w:tcW w:w="2340" w:type="dxa"/>
          </w:tcPr>
          <w:p>
            <w:pPr/>
            <w:r>
              <w:t xml:space="preserve">Four kinds of thing: the office's own code, a table reference, a publication/edition tag, or a formula</w:t>
            </w:r>
          </w:p>
        </w:tc>
        <w:tc>
          <w:tcPr>
            <w:tcW w:w="2340" w:type="dxa"/>
          </w:tcPr>
          <w:p>
            <w:pPr/>
            <w:r>
              <w:t xml:space="preserve">1,465 distinct values; empty in 44% of rows; 116 start with a digit</w:t>
            </w:r>
          </w:p>
        </w:tc>
        <w:tc>
          <w:tcPr>
            <w:tcW w:w="2340" w:type="dxa"/>
          </w:tcPr>
          <w:p>
            <w:pPr/>
            <w:r>
              <w:t xml:space="preserve">"A00", "AN1000", "Tabela 3.3", "DGS Annuaire 2004-2008 V.1.1.3", "6=1+2+3+5"</w:t>
            </w:r>
          </w:p>
        </w:tc>
      </w:tr>
      <w:tr>
        <w:tc>
          <w:tcPr>
            <w:tcW w:w="2340" w:type="dxa"/>
          </w:tcPr>
          <w:p>
            <w:pPr/>
            <w:r>
              <w:rPr>
                <w:rStyle w:val="CodeChar"/>
              </w:rPr>
              <w:t xml:space="preserve">category_group</w:t>
            </w:r>
          </w:p>
        </w:tc>
        <w:tc>
          <w:tcPr>
            <w:tcW w:w="2340" w:type="dxa"/>
          </w:tcPr>
          <w:p>
            <w:pPr/>
            <w:r>
              <w:t xml:space="preserve">The table title, sometimes the edition</w:t>
            </w:r>
          </w:p>
        </w:tc>
        <w:tc>
          <w:tcPr>
            <w:tcW w:w="2340" w:type="dxa"/>
          </w:tcPr>
          <w:p>
            <w:pPr/>
            <w:r>
              <w:t xml:space="preserve">347 distinct values</w:t>
            </w:r>
          </w:p>
        </w:tc>
        <w:tc>
          <w:tcPr>
            <w:tcW w:w="2340" w:type="dxa"/>
          </w:tcPr>
          <w:p>
            <w:pPr/>
            <w:r>
              <w:t xml:space="preserve">Cameroon: "INS CNT note T3 2017" … "INS CNT note T1 2024" (13 editions of the same quarters)</w:t>
            </w:r>
          </w:p>
        </w:tc>
      </w:tr>
      <w:tr>
        <w:tc>
          <w:tcPr>
            <w:tcW w:w="2340" w:type="dxa"/>
          </w:tcPr>
          <w:p>
            <w:pPr/>
            <w:r>
              <w:rPr>
                <w:rStyle w:val="CodeChar"/>
              </w:rPr>
              <w:t xml:space="preserve">base_period</w:t>
            </w:r>
            <w:r>
              <w:t xml:space="preserve">, </w:t>
            </w:r>
            <w:r>
              <w:rPr>
                <w:rStyle w:val="CodeChar"/>
              </w:rPr>
              <w:t xml:space="preserve">unit</w:t>
            </w:r>
          </w:p>
        </w:tc>
        <w:tc>
          <w:tcPr>
            <w:tcW w:w="2340" w:type="dxa"/>
          </w:tcPr>
          <w:p>
            <w:pPr/>
            <w:r>
              <w:t xml:space="preserve">Free text</w:t>
            </w:r>
          </w:p>
        </w:tc>
        <w:tc>
          <w:tcPr>
            <w:tcW w:w="2340" w:type="dxa"/>
          </w:tcPr>
          <w:p>
            <w:pPr/>
            <w:r>
              <w:t xml:space="preserve">68 spellings each</w:t>
            </w:r>
          </w:p>
        </w:tc>
        <w:tc>
          <w:tcPr>
            <w:tcW w:w="2340" w:type="dxa"/>
          </w:tcPr>
          <w:p>
            <w:pPr/>
            <w:r>
              <w:t xml:space="preserve">"Constant 2015 prices", "chained volume (reference 2015)", "base 2014", "2013"; "XAF billion" vs "billion FCFA"; "GHS" with no scale</w:t>
            </w:r>
          </w:p>
        </w:tc>
      </w:tr>
    </w:tbl>
    <w:p>
      <w:pPr/>
      <w:r>
        <w:t xml:space="preserve">Several editions of the same figure also sit side by side. 30,234 rows in 17 countries match on every column the app names variables by, differing only in </w:t>
      </w:r>
      <w:r>
        <w:rPr>
          <w:rStyle w:val="CodeChar"/>
        </w:rPr>
        <w:t xml:space="preserve">series_code</w:t>
      </w:r>
      <w:r>
        <w:t xml:space="preserve"> or </w:t>
      </w:r>
      <w:r>
        <w:rPr>
          <w:rStyle w:val="CodeChar"/>
        </w:rPr>
        <w:t xml:space="preserve">category_group</w:t>
      </w:r>
      <w:r>
        <w:t xml:space="preserve"> (South Africa 22,098, Comoros 2,175, Chad 1,398). Those collisions are what make the app add its suffix.</w:t>
      </w:r>
    </w:p>
    <w:p>
      <w:pPr/>
      <w:r>
        <w:t xml:space="preserve">One genuine defect is ours: Kenya has a category "(90,687) (111,574)" on 5 rows, which is two numbers read as a label. We will fix that parser.</w:t>
      </w:r>
    </w:p>
    <w:p>
      <w:pPr>
        <w:pStyle w:val="Heading2"/>
      </w:pPr>
      <w:r>
        <w:t xml:space="preserve">What we added to the GDP data</w:t>
      </w:r>
    </w:p>
    <w:p>
      <w:pPr/>
      <w:r>
        <w:t xml:space="preserve">Every GDP file now ends with 11 standardised columns; the published columns before them are unchanged. Build variables from these columns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What it holds</w:t>
            </w:r>
          </w:p>
        </w:tc>
        <w:tc>
          <w:tcPr>
            <w:tcW w:w="3120" w:type="dxa"/>
            <w:shd w:val="clear" w:color="auto" w:fill="F2F2F2"/>
          </w:tcPr>
          <w:p>
            <w:pPr/>
            <w:r>
              <w:t xml:space="preserve">Example</w:t>
            </w:r>
          </w:p>
        </w:tc>
      </w:tr>
      <w:tr>
        <w:tc>
          <w:tcPr>
            <w:tcW w:w="3120" w:type="dxa"/>
          </w:tcPr>
          <w:p>
            <w:pPr/>
            <w:r>
              <w:rPr>
                <w:rStyle w:val="CodeChar"/>
              </w:rPr>
              <w:t xml:space="preserve">category_code</w:t>
            </w:r>
          </w:p>
        </w:tc>
        <w:tc>
          <w:tcPr>
            <w:tcW w:w="3120" w:type="dxa"/>
          </w:tcPr>
          <w:p>
            <w:pPr/>
            <w:r>
              <w:t xml:space="preserve">Standard concept: an SNA aggregate or ISIC section. </w:t>
            </w:r>
            <w:r>
              <w:rPr>
                <w:b/>
              </w:rPr>
              <w:t xml:space="preserve">Blank</w:t>
            </w:r>
            <w:r>
              <w:t xml:space="preserve"> when the label is ambiguous, a sub-item, or not yet covered</w:t>
            </w:r>
          </w:p>
        </w:tc>
        <w:tc>
          <w:tcPr>
            <w:tcW w:w="3120" w:type="dxa"/>
          </w:tcPr>
          <w:p>
            <w:pPr/>
            <w:r>
              <w:rPr>
                <w:rStyle w:val="CodeChar"/>
              </w:rPr>
              <w:t xml:space="preserve">FCE_HH</w:t>
            </w:r>
            <w:r>
              <w:t xml:space="preserve">, </w:t>
            </w:r>
            <w:r>
              <w:rPr>
                <w:rStyle w:val="CodeChar"/>
              </w:rPr>
              <w:t xml:space="preserve">GFCF</w:t>
            </w:r>
            <w:r>
              <w:t xml:space="preserve">, </w:t>
            </w:r>
            <w:r>
              <w:rPr>
                <w:rStyle w:val="CodeChar"/>
              </w:rPr>
              <w:t xml:space="preserve">VA_C</w:t>
            </w:r>
            <w:r>
              <w:t xml:space="preserve">, </w:t>
            </w:r>
            <w:r>
              <w:rPr>
                <w:rStyle w:val="CodeChar"/>
              </w:rPr>
              <w:t xml:space="preserve">VA_DE</w:t>
            </w:r>
            <w:r>
              <w:t xml:space="preserve"> (sections D+E as published)</w:t>
            </w:r>
          </w:p>
        </w:tc>
      </w:tr>
      <w:tr>
        <w:tc>
          <w:tcPr>
            <w:tcW w:w="3120" w:type="dxa"/>
          </w:tcPr>
          <w:p>
            <w:pPr/>
            <w:r>
              <w:rPr>
                <w:rStyle w:val="CodeChar"/>
              </w:rPr>
              <w:t xml:space="preserve">category_std</w:t>
            </w:r>
          </w:p>
        </w:tc>
        <w:tc>
          <w:tcPr>
            <w:tcW w:w="3120" w:type="dxa"/>
          </w:tcPr>
          <w:p>
            <w:pPr/>
            <w:r>
              <w:t xml:space="preserve">English name of the code</w:t>
            </w:r>
          </w:p>
        </w:tc>
        <w:tc>
          <w:tcPr>
            <w:tcW w:w="3120" w:type="dxa"/>
          </w:tcPr>
          <w:p>
            <w:pPr/>
            <w:r>
              <w:t xml:space="preserve">"Final consumption: households"</w:t>
            </w:r>
          </w:p>
        </w:tc>
      </w:tr>
      <w:tr>
        <w:tc>
          <w:tcPr>
            <w:tcW w:w="3120" w:type="dxa"/>
          </w:tcPr>
          <w:p>
            <w:pPr/>
            <w:r>
              <w:rPr>
                <w:rStyle w:val="CodeChar"/>
              </w:rPr>
              <w:t xml:space="preserve">price_concept</w:t>
            </w:r>
          </w:p>
        </w:tc>
        <w:tc>
          <w:tcPr>
            <w:tcW w:w="3120" w:type="dxa"/>
          </w:tcPr>
          <w:p>
            <w:pPr/>
            <w:r>
              <w:t xml:space="preserve">How prices are measured</w:t>
            </w:r>
          </w:p>
        </w:tc>
        <w:tc>
          <w:tcPr>
            <w:tcW w:w="3120" w:type="dxa"/>
          </w:tcPr>
          <w:p>
            <w:pPr/>
            <w:r>
              <w:rPr>
                <w:rStyle w:val="CodeChar"/>
              </w:rPr>
              <w:t xml:space="preserve">current</w:t>
            </w:r>
            <w:r>
              <w:t xml:space="preserve">, </w:t>
            </w:r>
            <w:r>
              <w:rPr>
                <w:rStyle w:val="CodeChar"/>
              </w:rPr>
              <w:t xml:space="preserve">fixed_base</w:t>
            </w:r>
            <w:r>
              <w:t xml:space="preserve">, </w:t>
            </w:r>
            <w:r>
              <w:rPr>
                <w:rStyle w:val="CodeChar"/>
              </w:rPr>
              <w:t xml:space="preserve">chained</w:t>
            </w:r>
            <w:r>
              <w:t xml:space="preserve">, </w:t>
            </w:r>
            <w:r>
              <w:rPr>
                <w:rStyle w:val="CodeChar"/>
              </w:rPr>
              <w:t xml:space="preserve">previous_year</w:t>
            </w:r>
            <w:r>
              <w:t xml:space="preserve">, </w:t>
            </w:r>
            <w:r>
              <w:rPr>
                <w:rStyle w:val="CodeChar"/>
              </w:rPr>
              <w:t xml:space="preserve">constant_unspecified</w:t>
            </w:r>
            <w:r>
              <w:t xml:space="preserve">, </w:t>
            </w:r>
            <w:r>
              <w:rPr>
                <w:rStyle w:val="CodeChar"/>
              </w:rPr>
              <w:t xml:space="preserve">not_applicable</w:t>
            </w:r>
          </w:p>
        </w:tc>
      </w:tr>
      <w:tr>
        <w:tc>
          <w:tcPr>
            <w:tcW w:w="3120" w:type="dxa"/>
          </w:tcPr>
          <w:p>
            <w:pPr/>
            <w:r>
              <w:rPr>
                <w:rStyle w:val="CodeChar"/>
              </w:rPr>
              <w:t xml:space="preserve">base_year</w:t>
            </w:r>
          </w:p>
        </w:tc>
        <w:tc>
          <w:tcPr>
            <w:tcW w:w="3120" w:type="dxa"/>
          </w:tcPr>
          <w:p>
            <w:pPr/>
            <w:r>
              <w:t xml:space="preserve">Base or reference year as a number, blank if not printed</w:t>
            </w:r>
          </w:p>
        </w:tc>
        <w:tc>
          <w:tcPr>
            <w:tcW w:w="3120" w:type="dxa"/>
          </w:tcPr>
          <w:p>
            <w:pPr/>
            <w:r>
              <w:rPr>
                <w:rStyle w:val="CodeChar"/>
              </w:rPr>
              <w:t xml:space="preserve">2016</w:t>
            </w:r>
          </w:p>
        </w:tc>
      </w:tr>
      <w:tr>
        <w:tc>
          <w:tcPr>
            <w:tcW w:w="3120" w:type="dxa"/>
          </w:tcPr>
          <w:p>
            <w:pPr/>
            <w:r>
              <w:rPr>
                <w:rStyle w:val="CodeChar"/>
              </w:rPr>
              <w:t xml:space="preserve">currency</w:t>
            </w:r>
          </w:p>
        </w:tc>
        <w:tc>
          <w:tcPr>
            <w:tcW w:w="3120" w:type="dxa"/>
          </w:tcPr>
          <w:p>
            <w:pPr/>
            <w:r>
              <w:t xml:space="preserve">ISO 4217 code. The CFA franc is resolved by country: XOF in the West African zone, XAF in the Central African zone</w:t>
            </w:r>
          </w:p>
        </w:tc>
        <w:tc>
          <w:tcPr>
            <w:tcW w:w="3120" w:type="dxa"/>
          </w:tcPr>
          <w:p>
            <w:pPr/>
            <w:r>
              <w:rPr>
                <w:rStyle w:val="CodeChar"/>
              </w:rPr>
              <w:t xml:space="preserve">XAF</w:t>
            </w:r>
          </w:p>
        </w:tc>
      </w:tr>
      <w:tr>
        <w:tc>
          <w:tcPr>
            <w:tcW w:w="3120" w:type="dxa"/>
          </w:tcPr>
          <w:p>
            <w:pPr/>
            <w:r>
              <w:rPr>
                <w:rStyle w:val="CodeChar"/>
              </w:rPr>
              <w:t xml:space="preserve">unit_multiplier</w:t>
            </w:r>
          </w:p>
        </w:tc>
        <w:tc>
          <w:tcPr>
            <w:tcW w:w="3120" w:type="dxa"/>
          </w:tcPr>
          <w:p>
            <w:pPr/>
            <w:r>
              <w:t xml:space="preserve">Scale of </w:t>
            </w:r>
            <w:r>
              <w:rPr>
                <w:rStyle w:val="CodeChar"/>
              </w:rPr>
              <w:t xml:space="preserve">value</w:t>
            </w:r>
          </w:p>
        </w:tc>
        <w:tc>
          <w:tcPr>
            <w:tcW w:w="3120" w:type="dxa"/>
          </w:tcPr>
          <w:p>
            <w:pPr/>
            <w:r>
              <w:rPr>
                <w:rStyle w:val="CodeChar"/>
              </w:rPr>
              <w:t xml:space="preserve">1000000000</w:t>
            </w:r>
          </w:p>
        </w:tc>
      </w:tr>
      <w:tr>
        <w:tc>
          <w:tcPr>
            <w:tcW w:w="3120" w:type="dxa"/>
          </w:tcPr>
          <w:p>
            <w:pPr/>
            <w:r>
              <w:rPr>
                <w:rStyle w:val="CodeChar"/>
              </w:rPr>
              <w:t xml:space="preserve">unit_std</w:t>
            </w:r>
          </w:p>
        </w:tc>
        <w:tc>
          <w:tcPr>
            <w:tcW w:w="3120" w:type="dxa"/>
          </w:tcPr>
          <w:p>
            <w:pPr/>
            <w:r>
              <w:t xml:space="preserve">Currency code, or </w:t>
            </w:r>
            <w:r>
              <w:rPr>
                <w:rStyle w:val="CodeChar"/>
              </w:rPr>
              <w:t xml:space="preserve">percent</w:t>
            </w:r>
            <w:r>
              <w:t xml:space="preserve">, </w:t>
            </w:r>
            <w:r>
              <w:rPr>
                <w:rStyle w:val="CodeChar"/>
              </w:rPr>
              <w:t xml:space="preserve">percentage_points</w:t>
            </w:r>
            <w:r>
              <w:t xml:space="preserve">, </w:t>
            </w:r>
            <w:r>
              <w:rPr>
                <w:rStyle w:val="CodeChar"/>
              </w:rPr>
              <w:t xml:space="preserve">index</w:t>
            </w:r>
          </w:p>
        </w:tc>
        <w:tc>
          <w:tcPr>
            <w:tcW w:w="3120" w:type="dxa"/>
          </w:tcPr>
          <w:p>
            <w:pPr/>
            <w:r>
              <w:rPr>
                <w:rStyle w:val="CodeChar"/>
              </w:rPr>
              <w:t xml:space="preserve">percent</w:t>
            </w:r>
          </w:p>
        </w:tc>
      </w:tr>
      <w:tr>
        <w:tc>
          <w:tcPr>
            <w:tcW w:w="3120" w:type="dxa"/>
          </w:tcPr>
          <w:p>
            <w:pPr/>
            <w:r>
              <w:rPr>
                <w:rStyle w:val="CodeChar"/>
              </w:rPr>
              <w:t xml:space="preserve">value_std</w:t>
            </w:r>
          </w:p>
        </w:tc>
        <w:tc>
          <w:tcPr>
            <w:tcW w:w="3120" w:type="dxa"/>
          </w:tcPr>
          <w:p>
            <w:pPr/>
            <w:r>
              <w:rPr>
                <w:rStyle w:val="CodeChar"/>
              </w:rPr>
              <w:t xml:space="preserve">value</w:t>
            </w:r>
            <w:r>
              <w:t xml:space="preserve"> × </w:t>
            </w:r>
            <w:r>
              <w:rPr>
                <w:rStyle w:val="CodeChar"/>
              </w:rPr>
              <w:t xml:space="preserve">unit_multiplier</w:t>
            </w:r>
            <w:r>
              <w:t xml:space="preserve">, with imports printed as negative levels turned positive. Use this for charts</w:t>
            </w:r>
          </w:p>
        </w:tc>
        <w:tc>
          <w:tcPr>
            <w:tcW w:w="3120" w:type="dxa"/>
          </w:tcPr>
          <w:p>
            <w:pPr/>
            <w:r>
              <w:rPr>
                <w:rStyle w:val="CodeChar"/>
              </w:rPr>
              <w:t xml:space="preserve">8775700000000</w:t>
            </w:r>
          </w:p>
        </w:tc>
      </w:tr>
      <w:tr>
        <w:tc>
          <w:tcPr>
            <w:tcW w:w="3120" w:type="dxa"/>
          </w:tcPr>
          <w:p>
            <w:pPr/>
            <w:r>
              <w:rPr>
                <w:rStyle w:val="CodeChar"/>
              </w:rPr>
              <w:t xml:space="preserve">edition</w:t>
            </w:r>
          </w:p>
        </w:tc>
        <w:tc>
          <w:tcPr>
            <w:tcW w:w="3120" w:type="dxa"/>
          </w:tcPr>
          <w:p>
            <w:pPr/>
            <w:r>
              <w:t xml:space="preserve">The publication's year, and quarter when printed</w:t>
            </w:r>
          </w:p>
        </w:tc>
        <w:tc>
          <w:tcPr>
            <w:tcW w:w="3120" w:type="dxa"/>
          </w:tcPr>
          <w:p>
            <w:pPr/>
            <w:r>
              <w:rPr>
                <w:rStyle w:val="CodeChar"/>
              </w:rPr>
              <w:t xml:space="preserve">2017-Q3</w:t>
            </w:r>
          </w:p>
        </w:tc>
      </w:tr>
      <w:tr>
        <w:tc>
          <w:tcPr>
            <w:tcW w:w="3120" w:type="dxa"/>
          </w:tcPr>
          <w:p>
            <w:pPr/>
            <w:r>
              <w:rPr>
                <w:rStyle w:val="CodeChar"/>
              </w:rPr>
              <w:t xml:space="preserve">series_id</w:t>
            </w:r>
          </w:p>
        </w:tc>
        <w:tc>
          <w:tcPr>
            <w:tcW w:w="3120" w:type="dxa"/>
          </w:tcPr>
          <w:p>
            <w:pPr/>
            <w:r>
              <w:t xml:space="preserve">Safe variable ID: letters, digits and underscores, starting with a letter</w:t>
            </w:r>
          </w:p>
        </w:tc>
        <w:tc>
          <w:tcPr>
            <w:tcW w:w="3120" w:type="dxa"/>
          </w:tcPr>
          <w:p>
            <w:pPr/>
            <w:r>
              <w:rPr>
                <w:rStyle w:val="CodeChar"/>
              </w:rPr>
              <w:t xml:space="preserve">GDP_FCE_HH_LEVEL_CHAIN2016_LCU_Q_NSA</w:t>
            </w:r>
          </w:p>
        </w:tc>
      </w:tr>
      <w:tr>
        <w:tc>
          <w:tcPr>
            <w:tcW w:w="3120" w:type="dxa"/>
          </w:tcPr>
          <w:p>
            <w:pPr/>
            <w:r>
              <w:rPr>
                <w:rStyle w:val="CodeChar"/>
              </w:rPr>
              <w:t xml:space="preserve">is_preferred</w:t>
            </w:r>
          </w:p>
        </w:tc>
        <w:tc>
          <w:tcPr>
            <w:tcW w:w="3120" w:type="dxa"/>
          </w:tcPr>
          <w:p>
            <w:pPr/>
            <w:r>
              <w:rPr>
                <w:rStyle w:val="CodeChar"/>
              </w:rPr>
              <w:t xml:space="preserve">True</w:t>
            </w:r>
            <w:r>
              <w:t xml:space="preserve"> on exactly one row per country, </w:t>
            </w:r>
            <w:r>
              <w:rPr>
                <w:rStyle w:val="CodeChar"/>
              </w:rPr>
              <w:t xml:space="preserve">series_id</w:t>
            </w:r>
            <w:r>
              <w:t xml:space="preserve">, currency, geography and period: the newest edition</w:t>
            </w:r>
          </w:p>
        </w:tc>
        <w:tc>
          <w:tcPr>
            <w:tcW w:w="3120" w:type="dxa"/>
          </w:tcPr>
          <w:p>
            <w:pPr/>
            <w:r>
              <w:rPr>
                <w:rStyle w:val="CodeChar"/>
              </w:rPr>
              <w:t xml:space="preserve">True</w:t>
            </w:r>
          </w:p>
        </w:tc>
      </w:tr>
    </w:tbl>
    <w:p>
      <w:pPr/>
      <w:r>
        <w:rPr>
          <w:rStyle w:val="CodeChar"/>
        </w:rPr>
        <w:t xml:space="preserve">series_id</w:t>
      </w:r>
      <w:r>
        <w:t xml:space="preserve"> encodes concept, measure, price concept with base year, local currency (</w:t>
      </w:r>
      <w:r>
        <w:rPr>
          <w:rStyle w:val="CodeChar"/>
        </w:rPr>
        <w:t xml:space="preserve">LCU</w:t>
      </w:r>
      <w:r>
        <w:t xml:space="preserve">) or </w:t>
      </w:r>
      <w:r>
        <w:rPr>
          <w:rStyle w:val="CodeChar"/>
        </w:rPr>
        <w:t xml:space="preserve">USD</w:t>
      </w:r>
      <w:r>
        <w:t xml:space="preserve">, frequency and seasonal adjustment. A constant-2005 series and a chained-2016 series therefore get different IDs and can never share a map.</w:t>
      </w:r>
    </w:p>
    <w:p>
      <w:pPr/>
      <w:r>
        <w:t xml:space="preserve">The mappings were checked against each country's own arithmetic. Consumption + capital formation + exports − imports equals GDP within 1% for 404 of 452 country-periods across 18 countries. Value added + net product taxes equals GDP for 17 countries. 59.6% of rows carry a code, including GDP for 52 of 53 countries.</w:t>
      </w:r>
    </w:p>
    <w:p>
      <w:pPr/>
      <w:r>
        <w:t xml:space="preserve">Three data defects were found along the way. Kenya's numeric label and the 2011–2012 columns it lost are now fixed, and Benin is now labelled XOF instead of XAF. Cameroon's current-price breakdown in the INS quarterly notes is misread and is still open, so treat Cameroon's current-price components as unreliable until it is fixed.</w:t>
      </w:r>
    </w:p>
    <w:p>
      <w:pPr/>
      <w:r>
        <w:t xml:space="preserve">Both </w:t>
      </w:r>
      <w:r>
        <w:rPr>
          <w:rStyle w:val="CodeChar"/>
        </w:rPr>
        <w:t xml:space="preserve">geography</w:t>
      </w:r>
      <w:r>
        <w:t xml:space="preserve"> values, "National" and "Total country", mean the whole country.</w:t>
      </w:r>
    </w:p>
    <w:p>
      <w:pPr>
        <w:pStyle w:val="Heading2"/>
      </w:pPr>
      <w:r>
        <w:t xml:space="preserve">The same columns for every other indicator</w:t>
      </w:r>
    </w:p>
    <w:p>
      <w:pPr/>
      <w:r>
        <w:t xml:space="preserve">All 14 indicators now carry a safe </w:t>
      </w:r>
      <w:r>
        <w:rPr>
          <w:rStyle w:val="CodeChar"/>
        </w:rPr>
        <w:t xml:space="preserve">series_id</w:t>
      </w:r>
      <w:r>
        <w:t xml:space="preserve"> and an </w:t>
      </w:r>
      <w:r>
        <w:rPr>
          <w:rStyle w:val="CodeChar"/>
        </w:rPr>
        <w:t xml:space="preserve">is_preferred</w:t>
      </w:r>
      <w:r>
        <w:t xml:space="preserve"> flag (exactly one </w:t>
      </w:r>
      <w:r>
        <w:rPr>
          <w:rStyle w:val="CodeChar"/>
        </w:rPr>
        <w:t xml:space="preserve">True</w:t>
      </w:r>
      <w:r>
        <w:t xml:space="preserve"> per observation), on the same rules as GDP. Each also gets the codes it needs: sex (</w:t>
      </w:r>
      <w:r>
        <w:rPr>
          <w:rStyle w:val="CodeChar"/>
        </w:rPr>
        <w:t xml:space="preserve">M</w:t>
      </w:r>
      <w:r>
        <w:t xml:space="preserve">/</w:t>
      </w:r>
      <w:r>
        <w:rPr>
          <w:rStyle w:val="CodeChar"/>
        </w:rPr>
        <w:t xml:space="preserve">F</w:t>
      </w:r>
      <w:r>
        <w:t xml:space="preserve">/</w:t>
      </w:r>
      <w:r>
        <w:rPr>
          <w:rStyle w:val="CodeChar"/>
        </w:rPr>
        <w:t xml:space="preserve">_T</w:t>
      </w:r>
      <w:r>
        <w:t xml:space="preserve">), age band (</w:t>
      </w:r>
      <w:r>
        <w:rPr>
          <w:rStyle w:val="CodeChar"/>
        </w:rPr>
        <w:t xml:space="preserve">Y15T24</w:t>
      </w:r>
      <w:r>
        <w:t xml:space="preserve">, </w:t>
      </w:r>
      <w:r>
        <w:rPr>
          <w:rStyle w:val="CodeChar"/>
        </w:rPr>
        <w:t xml:space="preserve">Y_GE65</w:t>
      </w:r>
      <w:r>
        <w:t xml:space="preserve">), </w:t>
      </w:r>
      <w:r>
        <w:rPr>
          <w:rStyle w:val="CodeChar"/>
        </w:rPr>
        <w:t xml:space="preserve">geography_level</w:t>
      </w:r>
      <w:r>
        <w:t xml:space="preserve">, ISO currency and scale, </w:t>
      </w:r>
      <w:r>
        <w:rPr>
          <w:rStyle w:val="CodeChar"/>
        </w:rPr>
        <w:t xml:space="preserve">value_std</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Indicator</w:t>
            </w:r>
          </w:p>
        </w:tc>
        <w:tc>
          <w:tcPr>
            <w:tcW w:w="1872" w:type="dxa"/>
            <w:shd w:val="clear" w:color="auto" w:fill="F2F2F2"/>
          </w:tcPr>
          <w:p>
            <w:pPr/>
            <w:r>
              <w:t xml:space="preserve">Concept code</w:t>
            </w:r>
          </w:p>
        </w:tc>
        <w:tc>
          <w:tcPr>
            <w:tcW w:w="1872" w:type="dxa"/>
            <w:shd w:val="clear" w:color="auto" w:fill="F2F2F2"/>
          </w:tcPr>
          <w:p>
            <w:pPr/>
            <w:r>
              <w:t xml:space="preserve">Rows with an ID</w:t>
            </w:r>
          </w:p>
        </w:tc>
        <w:tc>
          <w:tcPr>
            <w:tcW w:w="1872" w:type="dxa"/>
            <w:shd w:val="clear" w:color="auto" w:fill="F2F2F2"/>
          </w:tcPr>
          <w:p>
            <w:pPr/>
            <w:r>
              <w:t xml:space="preserve">ID example</w:t>
            </w:r>
          </w:p>
        </w:tc>
        <w:tc>
          <w:tcPr>
            <w:tcW w:w="1872" w:type="dxa"/>
            <w:shd w:val="clear" w:color="auto" w:fill="F2F2F2"/>
          </w:tcPr>
          <w:p>
            <w:pPr/>
            <w:r>
              <w:t xml:space="preserve">Check that passes</w:t>
            </w:r>
          </w:p>
        </w:tc>
      </w:tr>
      <w:tr>
        <w:tc>
          <w:tcPr>
            <w:tcW w:w="1872" w:type="dxa"/>
          </w:tcPr>
          <w:p>
            <w:pPr/>
            <w:r>
              <w:t xml:space="preserve">CPI</w:t>
            </w:r>
          </w:p>
        </w:tc>
        <w:tc>
          <w:tcPr>
            <w:tcW w:w="1872" w:type="dxa"/>
          </w:tcPr>
          <w:p>
            <w:pPr/>
            <w:r>
              <w:t xml:space="preserve">COICOP version per row</w:t>
            </w:r>
          </w:p>
        </w:tc>
        <w:tc>
          <w:tcPr>
            <w:tcW w:w="1872" w:type="dxa"/>
          </w:tcPr>
          <w:p>
            <w:pPr/>
            <w:r>
              <w:t xml:space="preserve">100%</w:t>
            </w:r>
          </w:p>
        </w:tc>
        <w:tc>
          <w:tcPr>
            <w:tcW w:w="1872" w:type="dxa"/>
          </w:tcPr>
          <w:p>
            <w:pPr/>
            <w:r>
              <w:rPr>
                <w:rStyle w:val="CodeChar"/>
              </w:rPr>
              <w:t xml:space="preserve">CPI_C2018_12_INDEX_B2023_M</w:t>
            </w:r>
          </w:p>
        </w:tc>
        <w:tc>
          <w:tcPr>
            <w:tcW w:w="1872" w:type="dxa"/>
          </w:tcPr>
          <w:p>
            <w:pPr/>
            <w:r>
              <w:t xml:space="preserve">index-derived YoY = published YoY (90% of 19,286 pairs within 0.2 points)</w:t>
            </w:r>
          </w:p>
        </w:tc>
      </w:tr>
      <w:tr>
        <w:tc>
          <w:tcPr>
            <w:tcW w:w="1872" w:type="dxa"/>
          </w:tcPr>
          <w:p>
            <w:pPr/>
            <w:r>
              <w:t xml:space="preserve">Population</w:t>
            </w:r>
          </w:p>
        </w:tc>
        <w:tc>
          <w:tcPr>
            <w:tcW w:w="1872" w:type="dxa"/>
          </w:tcPr>
          <w:p>
            <w:pPr/>
            <w:r>
              <w:t xml:space="preserve">sex, age band</w:t>
            </w:r>
          </w:p>
        </w:tc>
        <w:tc>
          <w:tcPr>
            <w:tcW w:w="1872" w:type="dxa"/>
          </w:tcPr>
          <w:p>
            <w:pPr/>
            <w:r>
              <w:t xml:space="preserve">100%</w:t>
            </w:r>
          </w:p>
        </w:tc>
        <w:tc>
          <w:tcPr>
            <w:tcW w:w="1872" w:type="dxa"/>
          </w:tcPr>
          <w:p>
            <w:pPr/>
            <w:r>
              <w:rPr>
                <w:rStyle w:val="CodeChar"/>
              </w:rPr>
              <w:t xml:space="preserve">POP_COUNT_F_Y15T19</w:t>
            </w:r>
          </w:p>
        </w:tc>
        <w:tc>
          <w:tcPr>
            <w:tcW w:w="1872" w:type="dxa"/>
          </w:tcPr>
          <w:p>
            <w:pPr/>
            <w:r>
              <w:t xml:space="preserve">age bands sum to the total (99.6% of 17,386)</w:t>
            </w:r>
          </w:p>
        </w:tc>
      </w:tr>
      <w:tr>
        <w:tc>
          <w:tcPr>
            <w:tcW w:w="1872" w:type="dxa"/>
          </w:tcPr>
          <w:p>
            <w:pPr/>
            <w:r>
              <w:t xml:space="preserve">Unemployment</w:t>
            </w:r>
          </w:p>
        </w:tc>
        <w:tc>
          <w:tcPr>
            <w:tcW w:w="1872" w:type="dxa"/>
          </w:tcPr>
          <w:p>
            <w:pPr/>
            <w:r>
              <w:rPr>
                <w:rStyle w:val="CodeChar"/>
              </w:rPr>
              <w:t xml:space="preserve">UNE_RATE</w:t>
            </w:r>
            <w:r>
              <w:t xml:space="preserve">, </w:t>
            </w:r>
            <w:r>
              <w:rPr>
                <w:rStyle w:val="CodeChar"/>
              </w:rPr>
              <w:t xml:space="preserve">LFPR</w:t>
            </w:r>
            <w:r>
              <w:t xml:space="preserve">, </w:t>
            </w:r>
            <w:r>
              <w:rPr>
                <w:rStyle w:val="CodeChar"/>
              </w:rPr>
              <w:t xml:space="preserve">EPR</w:t>
            </w:r>
            <w:r>
              <w:t xml:space="preserve">, </w:t>
            </w:r>
            <w:r>
              <w:rPr>
                <w:rStyle w:val="CodeChar"/>
              </w:rPr>
              <w:t xml:space="preserve">LU1</w:t>
            </w:r>
            <w:r>
              <w:t xml:space="preserve">–</w:t>
            </w:r>
            <w:r>
              <w:rPr>
                <w:rStyle w:val="CodeChar"/>
              </w:rPr>
              <w:t xml:space="preserve">LU4</w:t>
            </w:r>
          </w:p>
        </w:tc>
        <w:tc>
          <w:tcPr>
            <w:tcW w:w="1872" w:type="dxa"/>
          </w:tcPr>
          <w:p>
            <w:pPr/>
            <w:r>
              <w:t xml:space="preserve">86.4%</w:t>
            </w:r>
          </w:p>
        </w:tc>
        <w:tc>
          <w:tcPr>
            <w:tcW w:w="1872" w:type="dxa"/>
          </w:tcPr>
          <w:p>
            <w:pPr/>
            <w:r>
              <w:t xml:space="preserve">definition, ILO convention (ICLS13/19) and working-age base are in the ID</w:t>
            </w:r>
          </w:p>
        </w:tc>
        <w:tc>
          <w:tcPr>
            <w:tcW w:w="1872" w:type="dxa"/>
          </w:tcPr>
          <w:p>
            <w:pPr/>
            <w:r>
              <w:t xml:space="preserve">rate = unemployed / labour force; labour force = employed + unemployed</w:t>
            </w:r>
          </w:p>
        </w:tc>
      </w:tr>
      <w:tr>
        <w:tc>
          <w:tcPr>
            <w:tcW w:w="1872" w:type="dxa"/>
          </w:tcPr>
          <w:p>
            <w:pPr/>
            <w:r>
              <w:t xml:space="preserve">Labour</w:t>
            </w:r>
          </w:p>
        </w:tc>
        <w:tc>
          <w:tcPr>
            <w:tcW w:w="1872" w:type="dxa"/>
          </w:tcPr>
          <w:p>
            <w:pPr/>
            <w:r>
              <w:t xml:space="preserve">ISIC section, ISCO major group, status in employment (ICSE-93), formality</w:t>
            </w:r>
          </w:p>
        </w:tc>
        <w:tc>
          <w:tcPr>
            <w:tcW w:w="1872" w:type="dxa"/>
          </w:tcPr>
          <w:p>
            <w:pPr/>
            <w:r>
              <w:t xml:space="preserve">68.9%</w:t>
            </w:r>
          </w:p>
        </w:tc>
        <w:tc>
          <w:tcPr>
            <w:tcW w:w="1872" w:type="dxa"/>
          </w:tcPr>
          <w:p>
            <w:pPr/>
          </w:p>
        </w:tc>
        <w:tc>
          <w:tcPr>
            <w:tcW w:w="1872" w:type="dxa"/>
          </w:tcPr>
          <w:p>
            <w:pPr/>
            <w:r>
              <w:t xml:space="preserve">categories sum to the table total (3,184 of 3,188)</w:t>
            </w:r>
          </w:p>
        </w:tc>
      </w:tr>
      <w:tr>
        <w:tc>
          <w:tcPr>
            <w:tcW w:w="1872" w:type="dxa"/>
          </w:tcPr>
          <w:p>
            <w:pPr/>
            <w:r>
              <w:t xml:space="preserve">Public debt</w:t>
            </w:r>
          </w:p>
        </w:tc>
        <w:tc>
          <w:tcPr>
            <w:tcW w:w="1872" w:type="dxa"/>
          </w:tcPr>
          <w:p>
            <w:pPr/>
            <w:r>
              <w:t xml:space="preserve">total, external, domestic, creditor, instrument + </w:t>
            </w:r>
            <w:r>
              <w:rPr>
                <w:rStyle w:val="CodeChar"/>
              </w:rPr>
              <w:t xml:space="preserve">coverage_code</w:t>
            </w:r>
          </w:p>
        </w:tc>
        <w:tc>
          <w:tcPr>
            <w:tcW w:w="1872" w:type="dxa"/>
          </w:tcPr>
          <w:p>
            <w:pPr/>
            <w:r>
              <w:t xml:space="preserve">36.5%</w:t>
            </w:r>
          </w:p>
        </w:tc>
        <w:tc>
          <w:tcPr>
            <w:tcW w:w="1872" w:type="dxa"/>
          </w:tcPr>
          <w:p>
            <w:pPr/>
            <w:r>
              <w:rPr>
                <w:rStyle w:val="CodeChar"/>
              </w:rPr>
              <w:t xml:space="preserve">DEBT_TOTAL_CG_STOCK_USD_A</w:t>
            </w:r>
          </w:p>
        </w:tc>
        <w:tc>
          <w:tcPr>
            <w:tcW w:w="1872" w:type="dxa"/>
          </w:tcPr>
          <w:p>
            <w:pPr/>
            <w:r>
              <w:t xml:space="preserve">external + domestic = total (29 of 30 countries)</w:t>
            </w:r>
          </w:p>
        </w:tc>
      </w:tr>
      <w:tr>
        <w:tc>
          <w:tcPr>
            <w:tcW w:w="1872" w:type="dxa"/>
          </w:tcPr>
          <w:p>
            <w:pPr/>
            <w:r>
              <w:t xml:space="preserve">MPI</w:t>
            </w:r>
          </w:p>
        </w:tc>
        <w:tc>
          <w:tcPr>
            <w:tcW w:w="1872" w:type="dxa"/>
          </w:tcPr>
          <w:p>
            <w:pPr/>
            <w:r>
              <w:t xml:space="preserve">breakdown; the </w:t>
            </w:r>
            <w:r>
              <w:rPr>
                <w:b/>
              </w:rPr>
              <w:t xml:space="preserve">measure</w:t>
            </w:r>
            <w:r>
              <w:t xml:space="preserve"> is in the ID</w:t>
            </w:r>
          </w:p>
        </w:tc>
        <w:tc>
          <w:tcPr>
            <w:tcW w:w="1872" w:type="dxa"/>
          </w:tcPr>
          <w:p>
            <w:pPr/>
            <w:r>
              <w:t xml:space="preserve">91.4%</w:t>
            </w:r>
          </w:p>
        </w:tc>
        <w:tc>
          <w:tcPr>
            <w:tcW w:w="1872" w:type="dxa"/>
          </w:tcPr>
          <w:p>
            <w:pPr/>
            <w:r>
              <w:rPr>
                <w:rStyle w:val="CodeChar"/>
              </w:rPr>
              <w:t xml:space="preserve">MPI_GHANA_MPI_PHC_2021_INCIDENCE_H_T_T</w:t>
            </w:r>
          </w:p>
        </w:tc>
        <w:tc>
          <w:tcPr>
            <w:tcW w:w="1872" w:type="dxa"/>
          </w:tcPr>
          <w:p>
            <w:pPr/>
            <w:r>
              <w:t xml:space="preserve">M0 = H × A (all 957 triples)</w:t>
            </w:r>
          </w:p>
        </w:tc>
      </w:tr>
      <w:tr>
        <w:tc>
          <w:tcPr>
            <w:tcW w:w="1872" w:type="dxa"/>
          </w:tcPr>
          <w:p>
            <w:pPr/>
            <w:r>
              <w:t xml:space="preserve">Trade, PPI, school enrolment, census characteristics, education, fertility, mortality</w:t>
            </w:r>
          </w:p>
        </w:tc>
        <w:tc>
          <w:tcPr>
            <w:tcW w:w="1872" w:type="dxa"/>
          </w:tcPr>
          <w:p>
            <w:pPr/>
            <w:r>
              <w:t xml:space="preserve">HS2, ISIC, ISCED, slugs</w:t>
            </w:r>
          </w:p>
        </w:tc>
        <w:tc>
          <w:tcPr>
            <w:tcW w:w="1872" w:type="dxa"/>
          </w:tcPr>
          <w:p>
            <w:pPr/>
            <w:r>
              <w:t xml:space="preserve">70.6–100%</w:t>
            </w:r>
          </w:p>
        </w:tc>
        <w:tc>
          <w:tcPr>
            <w:tcW w:w="1872" w:type="dxa"/>
          </w:tcPr>
          <w:p>
            <w:pPr/>
            <w:r>
              <w:rPr>
                <w:rStyle w:val="CodeChar"/>
              </w:rPr>
              <w:t xml:space="preserve">TRADE_EXPORT_HS2_01_USD_A</w:t>
            </w:r>
          </w:p>
        </w:tc>
        <w:tc>
          <w:tcPr>
            <w:tcW w:w="1872" w:type="dxa"/>
          </w:tcPr>
          <w:p>
            <w:pPr/>
            <w:r>
              <w:t xml:space="preserve">trade totals; categories sum to the total</w:t>
            </w:r>
          </w:p>
        </w:tc>
      </w:tr>
    </w:tbl>
    <w:p>
      <w:pPr/>
      <w:r>
        <w:t xml:space="preserve">Four rules matter for the app:</w:t>
      </w:r>
    </w:p>
    <w:p>
      <w:pPr>
        <w:pStyle w:val="ListParagraph"/>
        <w:numPr>
          <w:ilvl w:val="0"/>
          <w:numId w:val="4"/>
        </w:numPr>
      </w:pPr>
      <w:r>
        <w:rPr>
          <w:b/>
        </w:rPr>
        <w:t xml:space="preserve">CPI division 12 changes meaning at a rebase.</w:t>
      </w:r>
      <w:r>
        <w:t xml:space="preserve"> It is "Miscellaneous" before and "Insurance and financial services" after, in Mali, Mauritius, Nigeria, Togo and Guinea-Bissau. The COICOP version is in the ID, so never chart a code without it. Compare CPI across countries with inflation rates, not index levels.</w:t>
      </w:r>
    </w:p>
    <w:p>
      <w:pPr>
        <w:pStyle w:val="ListParagraph"/>
        <w:numPr>
          <w:ilvl w:val="0"/>
          <w:numId w:val="4"/>
        </w:numPr>
      </w:pPr>
      <w:r>
        <w:rPr>
          <w:b/>
        </w:rPr>
        <w:t xml:space="preserve">Population's census, estimate and projection share one ID</w:t>
      </w:r>
      <w:r>
        <w:t xml:space="preserve">, because they measure the same quantity in different ways. </w:t>
      </w:r>
      <w:r>
        <w:rPr>
          <w:rStyle w:val="CodeChar"/>
        </w:rPr>
        <w:t xml:space="preserve">is_preferred</w:t>
      </w:r>
      <w:r>
        <w:t xml:space="preserve"> picks census, then estimate, then projection; </w:t>
      </w:r>
      <w:r>
        <w:rPr>
          <w:rStyle w:val="CodeChar"/>
        </w:rPr>
        <w:t xml:space="preserve">series_type</w:t>
      </w:r>
      <w:r>
        <w:t xml:space="preserve"> says which each row is.</w:t>
      </w:r>
    </w:p>
    <w:p>
      <w:pPr>
        <w:pStyle w:val="ListParagraph"/>
        <w:numPr>
          <w:ilvl w:val="0"/>
          <w:numId w:val="4"/>
        </w:numPr>
      </w:pPr>
      <w:r>
        <w:rPr>
          <w:b/>
        </w:rPr>
        <w:t xml:space="preserve">Each national MPI is its own design</w:t>
      </w:r>
      <w:r>
        <w:t xml:space="preserve">, so two countries' MPIs never share an ID.</w:t>
      </w:r>
    </w:p>
    <w:p>
      <w:pPr>
        <w:pStyle w:val="ListParagraph"/>
        <w:numPr>
          <w:ilvl w:val="0"/>
          <w:numId w:val="4"/>
        </w:numPr>
      </w:pPr>
      <w:r>
        <w:rPr>
          <w:b/>
        </w:rPr>
        <w:t xml:space="preserve">Census-characteristic and education category codes are slugs of the published label</w:t>
      </w:r>
      <w:r>
        <w:t xml:space="preserve"> (</w:t>
      </w:r>
      <w:r>
        <w:rPr>
          <w:rStyle w:val="CodeChar"/>
        </w:rPr>
        <w:t xml:space="preserve">NEVER_MARRIED</w:t>
      </w:r>
      <w:r>
        <w:t xml:space="preserve">). They are safe, but not harmonised across countries.</w:t>
      </w:r>
    </w:p>
    <w:p>
      <w:pPr>
        <w:pStyle w:val="Heading2"/>
      </w:pPr>
      <w:r>
        <w:t>Data corrections</w:t>
      </w:r>
    </w:p>
    <w:p>
      <w:pPr/>
      <w:r>
        <w:t>Reload the eight output files named in the two tables below: each had a parser defect that is now fixed. Every other file is unchanged. The latest fix is four 2025 values in indicators/unemployment/out/morocco_unemployment.csv:</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Fixed</w:t>
            </w:r>
          </w:p>
        </w:tc>
        <w:tc>
          <w:tcPr>
            <w:tcW w:type="dxa" w:w="1560"/>
          </w:tcPr>
          <w:p>
            <w:r>
              <w:t>Indicator</w:t>
            </w:r>
          </w:p>
        </w:tc>
        <w:tc>
          <w:tcPr>
            <w:tcW w:type="dxa" w:w="1560"/>
          </w:tcPr>
          <w:p>
            <w:r>
              <w:t>Country</w:t>
            </w:r>
          </w:p>
        </w:tc>
        <w:tc>
          <w:tcPr>
            <w:tcW w:type="dxa" w:w="1560"/>
          </w:tcPr>
          <w:p>
            <w:r>
              <w:t>Rows</w:t>
            </w:r>
          </w:p>
        </w:tc>
        <w:tc>
          <w:tcPr>
            <w:tcW w:type="dxa" w:w="1560"/>
          </w:tcPr>
          <w:p>
            <w:r>
              <w:t>Was (thousands)</w:t>
            </w:r>
          </w:p>
        </w:tc>
        <w:tc>
          <w:tcPr>
            <w:tcW w:type="dxa" w:w="1560"/>
          </w:tcPr>
          <w:p>
            <w:r>
              <w:t>Now (thousands)</w:t>
            </w:r>
          </w:p>
        </w:tc>
      </w:tr>
      <w:tr>
        <w:tc>
          <w:tcPr>
            <w:tcW w:type="dxa" w:w="1560"/>
          </w:tcPr>
          <w:p>
            <w:r>
              <w:t>2026-10-17</w:t>
            </w:r>
          </w:p>
        </w:tc>
        <w:tc>
          <w:tcPr>
            <w:tcW w:type="dxa" w:w="1560"/>
          </w:tcPr>
          <w:p>
            <w:r>
              <w:t>Unemployment</w:t>
            </w:r>
          </w:p>
        </w:tc>
        <w:tc>
          <w:tcPr>
            <w:tcW w:type="dxa" w:w="1560"/>
          </w:tcPr>
          <w:p>
            <w:r>
              <w:t>Morocco</w:t>
            </w:r>
          </w:p>
        </w:tc>
        <w:tc>
          <w:tcPr>
            <w:tcW w:type="dxa" w:w="1560"/>
          </w:tcPr>
          <w:p>
            <w:r>
              <w:t>2025 annual unemployed, male (UNE_UNE_WA15P_A_M_T)</w:t>
            </w:r>
          </w:p>
        </w:tc>
        <w:tc>
          <w:tcPr>
            <w:tcW w:type="dxa" w:w="1560"/>
          </w:tcPr>
          <w:p>
            <w:r>
              <w:t>1630</w:t>
            </w:r>
          </w:p>
        </w:tc>
        <w:tc>
          <w:tcPr>
            <w:tcW w:type="dxa" w:w="1560"/>
          </w:tcPr>
          <w:p>
            <w:r>
              <w:t>1052</w:t>
            </w:r>
          </w:p>
        </w:tc>
      </w:tr>
      <w:tr>
        <w:tc>
          <w:tcPr>
            <w:tcW w:type="dxa" w:w="1560"/>
          </w:tcPr>
          <w:p>
            <w:r>
              <w:t>2026-10-17</w:t>
            </w:r>
          </w:p>
        </w:tc>
        <w:tc>
          <w:tcPr>
            <w:tcW w:type="dxa" w:w="1560"/>
          </w:tcPr>
          <w:p>
            <w:r>
              <w:t>Unemployment</w:t>
            </w:r>
          </w:p>
        </w:tc>
        <w:tc>
          <w:tcPr>
            <w:tcW w:type="dxa" w:w="1560"/>
          </w:tcPr>
          <w:p>
            <w:r>
              <w:t>Morocco</w:t>
            </w:r>
          </w:p>
        </w:tc>
        <w:tc>
          <w:tcPr>
            <w:tcW w:type="dxa" w:w="1560"/>
          </w:tcPr>
          <w:p>
            <w:r>
              <w:t>2025 annual unemployed, female (UNE_UNE_WA15P_A_F_T)</w:t>
            </w:r>
          </w:p>
        </w:tc>
        <w:tc>
          <w:tcPr>
            <w:tcW w:type="dxa" w:w="1560"/>
          </w:tcPr>
          <w:p>
            <w:r>
              <w:t>1595</w:t>
            </w:r>
          </w:p>
        </w:tc>
        <w:tc>
          <w:tcPr>
            <w:tcW w:type="dxa" w:w="1560"/>
          </w:tcPr>
          <w:p>
            <w:r>
              <w:t>569</w:t>
            </w:r>
          </w:p>
        </w:tc>
      </w:tr>
      <w:tr>
        <w:tc>
          <w:tcPr>
            <w:tcW w:type="dxa" w:w="1560"/>
          </w:tcPr>
          <w:p>
            <w:r>
              <w:t>2026-10-17</w:t>
            </w:r>
          </w:p>
        </w:tc>
        <w:tc>
          <w:tcPr>
            <w:tcW w:type="dxa" w:w="1560"/>
          </w:tcPr>
          <w:p>
            <w:r>
              <w:t>Unemployment</w:t>
            </w:r>
          </w:p>
        </w:tc>
        <w:tc>
          <w:tcPr>
            <w:tcW w:type="dxa" w:w="1560"/>
          </w:tcPr>
          <w:p>
            <w:r>
              <w:t>Morocco</w:t>
            </w:r>
          </w:p>
        </w:tc>
        <w:tc>
          <w:tcPr>
            <w:tcW w:type="dxa" w:w="1560"/>
          </w:tcPr>
          <w:p>
            <w:r>
              <w:t>2025 annual unemployed, urban (UNE_UNE_WA15P_A_T_T_URB)</w:t>
            </w:r>
          </w:p>
        </w:tc>
        <w:tc>
          <w:tcPr>
            <w:tcW w:type="dxa" w:w="1560"/>
          </w:tcPr>
          <w:p>
            <w:r>
              <w:t>1629</w:t>
            </w:r>
          </w:p>
        </w:tc>
        <w:tc>
          <w:tcPr>
            <w:tcW w:type="dxa" w:w="1560"/>
          </w:tcPr>
          <w:p>
            <w:r>
              <w:t>1333</w:t>
            </w:r>
          </w:p>
        </w:tc>
      </w:tr>
      <w:tr>
        <w:tc>
          <w:tcPr>
            <w:tcW w:type="dxa" w:w="1560"/>
          </w:tcPr>
          <w:p>
            <w:r>
              <w:t>2026-10-17</w:t>
            </w:r>
          </w:p>
        </w:tc>
        <w:tc>
          <w:tcPr>
            <w:tcW w:type="dxa" w:w="1560"/>
          </w:tcPr>
          <w:p>
            <w:r>
              <w:t>Unemployment</w:t>
            </w:r>
          </w:p>
        </w:tc>
        <w:tc>
          <w:tcPr>
            <w:tcW w:type="dxa" w:w="1560"/>
          </w:tcPr>
          <w:p>
            <w:r>
              <w:t>Morocco</w:t>
            </w:r>
          </w:p>
        </w:tc>
        <w:tc>
          <w:tcPr>
            <w:tcW w:type="dxa" w:w="1560"/>
          </w:tcPr>
          <w:p>
            <w:r>
              <w:t>2025 annual unemployed, rural (UNE_UNE_WA15P_A_T_T_RUR)</w:t>
            </w:r>
          </w:p>
        </w:tc>
        <w:tc>
          <w:tcPr>
            <w:tcW w:type="dxa" w:w="1560"/>
          </w:tcPr>
          <w:p>
            <w:r>
              <w:t>1647</w:t>
            </w:r>
          </w:p>
        </w:tc>
        <w:tc>
          <w:tcPr>
            <w:tcW w:type="dxa" w:w="1560"/>
          </w:tcPr>
          <w:p>
            <w:r>
              <w:t>288</w:t>
            </w:r>
          </w:p>
        </w:tc>
      </w:tr>
    </w:tbl>
    <w:p>
      <w:pPr/>
      <w:r>
        <w:t>The old values were the report's quarterly national totals, filed under the sex and urban/rural cells. Each corrected count divided by its labour force now reproduces HCP's published rate (10.8%, 20.5%, 16.4%, 6.6%). The national total (1621) and every other row are unchanged. A re-check of all 106 unemployment, labour and MPI reports found no other case.</w:t>
      </w:r>
    </w:p>
    <w:p>
      <w:pPr>
        <w:pStyle w:val="Heading3"/>
      </w:pPr>
      <w:r>
        <w:t>Earlier parser fixes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Fixed</w:t>
            </w:r>
          </w:p>
        </w:tc>
        <w:tc>
          <w:tcPr>
            <w:tcW w:type="dxa" w:w="1560"/>
          </w:tcPr>
          <w:p>
            <w:r>
              <w:t>Indicator</w:t>
            </w:r>
          </w:p>
        </w:tc>
        <w:tc>
          <w:tcPr>
            <w:tcW w:type="dxa" w:w="1560"/>
          </w:tcPr>
          <w:p>
            <w:r>
              <w:t>Country</w:t>
            </w:r>
          </w:p>
        </w:tc>
        <w:tc>
          <w:tcPr>
            <w:tcW w:type="dxa" w:w="1560"/>
          </w:tcPr>
          <w:p>
            <w:r>
              <w:t>File in out/</w:t>
            </w:r>
          </w:p>
        </w:tc>
        <w:tc>
          <w:tcPr>
            <w:tcW w:type="dxa" w:w="1560"/>
          </w:tcPr>
          <w:p>
            <w:r>
              <w:t>What was wrong</w:t>
            </w:r>
          </w:p>
        </w:tc>
        <w:tc>
          <w:tcPr>
            <w:tcW w:type="dxa" w:w="1560"/>
          </w:tcPr>
          <w:p>
            <w:r>
              <w:t>What changed</w:t>
            </w:r>
          </w:p>
        </w:tc>
      </w:tr>
      <w:tr>
        <w:tc>
          <w:tcPr>
            <w:tcW w:type="dxa" w:w="1560"/>
          </w:tcPr>
          <w:p>
            <w:r>
              <w:t>2026-10-15</w:t>
            </w:r>
          </w:p>
        </w:tc>
        <w:tc>
          <w:tcPr>
            <w:tcW w:type="dxa" w:w="1560"/>
          </w:tcPr>
          <w:p>
            <w:r>
              <w:t>GDP</w:t>
            </w:r>
          </w:p>
        </w:tc>
        <w:tc>
          <w:tcPr>
            <w:tcW w:type="dxa" w:w="1560"/>
          </w:tcPr>
          <w:p>
            <w:r>
              <w:t>Cameroon</w:t>
            </w:r>
          </w:p>
        </w:tc>
        <w:tc>
          <w:tcPr>
            <w:tcW w:type="dxa" w:w="1560"/>
          </w:tcPr>
          <w:p>
            <w:r>
              <w:t>cameroon_gdp.csv</w:t>
            </w:r>
          </w:p>
        </w:tc>
        <w:tc>
          <w:tcPr>
            <w:tcW w:type="dxa" w:w="1560"/>
          </w:tcPr>
          <w:p>
            <w:r>
              <w:t>Current-price levels printed without a thousands space were split ("6972,9" read as 697 and 2,9), and minus signs were dropped</w:t>
            </w:r>
          </w:p>
        </w:tc>
        <w:tc>
          <w:tcPr>
            <w:tcW w:type="dxa" w:w="1560"/>
          </w:tcPr>
          <w:p>
            <w:r>
              <w:t>395 values corrected, including past levels and negative changes in inventories. Expenditure now sums to GDP</w:t>
            </w:r>
          </w:p>
        </w:tc>
      </w:tr>
      <w:tr>
        <w:tc>
          <w:tcPr>
            <w:tcW w:type="dxa" w:w="1560"/>
          </w:tcPr>
          <w:p>
            <w:r>
              <w:t>2026-10-15</w:t>
            </w:r>
          </w:p>
        </w:tc>
        <w:tc>
          <w:tcPr>
            <w:tcW w:type="dxa" w:w="1560"/>
          </w:tcPr>
          <w:p>
            <w:r>
              <w:t>GDP</w:t>
            </w:r>
          </w:p>
        </w:tc>
        <w:tc>
          <w:tcPr>
            <w:tcW w:type="dxa" w:w="1560"/>
          </w:tcPr>
          <w:p>
            <w:r>
              <w:t>Gambia</w:t>
            </w:r>
          </w:p>
        </w:tc>
        <w:tc>
          <w:tcPr>
            <w:tcW w:type="dxa" w:w="1560"/>
          </w:tcPr>
          <w:p>
            <w:r>
              <w:t>gambia_gdp.csv</w:t>
            </w:r>
          </w:p>
        </w:tc>
        <w:tc>
          <w:tcPr>
            <w:tcW w:type="dxa" w:w="1560"/>
          </w:tcPr>
          <w:p>
            <w:r>
              <w:t>Memo rows (growth rates, GDP per capita, discrepancy %) were stored as dalasi levels, e.g. "Industry" = -0.018 GMD; category_group was blank</w:t>
            </w:r>
          </w:p>
        </w:tc>
        <w:tc>
          <w:tcPr>
            <w:tcW w:type="dxa" w:w="1560"/>
          </w:tcPr>
          <w:p>
            <w:r>
              <w:t>Each memo row has its real measure and unit, or is dropped; category_group is filled</w:t>
            </w:r>
          </w:p>
        </w:tc>
      </w:tr>
      <w:tr>
        <w:tc>
          <w:tcPr>
            <w:tcW w:type="dxa" w:w="1560"/>
          </w:tcPr>
          <w:p>
            <w:r>
              <w:t>2026-10-15</w:t>
            </w:r>
          </w:p>
        </w:tc>
        <w:tc>
          <w:tcPr>
            <w:tcW w:type="dxa" w:w="1560"/>
          </w:tcPr>
          <w:p>
            <w:r>
              <w:t>GDP</w:t>
            </w:r>
          </w:p>
        </w:tc>
        <w:tc>
          <w:tcPr>
            <w:tcW w:type="dxa" w:w="1560"/>
          </w:tcPr>
          <w:p>
            <w:r>
              <w:t>Kenya</w:t>
            </w:r>
          </w:p>
        </w:tc>
        <w:tc>
          <w:tcPr>
            <w:tcW w:type="dxa" w:w="1560"/>
          </w:tcPr>
          <w:p>
            <w:r>
              <w:t>kenya_gdp.csv</w:t>
            </w:r>
          </w:p>
        </w:tc>
        <w:tc>
          <w:tcPr>
            <w:tcW w:type="dxa" w:w="1560"/>
          </w:tcPr>
          <w:p>
            <w:r>
              <w:t>The 2018 Statistical Abstract prints years as "2,011 2,012", so the 2011 and 2012 columns of every table were dropped</w:t>
            </w:r>
          </w:p>
        </w:tc>
        <w:tc>
          <w:tcPr>
            <w:tcW w:type="dxa" w:w="1560"/>
          </w:tcPr>
          <w:p>
            <w:r>
              <w:t>2011 and 2012 are now collected</w:t>
            </w:r>
          </w:p>
        </w:tc>
      </w:tr>
      <w:tr>
        <w:tc>
          <w:tcPr>
            <w:tcW w:type="dxa" w:w="1560"/>
          </w:tcPr>
          <w:p>
            <w:r>
              <w:t>2026-10-15</w:t>
            </w:r>
          </w:p>
        </w:tc>
        <w:tc>
          <w:tcPr>
            <w:tcW w:type="dxa" w:w="1560"/>
          </w:tcPr>
          <w:p>
            <w:r>
              <w:t>GDP</w:t>
            </w:r>
          </w:p>
        </w:tc>
        <w:tc>
          <w:tcPr>
            <w:tcW w:type="dxa" w:w="1560"/>
          </w:tcPr>
          <w:p>
            <w:r>
              <w:t>Benin</w:t>
            </w:r>
          </w:p>
        </w:tc>
        <w:tc>
          <w:tcPr>
            <w:tcW w:type="dxa" w:w="1560"/>
          </w:tcPr>
          <w:p>
            <w:r>
              <w:t>benin_gdp.csv</w:t>
            </w:r>
          </w:p>
        </w:tc>
        <w:tc>
          <w:tcPr>
            <w:tcW w:type="dxa" w:w="1560"/>
          </w:tcPr>
          <w:p>
            <w:r>
              <w:t>Currency was XAF</w:t>
            </w:r>
          </w:p>
        </w:tc>
        <w:tc>
          <w:tcPr>
            <w:tcW w:type="dxa" w:w="1560"/>
          </w:tcPr>
          <w:p>
            <w:r>
              <w:t>Currency is XOF (Benin is in the WAEMU zone)</w:t>
            </w:r>
          </w:p>
        </w:tc>
      </w:tr>
      <w:tr>
        <w:tc>
          <w:tcPr>
            <w:tcW w:type="dxa" w:w="1560"/>
          </w:tcPr>
          <w:p>
            <w:r>
              <w:t>2026-10-15</w:t>
            </w:r>
          </w:p>
        </w:tc>
        <w:tc>
          <w:tcPr>
            <w:tcW w:type="dxa" w:w="1560"/>
          </w:tcPr>
          <w:p>
            <w:r>
              <w:t>Unemployment</w:t>
            </w:r>
          </w:p>
        </w:tc>
        <w:tc>
          <w:tcPr>
            <w:tcW w:type="dxa" w:w="1560"/>
          </w:tcPr>
          <w:p>
            <w:r>
              <w:t>Angola</w:t>
            </w:r>
          </w:p>
        </w:tc>
        <w:tc>
          <w:tcPr>
            <w:tcW w:type="dxa" w:w="1560"/>
          </w:tcPr>
          <w:p>
            <w:r>
              <w:t>angola_unemployment.csv</w:t>
            </w:r>
          </w:p>
        </w:tc>
        <w:tc>
          <w:tcPr>
            <w:tcW w:type="dxa" w:w="1560"/>
          </w:tcPr>
          <w:p>
            <w:r>
              <w:t>The workbooks print "Homens"; the parser only matched "homem"</w:t>
            </w:r>
          </w:p>
        </w:tc>
        <w:tc>
          <w:tcPr>
            <w:tcW w:type="dxa" w:w="1560"/>
          </w:tcPr>
          <w:p>
            <w:r>
              <w:t>123 men's rows that were filed as female are now male</w:t>
            </w:r>
          </w:p>
        </w:tc>
      </w:tr>
      <w:tr>
        <w:tc>
          <w:tcPr>
            <w:tcW w:type="dxa" w:w="1560"/>
          </w:tcPr>
          <w:p>
            <w:r>
              <w:t>2026-10-15</w:t>
            </w:r>
          </w:p>
        </w:tc>
        <w:tc>
          <w:tcPr>
            <w:tcW w:type="dxa" w:w="1560"/>
          </w:tcPr>
          <w:p>
            <w:r>
              <w:t>Unemployment</w:t>
            </w:r>
          </w:p>
        </w:tc>
        <w:tc>
          <w:tcPr>
            <w:tcW w:type="dxa" w:w="1560"/>
          </w:tcPr>
          <w:p>
            <w:r>
              <w:t>Mauritania</w:t>
            </w:r>
          </w:p>
        </w:tc>
        <w:tc>
          <w:tcPr>
            <w:tcW w:type="dxa" w:w="1560"/>
          </w:tcPr>
          <w:p>
            <w:r>
              <w:t>mauritania_unemployment.csv</w:t>
            </w:r>
          </w:p>
        </w:tc>
        <w:tc>
          <w:tcPr>
            <w:tcW w:type="dxa" w:w="1560"/>
          </w:tcPr>
          <w:p>
            <w:r>
              <w:t>Seven sampling zones were filed as urban or rural, colliding with the urban and rural totals</w:t>
            </w:r>
          </w:p>
        </w:tc>
        <w:tc>
          <w:tcPr>
            <w:tcW w:type="dxa" w:w="1560"/>
          </w:tcPr>
          <w:p>
            <w:r>
              <w:t>Zones are locality "other", with the zone name in locality_label</w:t>
            </w:r>
          </w:p>
        </w:tc>
      </w:tr>
      <w:tr>
        <w:tc>
          <w:tcPr>
            <w:tcW w:type="dxa" w:w="1560"/>
          </w:tcPr>
          <w:p>
            <w:r>
              <w:t>2026-10-15</w:t>
            </w:r>
          </w:p>
        </w:tc>
        <w:tc>
          <w:tcPr>
            <w:tcW w:type="dxa" w:w="1560"/>
          </w:tcPr>
          <w:p>
            <w:r>
              <w:t>Labour</w:t>
            </w:r>
          </w:p>
        </w:tc>
        <w:tc>
          <w:tcPr>
            <w:tcW w:type="dxa" w:w="1560"/>
          </w:tcPr>
          <w:p>
            <w:r>
              <w:t>Mali</w:t>
            </w:r>
          </w:p>
        </w:tc>
        <w:tc>
          <w:tcPr>
            <w:tcW w:type="dxa" w:w="1560"/>
          </w:tcPr>
          <w:p>
            <w:r>
              <w:t>mali_labour.csv</w:t>
            </w:r>
          </w:p>
        </w:tc>
        <w:tc>
          <w:tcPr>
            <w:tcW w:type="dxa" w:w="1560"/>
          </w:tcPr>
          <w:p>
            <w:r>
              <w:t>The Bamako and "Autres Villes" sub-strata were filed as urban, so one series held three values per quarter</w:t>
            </w:r>
          </w:p>
        </w:tc>
        <w:tc>
          <w:tcPr>
            <w:tcW w:type="dxa" w:w="1560"/>
          </w:tcPr>
          <w:p>
            <w:r>
              <w:t>"Autres Villes" is locality "other"; the Bamako stratum row is dropped where it repeats the Bamako region row</w:t>
            </w:r>
          </w:p>
        </w:tc>
      </w:tr>
    </w:tbl>
    <w:p>
      <w:pPr/>
      <w:r>
        <w:t>Both the published columns and the standardised columns derived from them changed in these files, so reload them whole rather than patching values.</w:t>
      </w:r>
    </w:p>
    <w:p>
      <w:pPr>
        <w:pStyle w:val="Heading2"/>
      </w:pPr>
      <w:r>
        <w:t xml:space="preserve">What to change in the app</w:t>
      </w:r>
    </w:p>
    <w:p>
      <w:pPr/>
      <w:r>
        <w:t xml:space="preserve">Build variables from the standardised columns in the next section, never from the published labels.</w:t>
      </w:r>
    </w:p>
    <w:p>
      <w:pPr>
        <w:pStyle w:val="ListParagraph"/>
        <w:numPr>
          <w:ilvl w:val="0"/>
          <w:numId w:val="5"/>
        </w:numPr>
      </w:pPr>
      <w:r>
        <w:t xml:space="preserve">☐ Use series_id as the variable ID and series_name as the display name. Do not build either from </w:t>
      </w:r>
      <w:r>
        <w:rPr>
          <w:rStyle w:val="CodeChar"/>
        </w:rPr>
        <w:t xml:space="preserve">category</w:t>
      </w:r>
      <w:r>
        <w:t xml:space="preserve">, </w:t>
      </w:r>
      <w:r>
        <w:rPr>
          <w:rStyle w:val="CodeChar"/>
        </w:rPr>
        <w:t xml:space="preserve">series_code</w:t>
      </w:r>
      <w:r>
        <w:t xml:space="preserve">, </w:t>
      </w:r>
      <w:r>
        <w:rPr>
          <w:rStyle w:val="CodeChar"/>
        </w:rPr>
        <w:t xml:space="preserve">category_group</w:t>
      </w:r>
      <w:r>
        <w:t xml:space="preserve">, </w:t>
      </w:r>
      <w:r>
        <w:rPr>
          <w:rStyle w:val="CodeChar"/>
        </w:rPr>
        <w:t xml:space="preserve">base_period</w:t>
      </w:r>
      <w:r>
        <w:t xml:space="preserve"> or </w:t>
      </w:r>
      <w:r>
        <w:rPr>
          <w:rStyle w:val="CodeChar"/>
        </w:rPr>
        <w:t xml:space="preserve">unit</w:t>
      </w:r>
      <w:r>
        <w:t xml:space="preserve">.</w:t>
      </w:r>
    </w:p>
    <w:p>
      <w:pPr>
        <w:pStyle w:val="ListParagraph"/>
        <w:numPr>
          <w:ilvl w:val="0"/>
          <w:numId w:val="5"/>
        </w:numPr>
      </w:pPr>
      <w:r>
        <w:t xml:space="preserve">☐ Make every ID safe: letters, digits and underscores only, starting with a letter. Replace anything else with "_" rather than dropping it, so two labels cannot merge.</w:t>
      </w:r>
    </w:p>
    <w:p>
      <w:pPr>
        <w:pStyle w:val="ListParagraph"/>
        <w:numPr>
          <w:ilvl w:val="0"/>
          <w:numId w:val="5"/>
        </w:numPr>
      </w:pPr>
      <w:r>
        <w:t xml:space="preserve">☐ Never put a hash or free text in a display name. If two series still collide after using the standardised columns, tell us; it means a column is missing.</w:t>
      </w:r>
    </w:p>
    <w:p>
      <w:pPr>
        <w:pStyle w:val="ListParagraph"/>
        <w:numPr>
          <w:ilvl w:val="0"/>
          <w:numId w:val="5"/>
        </w:numPr>
      </w:pPr>
      <w:r>
        <w:t xml:space="preserve">☐ Keep different base years and price concepts in different variables. A constant-2005 series and a chained-2016 series must not share one map or ranking.</w:t>
      </w:r>
    </w:p>
    <w:p>
      <w:pPr>
        <w:pStyle w:val="ListParagraph"/>
        <w:numPr>
          <w:ilvl w:val="0"/>
          <w:numId w:val="5"/>
        </w:numPr>
      </w:pPr>
      <w:r>
        <w:t xml:space="preserve">☐ Load only the rows flagged as the preferred edition for charts, so each country has one value per period.</w:t>
      </w:r>
    </w:p>
    <w:p>
      <w:pPr>
        <w:pStyle w:val="ListParagraph"/>
        <w:numPr>
          <w:ilvl w:val="0"/>
          <w:numId w:val="5"/>
        </w:numPr>
      </w:pPr>
      <w:r>
        <w:t xml:space="preserve">☐ Keep the published label, </w:t>
      </w:r>
      <w:r>
        <w:rPr>
          <w:rStyle w:val="CodeChar"/>
        </w:rPr>
        <w:t xml:space="preserve">series_code</w:t>
      </w:r>
      <w:r>
        <w:t xml:space="preserve"> and source file as metadata (tooltip or source note), so every figure can still be traced to the office's own table.</w:t>
      </w:r>
    </w:p>
    <w:p>
      <w:pPr>
        <w:pStyle w:val="ListParagraph"/>
        <w:numPr>
          <w:ilvl w:val="0"/>
          <w:numId w:val="5"/>
        </w:numPr>
      </w:pPr>
      <w:r>
        <w:t xml:space="preserve">☐ Skip rows whose standardised category code is blank. Those are labels we could not match to a standard concept yet.</w:t>
      </w:r>
    </w:p>
    <w:p>
      <w:pPr>
        <w:pStyle w:val="Heading2"/>
      </w:pPr>
      <w:r>
        <w:t xml:space="preserve">Open questions</w:t>
      </w:r>
    </w:p>
    <w:p>
      <w:pPr>
        <w:pStyle w:val="ListParagraph"/>
        <w:numPr>
          <w:ilvl w:val="0"/>
          <w:numId w:val="6"/>
        </w:numPr>
      </w:pPr>
      <w:r>
        <w:t xml:space="preserve">☐ Is the suffix ("s" + six hex characters) a hash added by the converter when IDs collide? Which fields does it hash?</w:t>
      </w:r>
    </w:p>
    <w:p>
      <w:pPr>
        <w:pStyle w:val="ListParagraph"/>
        <w:numPr>
          <w:ilvl w:val="0"/>
          <w:numId w:val="6"/>
        </w:numPr>
      </w:pPr>
      <w:r>
        <w:t xml:space="preserve">☐ Where does the app's English category name ("Final Consumption Expenditure") come from: its own mapping, or a translation step? Once our </w:t>
      </w:r>
      <w:r>
        <w:rPr>
          <w:rStyle w:val="CodeChar"/>
        </w:rPr>
        <w:t xml:space="preserve">category_code</w:t>
      </w:r>
      <w:r>
        <w:t xml:space="preserve"> exists, that mapping should be retired.</w:t>
      </w:r>
    </w:p>
    <w:p>
      <w:pPr>
        <w:pStyle w:val="ListParagraph"/>
        <w:numPr>
          <w:ilvl w:val="0"/>
          <w:numId w:val="6"/>
        </w:numPr>
      </w:pPr>
      <w:r>
        <w:t xml:space="preserve">☐ Should the app show non-preferred editions at all, for example as a "revisions" view, or load only the preferred rows?</w:t>
      </w:r>
    </w:p>
    <w:p>
      <w:pPr>
        <w:pStyle w:val="ListParagraph"/>
        <w:numPr>
          <w:ilvl w:val="0"/>
          <w:numId w:val="6"/>
        </w:numPr>
      </w:pPr>
      <w:r>
        <w:t xml:space="preserve">☐ Which other indicators already run in the app? All 14 now carry the standardised columns, so each can be rebuilt from series_id.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Africa Data Commons which columns to use</dc:title>
  <dc:description>Claude Docs node/91f6b2fb-c5f7@15 docx-w6</dc:description>
  <cp:revision>15</cp:revision>
</cp:coreProperties>
</file>