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58" w:rsidRDefault="001A5158" w:rsidP="007F5C5D">
      <w:pPr>
        <w:tabs>
          <w:tab w:val="left" w:pos="2562"/>
        </w:tabs>
      </w:pPr>
    </w:p>
    <w:p w:rsidR="005B1AEA" w:rsidRPr="005948E9" w:rsidRDefault="006F28B6" w:rsidP="005B1AEA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7.55pt;margin-top:114.1pt;width:498.7pt;height:41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">
            <v:textbox style="mso-next-textbox:#Text Box 10">
              <w:txbxContent>
                <w:p w:rsidR="006F28B6" w:rsidRPr="00262D3A" w:rsidRDefault="006F28B6" w:rsidP="003671B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62D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Indice Harmonisé des Prix à la Consommation</w:t>
                  </w:r>
                </w:p>
                <w:p w:rsidR="006F28B6" w:rsidRDefault="006F28B6" w:rsidP="003671B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National-juin 2021</w:t>
                  </w:r>
                </w:p>
                <w:p w:rsidR="006F28B6" w:rsidRDefault="006F28B6" w:rsidP="003671B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F28B6" w:rsidRDefault="006F28B6" w:rsidP="003671B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F28B6" w:rsidRDefault="006F28B6" w:rsidP="003671B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F28B6" w:rsidRPr="00262D3A" w:rsidRDefault="006F28B6" w:rsidP="003671B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A5158">
        <w:t xml:space="preserve">       </w:t>
      </w:r>
      <w:r w:rsidR="005B1AEA">
        <w:rPr>
          <w:noProof/>
          <w:lang w:eastAsia="fr-FR"/>
        </w:rPr>
        <w:drawing>
          <wp:inline distT="0" distB="0" distL="0" distR="0" wp14:anchorId="0DF1ADA3" wp14:editId="0B9EF4E6">
            <wp:extent cx="3273425" cy="839973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761" cy="8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Zone de texte 15" o:spid="_x0000_s1035" type="#_x0000_t202" style="position:absolute;margin-left:267.15pt;margin-top:.65pt;width:236.6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" fillcolor="white [3201]" stroked="f" strokeweight=".5pt">
            <v:path arrowok="t"/>
            <v:textbox>
              <w:txbxContent>
                <w:p w:rsidR="006F28B6" w:rsidRPr="000F3E50" w:rsidRDefault="006F28B6" w:rsidP="005B1AEA">
                  <w:pPr>
                    <w:spacing w:line="276" w:lineRule="auto"/>
                    <w:rPr>
                      <w:rFonts w:ascii="Segoe UI" w:hAnsi="Segoe UI" w:cs="Segoe UI"/>
                    </w:rPr>
                  </w:pPr>
                  <w:r w:rsidRPr="000F3E50">
                    <w:rPr>
                      <w:rFonts w:ascii="Segoe UI" w:hAnsi="Segoe UI" w:cs="Segoe UI"/>
                    </w:rPr>
                    <w:t>Tél : 2</w:t>
                  </w:r>
                  <w:r>
                    <w:rPr>
                      <w:rFonts w:ascii="Segoe UI" w:hAnsi="Segoe UI" w:cs="Segoe UI"/>
                    </w:rPr>
                    <w:t>1 30 10 20 – Fax : 21 30 18 51</w:t>
                  </w:r>
                </w:p>
                <w:p w:rsidR="006F28B6" w:rsidRPr="000F3E50" w:rsidRDefault="006F28B6" w:rsidP="005B1AEA">
                  <w:pPr>
                    <w:spacing w:line="276" w:lineRule="auto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0F3E50">
                    <w:rPr>
                      <w:rFonts w:ascii="Segoe UI" w:hAnsi="Segoe UI" w:cs="Segoe UI"/>
                    </w:rPr>
                    <w:t xml:space="preserve">01 BP ; 302 </w:t>
                  </w:r>
                  <w:r w:rsidRPr="000F3E50">
                    <w:rPr>
                      <w:rFonts w:ascii="Segoe UI" w:hAnsi="Segoe UI" w:cs="Segoe UI"/>
                      <w:sz w:val="18"/>
                      <w:szCs w:val="18"/>
                    </w:rPr>
                    <w:t>COTONOU – ROUTE DE L’AEROPORT</w:t>
                  </w:r>
                </w:p>
                <w:p w:rsidR="006F28B6" w:rsidRPr="000F3E50" w:rsidRDefault="006F28B6" w:rsidP="005B1AEA">
                  <w:pPr>
                    <w:spacing w:line="276" w:lineRule="auto"/>
                    <w:rPr>
                      <w:rFonts w:ascii="Segoe UI" w:hAnsi="Segoe UI" w:cs="Segoe UI"/>
                    </w:rPr>
                  </w:pPr>
                  <w:r w:rsidRPr="000F3E50">
                    <w:rPr>
                      <w:rFonts w:ascii="Segoe UI" w:hAnsi="Segoe UI" w:cs="Segoe UI"/>
                    </w:rPr>
                    <w:t>www.finances.bj</w:t>
                  </w:r>
                </w:p>
              </w:txbxContent>
            </v:textbox>
          </v:shape>
        </w:pict>
      </w:r>
    </w:p>
    <w:tbl>
      <w:tblPr>
        <w:tblStyle w:val="Grilledutableau"/>
        <w:tblW w:w="9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1"/>
      </w:tblGrid>
      <w:tr w:rsidR="005B1AEA" w:rsidRPr="005948E9" w:rsidTr="005B1AEA">
        <w:trPr>
          <w:trHeight w:val="1451"/>
        </w:trPr>
        <w:tc>
          <w:tcPr>
            <w:tcW w:w="9901" w:type="dxa"/>
          </w:tcPr>
          <w:tbl>
            <w:tblPr>
              <w:tblStyle w:val="Grilledutableau"/>
              <w:tblpPr w:leftFromText="141" w:rightFromText="141" w:vertAnchor="text" w:horzAnchor="margin" w:tblpY="-245"/>
              <w:tblOverlap w:val="never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0"/>
              <w:gridCol w:w="809"/>
              <w:gridCol w:w="3314"/>
            </w:tblGrid>
            <w:tr w:rsidR="005B1AEA" w:rsidTr="005B1AEA">
              <w:trPr>
                <w:trHeight w:val="258"/>
              </w:trPr>
              <w:tc>
                <w:tcPr>
                  <w:tcW w:w="2869" w:type="pct"/>
                </w:tcPr>
                <w:p w:rsidR="005B1AEA" w:rsidRDefault="005B1AEA" w:rsidP="005B1AEA">
                  <w:pPr>
                    <w:jc w:val="center"/>
                    <w:rPr>
                      <w:rFonts w:ascii="Trebuchet MS" w:hAnsi="Trebuchet MS"/>
                      <w:b/>
                      <w:bCs/>
                      <w:szCs w:val="26"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    </w:t>
                  </w:r>
                  <w:r w:rsidRPr="00F02A9B">
                    <w:rPr>
                      <w:rFonts w:ascii="Trebuchet MS" w:hAnsi="Trebuchet MS"/>
                      <w:b/>
                      <w:bCs/>
                      <w:szCs w:val="26"/>
                    </w:rPr>
                    <w:t>INST</w:t>
                  </w:r>
                  <w:r>
                    <w:rPr>
                      <w:rFonts w:ascii="Trebuchet MS" w:hAnsi="Trebuchet MS"/>
                      <w:b/>
                      <w:bCs/>
                      <w:szCs w:val="26"/>
                    </w:rPr>
                    <w:t>ITUT NATIONAL DE LA STATISTIQUE</w:t>
                  </w:r>
                </w:p>
                <w:p w:rsidR="005B1AEA" w:rsidRPr="002D3BB8" w:rsidRDefault="001338AA" w:rsidP="005B1AEA">
                  <w:pPr>
                    <w:jc w:val="center"/>
                    <w:rPr>
                      <w:rFonts w:ascii="Trebuchet MS" w:hAnsi="Trebuchet MS"/>
                      <w:b/>
                      <w:bCs/>
                      <w:szCs w:val="26"/>
                      <w:lang w:val="pt-BR"/>
                    </w:rPr>
                  </w:pPr>
                  <w:r>
                    <w:rPr>
                      <w:rFonts w:ascii="Trebuchet MS" w:hAnsi="Trebuchet MS"/>
                      <w:b/>
                      <w:bCs/>
                      <w:szCs w:val="26"/>
                    </w:rPr>
                    <w:t xml:space="preserve">           </w:t>
                  </w:r>
                  <w:r w:rsidR="00ED1B69">
                    <w:rPr>
                      <w:rFonts w:ascii="Trebuchet MS" w:hAnsi="Trebuchet MS"/>
                      <w:b/>
                      <w:bCs/>
                      <w:szCs w:val="26"/>
                    </w:rPr>
                    <w:t>ET</w:t>
                  </w:r>
                  <w:r w:rsidR="005B1AEA">
                    <w:rPr>
                      <w:rFonts w:ascii="Trebuchet MS" w:hAnsi="Trebuchet MS"/>
                      <w:b/>
                      <w:bCs/>
                      <w:szCs w:val="26"/>
                    </w:rPr>
                    <w:t xml:space="preserve"> DE LA DEMOGRAPHIE</w:t>
                  </w:r>
                </w:p>
              </w:tc>
              <w:tc>
                <w:tcPr>
                  <w:tcW w:w="418" w:type="pct"/>
                </w:tcPr>
                <w:p w:rsidR="005B1AEA" w:rsidRPr="00E83DCD" w:rsidRDefault="005B1AEA" w:rsidP="005B1AEA">
                  <w:pPr>
                    <w:ind w:left="1731"/>
                    <w:rPr>
                      <w:rFonts w:ascii="Montserrat Light" w:hAnsi="Montserrat Light"/>
                    </w:rPr>
                  </w:pPr>
                </w:p>
              </w:tc>
              <w:tc>
                <w:tcPr>
                  <w:tcW w:w="1713" w:type="pct"/>
                </w:tcPr>
                <w:p w:rsidR="005B1AEA" w:rsidRDefault="005B1AEA" w:rsidP="005B1AEA">
                  <w:pPr>
                    <w:rPr>
                      <w:rFonts w:ascii="Trebuchet MS" w:hAnsi="Trebuchet MS"/>
                      <w:bCs/>
                      <w:sz w:val="26"/>
                      <w:szCs w:val="26"/>
                      <w:lang w:val="pt-BR"/>
                    </w:rPr>
                  </w:pPr>
                </w:p>
              </w:tc>
            </w:tr>
          </w:tbl>
          <w:p w:rsidR="005B1AEA" w:rsidRDefault="005B1AEA" w:rsidP="005B1AEA">
            <w:pPr>
              <w:rPr>
                <w:lang w:eastAsia="fr-FR"/>
              </w:rPr>
            </w:pPr>
          </w:p>
          <w:p w:rsidR="005B1AEA" w:rsidRPr="005B1AEA" w:rsidRDefault="005B1AEA" w:rsidP="005B1AEA">
            <w:pPr>
              <w:rPr>
                <w:lang w:eastAsia="fr-FR"/>
              </w:rPr>
            </w:pPr>
          </w:p>
          <w:p w:rsidR="005B1AEA" w:rsidRPr="005B1AEA" w:rsidRDefault="005B1AEA" w:rsidP="005B1AEA">
            <w:pPr>
              <w:rPr>
                <w:lang w:eastAsia="fr-FR"/>
              </w:rPr>
            </w:pPr>
          </w:p>
          <w:p w:rsidR="005B1AEA" w:rsidRPr="005B1AEA" w:rsidRDefault="005B1AEA" w:rsidP="005B1AEA">
            <w:pPr>
              <w:rPr>
                <w:lang w:eastAsia="fr-FR"/>
              </w:rPr>
            </w:pPr>
          </w:p>
        </w:tc>
      </w:tr>
    </w:tbl>
    <w:p w:rsidR="003671B8" w:rsidRDefault="003671B8" w:rsidP="003671B8">
      <w:pPr>
        <w:rPr>
          <w:sz w:val="4"/>
          <w:szCs w:val="4"/>
        </w:rPr>
      </w:pPr>
    </w:p>
    <w:p w:rsidR="00F30DB9" w:rsidRDefault="00F30DB9" w:rsidP="003671B8">
      <w:pPr>
        <w:rPr>
          <w:sz w:val="4"/>
          <w:szCs w:val="4"/>
        </w:rPr>
      </w:pPr>
    </w:p>
    <w:p w:rsidR="00F30DB9" w:rsidRPr="00B62E70" w:rsidRDefault="00F30DB9" w:rsidP="003671B8">
      <w:pPr>
        <w:rPr>
          <w:sz w:val="4"/>
          <w:szCs w:val="4"/>
        </w:rPr>
      </w:pPr>
    </w:p>
    <w:p w:rsidR="003671B8" w:rsidRPr="00262D3A" w:rsidRDefault="003671B8" w:rsidP="003671B8">
      <w:pPr>
        <w:pBdr>
          <w:top w:val="double" w:sz="12" w:space="1" w:color="auto" w:shadow="1"/>
          <w:left w:val="double" w:sz="12" w:space="1" w:color="auto" w:shadow="1"/>
          <w:bottom w:val="double" w:sz="12" w:space="0" w:color="auto" w:shadow="1"/>
          <w:right w:val="double" w:sz="12" w:space="4" w:color="auto" w:shadow="1"/>
        </w:pBdr>
        <w:shd w:val="pct25" w:color="auto" w:fill="auto"/>
        <w:outlineLvl w:val="0"/>
        <w:rPr>
          <w:rFonts w:ascii="Times New Roman" w:hAnsi="Times New Roman" w:cs="Times New Roman"/>
          <w:b/>
          <w:bCs/>
          <w:sz w:val="19"/>
          <w:szCs w:val="19"/>
        </w:rPr>
      </w:pPr>
      <w:r w:rsidRPr="00262D3A">
        <w:rPr>
          <w:rFonts w:ascii="Times New Roman" w:hAnsi="Times New Roman" w:cs="Times New Roman"/>
          <w:b/>
          <w:bCs/>
          <w:sz w:val="19"/>
          <w:szCs w:val="19"/>
        </w:rPr>
        <w:t>AVERTISSEMENT</w:t>
      </w:r>
    </w:p>
    <w:p w:rsidR="003671B8" w:rsidRPr="00262D3A" w:rsidRDefault="00435E0B" w:rsidP="003671B8">
      <w:pPr>
        <w:pBdr>
          <w:top w:val="double" w:sz="12" w:space="1" w:color="auto" w:shadow="1"/>
          <w:left w:val="double" w:sz="12" w:space="1" w:color="auto" w:shadow="1"/>
          <w:bottom w:val="double" w:sz="12" w:space="0" w:color="auto" w:shadow="1"/>
          <w:right w:val="double" w:sz="12" w:space="4" w:color="auto" w:shadow="1"/>
        </w:pBdr>
        <w:shd w:val="pct25" w:color="auto" w:fill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L’INSD</w:t>
      </w:r>
      <w:r w:rsidR="003671B8" w:rsidRPr="00262D3A">
        <w:rPr>
          <w:rFonts w:ascii="Times New Roman" w:hAnsi="Times New Roman" w:cs="Times New Roman"/>
          <w:sz w:val="19"/>
          <w:szCs w:val="19"/>
        </w:rPr>
        <w:t xml:space="preserve"> </w:t>
      </w:r>
      <w:r w:rsidR="006F28B6">
        <w:rPr>
          <w:rFonts w:ascii="Times New Roman" w:hAnsi="Times New Roman" w:cs="Times New Roman"/>
          <w:sz w:val="19"/>
          <w:szCs w:val="19"/>
        </w:rPr>
        <w:t>met</w:t>
      </w:r>
      <w:r w:rsidR="003671B8" w:rsidRPr="00262D3A">
        <w:rPr>
          <w:rFonts w:ascii="Times New Roman" w:hAnsi="Times New Roman" w:cs="Times New Roman"/>
          <w:sz w:val="19"/>
          <w:szCs w:val="19"/>
        </w:rPr>
        <w:t xml:space="preserve"> à la disposition des utilisateurs l’Indice Harmonisé des Prix à la Consommation (IHPC). Cet indice base 100, année 2014, mesure l’évolution des prix à la consommation au niveau national.</w:t>
      </w:r>
      <w:r w:rsidR="00CC216E">
        <w:rPr>
          <w:rFonts w:ascii="Times New Roman" w:hAnsi="Times New Roman" w:cs="Times New Roman"/>
          <w:sz w:val="19"/>
          <w:szCs w:val="19"/>
        </w:rPr>
        <w:t xml:space="preserve"> Les indices sont de type </w:t>
      </w:r>
      <w:proofErr w:type="spellStart"/>
      <w:r w:rsidR="00CC216E">
        <w:rPr>
          <w:rFonts w:ascii="Times New Roman" w:hAnsi="Times New Roman" w:cs="Times New Roman"/>
          <w:sz w:val="19"/>
          <w:szCs w:val="19"/>
        </w:rPr>
        <w:t>Laspeyres</w:t>
      </w:r>
      <w:proofErr w:type="spellEnd"/>
      <w:r w:rsidR="00CC216E">
        <w:rPr>
          <w:rFonts w:ascii="Times New Roman" w:hAnsi="Times New Roman" w:cs="Times New Roman"/>
          <w:sz w:val="19"/>
          <w:szCs w:val="19"/>
        </w:rPr>
        <w:t xml:space="preserve"> et les pondérations </w:t>
      </w:r>
      <w:r w:rsidR="00CC216E" w:rsidRPr="00262D3A">
        <w:rPr>
          <w:rFonts w:ascii="Times New Roman" w:hAnsi="Times New Roman" w:cs="Times New Roman"/>
          <w:sz w:val="19"/>
          <w:szCs w:val="19"/>
        </w:rPr>
        <w:t>proviennent de l’Enquête Modulaire Intégrée sur les Conditions de Vie des Ménages réalisée en  2011 (</w:t>
      </w:r>
      <w:proofErr w:type="spellStart"/>
      <w:r w:rsidR="00CC216E" w:rsidRPr="00262D3A">
        <w:rPr>
          <w:rFonts w:ascii="Times New Roman" w:hAnsi="Times New Roman" w:cs="Times New Roman"/>
          <w:sz w:val="19"/>
          <w:szCs w:val="19"/>
        </w:rPr>
        <w:t>EMICoV</w:t>
      </w:r>
      <w:proofErr w:type="spellEnd"/>
      <w:r w:rsidR="00CC216E" w:rsidRPr="00262D3A">
        <w:rPr>
          <w:rFonts w:ascii="Times New Roman" w:hAnsi="Times New Roman" w:cs="Times New Roman"/>
          <w:sz w:val="19"/>
          <w:szCs w:val="19"/>
        </w:rPr>
        <w:t xml:space="preserve"> 2011).</w:t>
      </w:r>
    </w:p>
    <w:p w:rsidR="003671B8" w:rsidRPr="00262D3A" w:rsidRDefault="003671B8" w:rsidP="003671B8">
      <w:pPr>
        <w:pBdr>
          <w:top w:val="double" w:sz="12" w:space="1" w:color="auto" w:shadow="1"/>
          <w:left w:val="double" w:sz="12" w:space="1" w:color="auto" w:shadow="1"/>
          <w:bottom w:val="double" w:sz="12" w:space="0" w:color="auto" w:shadow="1"/>
          <w:right w:val="double" w:sz="12" w:space="4" w:color="auto" w:shadow="1"/>
        </w:pBdr>
        <w:shd w:val="pct25" w:color="auto" w:fill="auto"/>
        <w:jc w:val="both"/>
        <w:rPr>
          <w:rFonts w:ascii="Times New Roman" w:hAnsi="Times New Roman" w:cs="Times New Roman"/>
          <w:sz w:val="19"/>
          <w:szCs w:val="19"/>
        </w:rPr>
      </w:pPr>
      <w:r w:rsidRPr="00262D3A">
        <w:rPr>
          <w:rFonts w:ascii="Times New Roman" w:hAnsi="Times New Roman" w:cs="Times New Roman"/>
          <w:sz w:val="19"/>
          <w:szCs w:val="19"/>
        </w:rPr>
        <w:t>L’IHPC a pour population de référence l’ensem</w:t>
      </w:r>
      <w:r w:rsidR="006F28B6">
        <w:rPr>
          <w:rFonts w:ascii="Times New Roman" w:hAnsi="Times New Roman" w:cs="Times New Roman"/>
          <w:sz w:val="19"/>
          <w:szCs w:val="19"/>
        </w:rPr>
        <w:t xml:space="preserve">ble des ménages du Bénin découpé en </w:t>
      </w:r>
      <w:r w:rsidRPr="00262D3A">
        <w:rPr>
          <w:rFonts w:ascii="Times New Roman" w:hAnsi="Times New Roman" w:cs="Times New Roman"/>
          <w:sz w:val="19"/>
          <w:szCs w:val="19"/>
        </w:rPr>
        <w:t>cinq (05) grandes régions de production à savoir Sud</w:t>
      </w:r>
      <w:r w:rsidR="00EB46DA">
        <w:rPr>
          <w:rFonts w:ascii="Times New Roman" w:hAnsi="Times New Roman" w:cs="Times New Roman"/>
          <w:sz w:val="19"/>
          <w:szCs w:val="19"/>
        </w:rPr>
        <w:t>-</w:t>
      </w:r>
      <w:r w:rsidRPr="00262D3A">
        <w:rPr>
          <w:rFonts w:ascii="Times New Roman" w:hAnsi="Times New Roman" w:cs="Times New Roman"/>
          <w:sz w:val="19"/>
          <w:szCs w:val="19"/>
        </w:rPr>
        <w:t xml:space="preserve">Ouest (Littoral, Atlantique, Mono et </w:t>
      </w:r>
      <w:proofErr w:type="spellStart"/>
      <w:r w:rsidRPr="00262D3A">
        <w:rPr>
          <w:rFonts w:ascii="Times New Roman" w:hAnsi="Times New Roman" w:cs="Times New Roman"/>
          <w:sz w:val="19"/>
          <w:szCs w:val="19"/>
        </w:rPr>
        <w:t>Couffo</w:t>
      </w:r>
      <w:proofErr w:type="spellEnd"/>
      <w:r w:rsidRPr="00262D3A">
        <w:rPr>
          <w:rFonts w:ascii="Times New Roman" w:hAnsi="Times New Roman" w:cs="Times New Roman"/>
          <w:sz w:val="19"/>
          <w:szCs w:val="19"/>
        </w:rPr>
        <w:t>), Sud</w:t>
      </w:r>
      <w:r w:rsidR="00193395">
        <w:rPr>
          <w:rFonts w:ascii="Times New Roman" w:hAnsi="Times New Roman" w:cs="Times New Roman"/>
          <w:sz w:val="19"/>
          <w:szCs w:val="19"/>
        </w:rPr>
        <w:t>-</w:t>
      </w:r>
      <w:r w:rsidRPr="00262D3A">
        <w:rPr>
          <w:rFonts w:ascii="Times New Roman" w:hAnsi="Times New Roman" w:cs="Times New Roman"/>
          <w:sz w:val="19"/>
          <w:szCs w:val="19"/>
        </w:rPr>
        <w:t>Est (</w:t>
      </w:r>
      <w:proofErr w:type="spellStart"/>
      <w:r w:rsidRPr="00262D3A">
        <w:rPr>
          <w:rFonts w:ascii="Times New Roman" w:hAnsi="Times New Roman" w:cs="Times New Roman"/>
          <w:sz w:val="19"/>
          <w:szCs w:val="19"/>
        </w:rPr>
        <w:t>Ouémé</w:t>
      </w:r>
      <w:proofErr w:type="spellEnd"/>
      <w:r w:rsidRPr="00262D3A">
        <w:rPr>
          <w:rFonts w:ascii="Times New Roman" w:hAnsi="Times New Roman" w:cs="Times New Roman"/>
          <w:sz w:val="19"/>
          <w:szCs w:val="19"/>
        </w:rPr>
        <w:t>-Plateau), Centre (Zou-Collines), No</w:t>
      </w:r>
      <w:r w:rsidR="00EB46DA">
        <w:rPr>
          <w:rFonts w:ascii="Times New Roman" w:hAnsi="Times New Roman" w:cs="Times New Roman"/>
          <w:sz w:val="19"/>
          <w:szCs w:val="19"/>
        </w:rPr>
        <w:t>rd-Est (</w:t>
      </w:r>
      <w:proofErr w:type="spellStart"/>
      <w:r w:rsidR="00EB46DA">
        <w:rPr>
          <w:rFonts w:ascii="Times New Roman" w:hAnsi="Times New Roman" w:cs="Times New Roman"/>
          <w:sz w:val="19"/>
          <w:szCs w:val="19"/>
        </w:rPr>
        <w:t>Borgou</w:t>
      </w:r>
      <w:proofErr w:type="spellEnd"/>
      <w:r w:rsidR="00EB46DA">
        <w:rPr>
          <w:rFonts w:ascii="Times New Roman" w:hAnsi="Times New Roman" w:cs="Times New Roman"/>
          <w:sz w:val="19"/>
          <w:szCs w:val="19"/>
        </w:rPr>
        <w:t>-Alibori) et Nord-</w:t>
      </w:r>
      <w:r w:rsidRPr="00262D3A">
        <w:rPr>
          <w:rFonts w:ascii="Times New Roman" w:hAnsi="Times New Roman" w:cs="Times New Roman"/>
          <w:sz w:val="19"/>
          <w:szCs w:val="19"/>
        </w:rPr>
        <w:t>Ouest (</w:t>
      </w:r>
      <w:proofErr w:type="spellStart"/>
      <w:r w:rsidRPr="00262D3A">
        <w:rPr>
          <w:rFonts w:ascii="Times New Roman" w:hAnsi="Times New Roman" w:cs="Times New Roman"/>
          <w:sz w:val="19"/>
          <w:szCs w:val="19"/>
        </w:rPr>
        <w:t>Atacora-Donga</w:t>
      </w:r>
      <w:proofErr w:type="spellEnd"/>
      <w:r w:rsidRPr="00262D3A">
        <w:rPr>
          <w:rFonts w:ascii="Times New Roman" w:hAnsi="Times New Roman" w:cs="Times New Roman"/>
          <w:sz w:val="19"/>
          <w:szCs w:val="19"/>
        </w:rPr>
        <w:t>). Chaque zone est composé</w:t>
      </w:r>
      <w:r w:rsidR="001D72DF">
        <w:rPr>
          <w:rFonts w:ascii="Times New Roman" w:hAnsi="Times New Roman" w:cs="Times New Roman"/>
          <w:sz w:val="19"/>
          <w:szCs w:val="19"/>
        </w:rPr>
        <w:t xml:space="preserve">e d’un milieu urbain et </w:t>
      </w:r>
      <w:r w:rsidRPr="00262D3A">
        <w:rPr>
          <w:rFonts w:ascii="Times New Roman" w:hAnsi="Times New Roman" w:cs="Times New Roman"/>
          <w:sz w:val="19"/>
          <w:szCs w:val="19"/>
        </w:rPr>
        <w:t>rural. L’indice national est la moyenne pondérée des indices des cinq régions. Le panier de la ménagère comprend 626 variétés suivies dans 1 889 points d’observation. Plus de 15 143 relevés de prix sont effectués chaque mo</w:t>
      </w:r>
      <w:r w:rsidR="008B16A1">
        <w:rPr>
          <w:rFonts w:ascii="Times New Roman" w:hAnsi="Times New Roman" w:cs="Times New Roman"/>
          <w:sz w:val="19"/>
          <w:szCs w:val="19"/>
        </w:rPr>
        <w:t>is par les enquêteurs de l’INSD</w:t>
      </w:r>
      <w:r w:rsidRPr="00262D3A">
        <w:rPr>
          <w:rFonts w:ascii="Times New Roman" w:hAnsi="Times New Roman" w:cs="Times New Roman"/>
          <w:sz w:val="19"/>
          <w:szCs w:val="19"/>
        </w:rPr>
        <w:t xml:space="preserve">. </w:t>
      </w:r>
    </w:p>
    <w:p w:rsidR="003671B8" w:rsidRPr="00262D3A" w:rsidRDefault="003671B8" w:rsidP="003671B8">
      <w:pPr>
        <w:rPr>
          <w:rFonts w:ascii="Times New Roman" w:hAnsi="Times New Roman" w:cs="Times New Roman"/>
        </w:rPr>
      </w:pPr>
    </w:p>
    <w:p w:rsidR="003671B8" w:rsidRPr="00262D3A" w:rsidRDefault="003671B8" w:rsidP="003671B8">
      <w:pPr>
        <w:spacing w:line="312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IHPC suivant les fonctions</w:t>
      </w:r>
    </w:p>
    <w:p w:rsidR="003671B8" w:rsidRPr="00262D3A" w:rsidRDefault="003671B8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L’Indice Harmonisé des Prix à la Consommat</w:t>
      </w:r>
      <w:r w:rsidR="00EF7E1C">
        <w:rPr>
          <w:rFonts w:ascii="Times New Roman" w:hAnsi="Times New Roman" w:cs="Times New Roman"/>
          <w:bCs/>
          <w:i/>
          <w:iCs/>
          <w:sz w:val="23"/>
          <w:szCs w:val="23"/>
        </w:rPr>
        <w:t>io</w:t>
      </w:r>
      <w:r w:rsidR="000F54C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n du mois de </w:t>
      </w:r>
      <w:r w:rsidR="00910B3F">
        <w:rPr>
          <w:rFonts w:ascii="Times New Roman" w:hAnsi="Times New Roman" w:cs="Times New Roman"/>
          <w:bCs/>
          <w:i/>
          <w:iCs/>
          <w:sz w:val="23"/>
          <w:szCs w:val="23"/>
        </w:rPr>
        <w:t>juin</w:t>
      </w:r>
      <w:r w:rsidR="000F54C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2021 </w:t>
      </w:r>
      <w:r w:rsidR="005E043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a augmenté de </w:t>
      </w:r>
      <w:r w:rsidR="005E043E" w:rsidRPr="001D72DF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2,7% </w:t>
      </w:r>
      <w:r w:rsidR="005E043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comparé à celui du mois précédent </w:t>
      </w:r>
      <w:r w:rsidR="001D72DF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pour ressortir </w:t>
      </w:r>
      <w:r w:rsidR="00730DD7">
        <w:rPr>
          <w:rFonts w:ascii="Times New Roman" w:hAnsi="Times New Roman" w:cs="Times New Roman"/>
          <w:bCs/>
          <w:i/>
          <w:iCs/>
          <w:sz w:val="23"/>
          <w:szCs w:val="23"/>
        </w:rPr>
        <w:t>à 109,2.</w:t>
      </w:r>
    </w:p>
    <w:p w:rsidR="003671B8" w:rsidRPr="00262D3A" w:rsidRDefault="00332968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>L’évolution mensuelle à la hausse de l’indice est imputable essentiellement au renchérissement</w:t>
      </w:r>
      <w:r w:rsidR="00C83454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des prix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des biens </w:t>
      </w:r>
      <w:r w:rsidR="00BF01E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des </w:t>
      </w:r>
      <w:r w:rsidR="00C83454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fonction</w:t>
      </w:r>
      <w:r w:rsidR="00BF01EA">
        <w:rPr>
          <w:rFonts w:ascii="Times New Roman" w:hAnsi="Times New Roman" w:cs="Times New Roman"/>
          <w:bCs/>
          <w:i/>
          <w:iCs/>
          <w:sz w:val="23"/>
          <w:szCs w:val="23"/>
        </w:rPr>
        <w:t>s</w:t>
      </w:r>
      <w:r w:rsidR="00FE107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3671B8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C83454" w:rsidRPr="00C83454">
        <w:rPr>
          <w:rFonts w:ascii="Times New Roman" w:hAnsi="Times New Roman" w:cs="Times New Roman"/>
          <w:bCs/>
          <w:i/>
          <w:iCs/>
          <w:sz w:val="23"/>
          <w:szCs w:val="23"/>
        </w:rPr>
        <w:t>Produits alimentaires et boissons non alcoolisées</w:t>
      </w:r>
      <w:r w:rsidR="00530285" w:rsidRPr="00C83454">
        <w:rPr>
          <w:rFonts w:ascii="Times New Roman" w:hAnsi="Times New Roman" w:cs="Times New Roman"/>
          <w:bCs/>
          <w:i/>
          <w:iCs/>
          <w:sz w:val="23"/>
          <w:szCs w:val="23"/>
        </w:rPr>
        <w:t> »</w:t>
      </w:r>
      <w:r w:rsidR="000F54CE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(+6,4</w:t>
      </w:r>
      <w:r w:rsidR="003671B8"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C83454">
        <w:rPr>
          <w:rFonts w:ascii="Times New Roman" w:hAnsi="Times New Roman" w:cs="Times New Roman"/>
          <w:b/>
          <w:bCs/>
          <w:i/>
          <w:iCs/>
          <w:sz w:val="23"/>
          <w:szCs w:val="23"/>
        </w:rPr>
        <w:t>)</w:t>
      </w:r>
      <w:r w:rsidR="000F54CE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="00BF01EA" w:rsidRPr="00BF01EA">
        <w:rPr>
          <w:rFonts w:ascii="Times New Roman" w:hAnsi="Times New Roman" w:cs="Times New Roman"/>
          <w:bCs/>
          <w:i/>
          <w:iCs/>
          <w:sz w:val="23"/>
          <w:szCs w:val="23"/>
        </w:rPr>
        <w:t>et</w:t>
      </w:r>
      <w:r w:rsidR="009F09EF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BF01EA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EF7E1C" w:rsidRPr="00EF7E1C">
        <w:rPr>
          <w:rFonts w:ascii="Times New Roman" w:hAnsi="Times New Roman" w:cs="Times New Roman"/>
          <w:bCs/>
          <w:i/>
          <w:iCs/>
          <w:sz w:val="23"/>
          <w:szCs w:val="23"/>
        </w:rPr>
        <w:t>Logement, eau, gaz, électricité et autres combustibles</w:t>
      </w:r>
      <w:r w:rsidR="00BF01EA" w:rsidRPr="00C83454">
        <w:rPr>
          <w:rFonts w:ascii="Times New Roman" w:hAnsi="Times New Roman" w:cs="Times New Roman"/>
          <w:bCs/>
          <w:i/>
          <w:iCs/>
          <w:sz w:val="23"/>
          <w:szCs w:val="23"/>
        </w:rPr>
        <w:t> »</w:t>
      </w:r>
      <w:r w:rsidR="000F54CE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(+1,4</w:t>
      </w:r>
      <w:r w:rsidR="00BF01EA"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BF01EA">
        <w:rPr>
          <w:rFonts w:ascii="Times New Roman" w:hAnsi="Times New Roman" w:cs="Times New Roman"/>
          <w:b/>
          <w:bCs/>
          <w:i/>
          <w:iCs/>
          <w:sz w:val="23"/>
          <w:szCs w:val="23"/>
        </w:rPr>
        <w:t>)</w:t>
      </w:r>
      <w:r w:rsidR="0040497C" w:rsidRPr="0040497C">
        <w:rPr>
          <w:rFonts w:ascii="Times New Roman" w:hAnsi="Times New Roman" w:cs="Times New Roman"/>
          <w:bCs/>
          <w:i/>
          <w:iCs/>
          <w:sz w:val="23"/>
          <w:szCs w:val="23"/>
        </w:rPr>
        <w:t>.</w:t>
      </w:r>
    </w:p>
    <w:p w:rsidR="003671B8" w:rsidRPr="00262D3A" w:rsidRDefault="00CB7077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Les groupes de biens </w:t>
      </w:r>
      <w:r w:rsidR="003671B8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dont les prix ont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essentiellement </w:t>
      </w:r>
      <w:r w:rsidR="003671B8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contribué à cette </w:t>
      </w:r>
      <w:r w:rsidR="00EB1632">
        <w:rPr>
          <w:rFonts w:ascii="Times New Roman" w:hAnsi="Times New Roman" w:cs="Times New Roman"/>
          <w:bCs/>
          <w:i/>
          <w:iCs/>
          <w:sz w:val="23"/>
          <w:szCs w:val="23"/>
        </w:rPr>
        <w:t>hausse</w:t>
      </w:r>
      <w:r w:rsidR="003671B8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sont :</w:t>
      </w:r>
    </w:p>
    <w:p w:rsidR="00EF7E1C" w:rsidRDefault="00705EFF" w:rsidP="00EF7E1C">
      <w:pPr>
        <w:numPr>
          <w:ilvl w:val="0"/>
          <w:numId w:val="3"/>
        </w:numPr>
        <w:spacing w:line="312" w:lineRule="auto"/>
        <w:ind w:left="567" w:hanging="207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EF7E1C" w:rsidRPr="00017FDB">
        <w:rPr>
          <w:rFonts w:ascii="Times New Roman" w:hAnsi="Times New Roman" w:cs="Times New Roman"/>
          <w:bCs/>
          <w:i/>
          <w:iCs/>
          <w:sz w:val="23"/>
          <w:szCs w:val="23"/>
        </w:rPr>
        <w:t>Légumes frais en fruits ou racine</w:t>
      </w:r>
      <w:r w:rsidR="007F1A3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EF7E1C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» </w:t>
      </w:r>
      <w:r w:rsidR="000F54CE">
        <w:rPr>
          <w:rFonts w:ascii="Times New Roman" w:hAnsi="Times New Roman" w:cs="Times New Roman"/>
          <w:b/>
          <w:bCs/>
          <w:i/>
          <w:iCs/>
          <w:sz w:val="23"/>
          <w:szCs w:val="23"/>
        </w:rPr>
        <w:t>(+42,1</w:t>
      </w:r>
      <w:r w:rsidR="00EF7E1C"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%)</w:t>
      </w:r>
      <w:r w:rsidR="00134762">
        <w:rPr>
          <w:rFonts w:ascii="Times New Roman" w:hAnsi="Times New Roman" w:cs="Times New Roman"/>
          <w:bCs/>
          <w:i/>
          <w:iCs/>
          <w:sz w:val="23"/>
          <w:szCs w:val="23"/>
        </w:rPr>
        <w:t>, en raison de</w:t>
      </w:r>
      <w:r w:rsidR="00EF7E1C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la rareté de la tomate fraîche locale, de </w:t>
      </w:r>
      <w:r w:rsidR="000F54CE">
        <w:rPr>
          <w:rFonts w:ascii="Times New Roman" w:hAnsi="Times New Roman" w:cs="Times New Roman"/>
          <w:bCs/>
          <w:i/>
          <w:iCs/>
          <w:sz w:val="23"/>
          <w:szCs w:val="23"/>
        </w:rPr>
        <w:t>l’oignon f</w:t>
      </w:r>
      <w:r w:rsidR="00ED1B69">
        <w:rPr>
          <w:rFonts w:ascii="Times New Roman" w:hAnsi="Times New Roman" w:cs="Times New Roman"/>
          <w:bCs/>
          <w:i/>
          <w:iCs/>
          <w:sz w:val="23"/>
          <w:szCs w:val="23"/>
        </w:rPr>
        <w:t>r</w:t>
      </w:r>
      <w:r w:rsidR="000F54CE">
        <w:rPr>
          <w:rFonts w:ascii="Times New Roman" w:hAnsi="Times New Roman" w:cs="Times New Roman"/>
          <w:bCs/>
          <w:i/>
          <w:iCs/>
          <w:sz w:val="23"/>
          <w:szCs w:val="23"/>
        </w:rPr>
        <w:t>ais et de l’aubergine</w:t>
      </w:r>
      <w:r w:rsidR="00134762">
        <w:rPr>
          <w:rFonts w:ascii="Times New Roman" w:hAnsi="Times New Roman" w:cs="Times New Roman"/>
          <w:bCs/>
          <w:i/>
          <w:iCs/>
          <w:sz w:val="23"/>
          <w:szCs w:val="23"/>
        </w:rPr>
        <w:t>,</w:t>
      </w:r>
      <w:r w:rsidR="00EF7E1C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qui engendre de fortes spéculations dans les marchés ;</w:t>
      </w:r>
    </w:p>
    <w:p w:rsidR="007F1A38" w:rsidRDefault="00705EFF" w:rsidP="007F1A38">
      <w:pPr>
        <w:numPr>
          <w:ilvl w:val="0"/>
          <w:numId w:val="3"/>
        </w:numPr>
        <w:spacing w:line="312" w:lineRule="auto"/>
        <w:ind w:left="567" w:hanging="207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7F1A3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Huiles » </w:t>
      </w:r>
      <w:r w:rsidR="007F1A38">
        <w:rPr>
          <w:rFonts w:ascii="Times New Roman" w:hAnsi="Times New Roman" w:cs="Times New Roman"/>
          <w:b/>
          <w:bCs/>
          <w:i/>
          <w:iCs/>
          <w:sz w:val="23"/>
          <w:szCs w:val="23"/>
        </w:rPr>
        <w:t>(+13,4</w:t>
      </w:r>
      <w:r w:rsidR="007F1A38" w:rsidRPr="00017FDB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7F1A38">
        <w:rPr>
          <w:rFonts w:ascii="Times New Roman" w:hAnsi="Times New Roman" w:cs="Times New Roman"/>
          <w:b/>
          <w:bCs/>
          <w:i/>
          <w:iCs/>
          <w:sz w:val="23"/>
          <w:szCs w:val="23"/>
        </w:rPr>
        <w:t>)</w:t>
      </w:r>
      <w:r w:rsidR="007F1A38" w:rsidRPr="00017FDB">
        <w:rPr>
          <w:rFonts w:ascii="Times New Roman" w:hAnsi="Times New Roman" w:cs="Times New Roman"/>
          <w:bCs/>
          <w:iCs/>
          <w:sz w:val="23"/>
          <w:szCs w:val="23"/>
        </w:rPr>
        <w:t>,</w:t>
      </w:r>
      <w:r w:rsidR="007F1A38">
        <w:rPr>
          <w:rFonts w:ascii="Times New Roman" w:hAnsi="Times New Roman" w:cs="Times New Roman"/>
          <w:bCs/>
          <w:iCs/>
          <w:sz w:val="23"/>
          <w:szCs w:val="23"/>
        </w:rPr>
        <w:t xml:space="preserve"> </w:t>
      </w:r>
      <w:r w:rsidR="007F1A38">
        <w:rPr>
          <w:rFonts w:ascii="Times New Roman" w:hAnsi="Times New Roman" w:cs="Times New Roman"/>
          <w:bCs/>
          <w:i/>
          <w:iCs/>
          <w:sz w:val="23"/>
          <w:szCs w:val="23"/>
        </w:rPr>
        <w:t>à cause d’une forte spéculation sur les prix des huiles végétales telles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que</w:t>
      </w:r>
      <w:r w:rsidR="007F1A3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l’huile de palme, l’huile d’arachide et l’huile de coton </w:t>
      </w:r>
      <w:r w:rsidR="007F1A38" w:rsidRPr="003D3CEE">
        <w:rPr>
          <w:rFonts w:ascii="Times New Roman" w:hAnsi="Times New Roman" w:cs="Times New Roman"/>
          <w:bCs/>
          <w:i/>
          <w:iCs/>
          <w:sz w:val="23"/>
          <w:szCs w:val="23"/>
        </w:rPr>
        <w:t>;</w:t>
      </w:r>
    </w:p>
    <w:p w:rsidR="00CC763B" w:rsidRPr="00C15A3B" w:rsidRDefault="00705EFF" w:rsidP="00CC763B">
      <w:pPr>
        <w:numPr>
          <w:ilvl w:val="0"/>
          <w:numId w:val="3"/>
        </w:numPr>
        <w:spacing w:line="312" w:lineRule="auto"/>
        <w:ind w:left="567" w:hanging="207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CC763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Autres produits à </w:t>
      </w:r>
      <w:r w:rsidR="00CC763B" w:rsidRPr="001D48EB">
        <w:rPr>
          <w:rFonts w:ascii="Times New Roman" w:hAnsi="Times New Roman" w:cs="Times New Roman"/>
          <w:bCs/>
          <w:i/>
          <w:iCs/>
          <w:sz w:val="23"/>
          <w:szCs w:val="23"/>
        </w:rPr>
        <w:t>base de tubercules et de plantain</w:t>
      </w:r>
      <w:r w:rsidR="00CC763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CC763B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»</w:t>
      </w:r>
      <w:r w:rsidR="00CC763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CC763B">
        <w:rPr>
          <w:rFonts w:ascii="Times New Roman" w:hAnsi="Times New Roman" w:cs="Times New Roman"/>
          <w:b/>
          <w:bCs/>
          <w:i/>
          <w:iCs/>
          <w:sz w:val="23"/>
          <w:szCs w:val="23"/>
        </w:rPr>
        <w:t>(+13,1</w:t>
      </w:r>
      <w:r w:rsidR="00CC763B"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%)</w:t>
      </w:r>
      <w:r w:rsidR="00CC763B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,</w:t>
      </w:r>
      <w:r w:rsidR="00CC763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en lien avec la hausse du prix du gari à cause d’une part, de la faible production du manioc et d’autre part, en raison des spéculations ;</w:t>
      </w:r>
    </w:p>
    <w:p w:rsidR="00CC763B" w:rsidRPr="00CC763B" w:rsidRDefault="00705EFF" w:rsidP="00CC763B">
      <w:pPr>
        <w:numPr>
          <w:ilvl w:val="0"/>
          <w:numId w:val="3"/>
        </w:numPr>
        <w:spacing w:line="312" w:lineRule="auto"/>
        <w:ind w:left="567" w:hanging="207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CC763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Sel et épices » </w:t>
      </w:r>
      <w:r w:rsidR="00F90898">
        <w:rPr>
          <w:rFonts w:ascii="Times New Roman" w:hAnsi="Times New Roman" w:cs="Times New Roman"/>
          <w:b/>
          <w:bCs/>
          <w:i/>
          <w:iCs/>
          <w:sz w:val="23"/>
          <w:szCs w:val="23"/>
        </w:rPr>
        <w:t>(+9,2</w:t>
      </w:r>
      <w:r w:rsidR="00CC763B" w:rsidRPr="00017FDB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CC763B">
        <w:rPr>
          <w:rFonts w:ascii="Times New Roman" w:hAnsi="Times New Roman" w:cs="Times New Roman"/>
          <w:b/>
          <w:bCs/>
          <w:i/>
          <w:iCs/>
          <w:sz w:val="23"/>
          <w:szCs w:val="23"/>
        </w:rPr>
        <w:t>)</w:t>
      </w:r>
      <w:r w:rsidR="00CC763B" w:rsidRPr="00017FDB">
        <w:rPr>
          <w:rFonts w:ascii="Times New Roman" w:hAnsi="Times New Roman" w:cs="Times New Roman"/>
          <w:bCs/>
          <w:iCs/>
          <w:sz w:val="23"/>
          <w:szCs w:val="23"/>
        </w:rPr>
        <w:t>,</w:t>
      </w:r>
      <w:r w:rsidR="00CC763B">
        <w:rPr>
          <w:rFonts w:ascii="Times New Roman" w:hAnsi="Times New Roman" w:cs="Times New Roman"/>
          <w:bCs/>
          <w:iCs/>
          <w:sz w:val="23"/>
          <w:szCs w:val="23"/>
        </w:rPr>
        <w:t xml:space="preserve"> 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>en raison</w:t>
      </w:r>
      <w:r w:rsidR="00CC763B" w:rsidRPr="003D3CE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de</w:t>
      </w:r>
      <w:r w:rsidR="00F9089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la rareté du piment</w:t>
      </w:r>
      <w:r w:rsidR="00CC763B" w:rsidRPr="003D3CE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CC763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liée à la saisonnalité </w:t>
      </w:r>
      <w:r w:rsidR="00CC763B" w:rsidRPr="003D3CEE">
        <w:rPr>
          <w:rFonts w:ascii="Times New Roman" w:hAnsi="Times New Roman" w:cs="Times New Roman"/>
          <w:bCs/>
          <w:i/>
          <w:iCs/>
          <w:sz w:val="23"/>
          <w:szCs w:val="23"/>
        </w:rPr>
        <w:t>;</w:t>
      </w:r>
    </w:p>
    <w:p w:rsidR="000A06CD" w:rsidRPr="000A06CD" w:rsidRDefault="00705EFF" w:rsidP="000A06CD">
      <w:pPr>
        <w:numPr>
          <w:ilvl w:val="0"/>
          <w:numId w:val="3"/>
        </w:numPr>
        <w:spacing w:line="312" w:lineRule="auto"/>
        <w:ind w:left="567" w:hanging="207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EF7E1C" w:rsidRPr="00EF7E1C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Poissons </w:t>
      </w:r>
      <w:r w:rsidR="00F9089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frais </w:t>
      </w:r>
      <w:r w:rsidR="00EF7E1C" w:rsidRPr="00EF7E1C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» </w:t>
      </w:r>
      <w:r w:rsidR="00F83085">
        <w:rPr>
          <w:rFonts w:ascii="Times New Roman" w:hAnsi="Times New Roman" w:cs="Times New Roman"/>
          <w:b/>
          <w:bCs/>
          <w:i/>
          <w:iCs/>
          <w:sz w:val="23"/>
          <w:szCs w:val="23"/>
        </w:rPr>
        <w:t>(+6,3</w:t>
      </w:r>
      <w:r w:rsidR="00EF7E1C" w:rsidRPr="00EF7E1C">
        <w:rPr>
          <w:rFonts w:ascii="Times New Roman" w:hAnsi="Times New Roman" w:cs="Times New Roman"/>
          <w:b/>
          <w:bCs/>
          <w:i/>
          <w:iCs/>
          <w:sz w:val="23"/>
          <w:szCs w:val="23"/>
        </w:rPr>
        <w:t>%)</w:t>
      </w:r>
      <w:r w:rsidR="00EF7E1C" w:rsidRPr="00EF7E1C">
        <w:rPr>
          <w:rFonts w:ascii="Times New Roman" w:hAnsi="Times New Roman" w:cs="Times New Roman"/>
          <w:bCs/>
          <w:iCs/>
          <w:sz w:val="23"/>
          <w:szCs w:val="23"/>
        </w:rPr>
        <w:t xml:space="preserve">, </w:t>
      </w:r>
      <w:r w:rsidR="00F9089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liée à une baisse de l’offre des produits tels que le maquereau frais et le bar frais </w:t>
      </w:r>
      <w:r w:rsidR="00EF7E1C" w:rsidRPr="00EF7E1C">
        <w:rPr>
          <w:rFonts w:ascii="Times New Roman" w:hAnsi="Times New Roman" w:cs="Times New Roman"/>
          <w:bCs/>
          <w:i/>
          <w:iCs/>
          <w:sz w:val="23"/>
          <w:szCs w:val="23"/>
        </w:rPr>
        <w:t>;</w:t>
      </w:r>
    </w:p>
    <w:p w:rsidR="00EF7E1C" w:rsidRDefault="00705EFF" w:rsidP="00EF7E1C">
      <w:pPr>
        <w:numPr>
          <w:ilvl w:val="0"/>
          <w:numId w:val="3"/>
        </w:numPr>
        <w:spacing w:line="312" w:lineRule="auto"/>
        <w:ind w:left="567" w:hanging="207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1D48EB" w:rsidRPr="001D48E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Céréales non transformées » </w:t>
      </w:r>
      <w:r w:rsidR="000A06CD">
        <w:rPr>
          <w:rFonts w:ascii="Times New Roman" w:hAnsi="Times New Roman" w:cs="Times New Roman"/>
          <w:b/>
          <w:bCs/>
          <w:i/>
          <w:iCs/>
          <w:sz w:val="23"/>
          <w:szCs w:val="23"/>
        </w:rPr>
        <w:t>(+7,7</w:t>
      </w:r>
      <w:r w:rsidR="001D48EB" w:rsidRPr="001D48EB">
        <w:rPr>
          <w:rFonts w:ascii="Times New Roman" w:hAnsi="Times New Roman" w:cs="Times New Roman"/>
          <w:b/>
          <w:bCs/>
          <w:i/>
          <w:iCs/>
          <w:sz w:val="23"/>
          <w:szCs w:val="23"/>
        </w:rPr>
        <w:t>%)</w:t>
      </w:r>
      <w:r w:rsidR="001D48EB" w:rsidRPr="001D48E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, </w:t>
      </w:r>
      <w:r w:rsidR="000A06CD">
        <w:rPr>
          <w:rFonts w:ascii="Times New Roman" w:hAnsi="Times New Roman" w:cs="Times New Roman"/>
          <w:bCs/>
          <w:i/>
          <w:iCs/>
          <w:sz w:val="23"/>
          <w:szCs w:val="23"/>
        </w:rPr>
        <w:t>en raison de</w:t>
      </w:r>
      <w:r w:rsidR="001D48EB" w:rsidRPr="001D48E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l’augme</w:t>
      </w:r>
      <w:r w:rsidR="000A06CD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ntation des prix du maïs séché </w:t>
      </w:r>
      <w:r w:rsidR="001D48EB" w:rsidRPr="001D48EB">
        <w:rPr>
          <w:rFonts w:ascii="Times New Roman" w:hAnsi="Times New Roman" w:cs="Times New Roman"/>
          <w:bCs/>
          <w:i/>
          <w:iCs/>
          <w:sz w:val="23"/>
          <w:szCs w:val="23"/>
        </w:rPr>
        <w:t>pour raison de saisonnalité ;</w:t>
      </w:r>
    </w:p>
    <w:p w:rsidR="00D2566D" w:rsidRPr="00083A4B" w:rsidRDefault="00705EFF" w:rsidP="00083A4B">
      <w:pPr>
        <w:numPr>
          <w:ilvl w:val="0"/>
          <w:numId w:val="3"/>
        </w:numPr>
        <w:spacing w:line="312" w:lineRule="auto"/>
        <w:ind w:left="567" w:hanging="207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>«</w:t>
      </w:r>
      <w:r w:rsidR="00083A4B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721CA6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Combustibles solides » </w:t>
      </w:r>
      <w:r w:rsidR="00CC763B" w:rsidRPr="00083A4B">
        <w:rPr>
          <w:rFonts w:ascii="Times New Roman" w:hAnsi="Times New Roman" w:cs="Times New Roman"/>
          <w:b/>
          <w:bCs/>
          <w:i/>
          <w:iCs/>
          <w:sz w:val="23"/>
          <w:szCs w:val="23"/>
        </w:rPr>
        <w:t>(</w:t>
      </w:r>
      <w:r w:rsidR="00520570">
        <w:rPr>
          <w:rFonts w:ascii="Times New Roman" w:hAnsi="Times New Roman" w:cs="Times New Roman"/>
          <w:b/>
          <w:bCs/>
          <w:i/>
          <w:iCs/>
          <w:sz w:val="23"/>
          <w:szCs w:val="23"/>
        </w:rPr>
        <w:t>+</w:t>
      </w:r>
      <w:r w:rsidR="00CC763B" w:rsidRPr="00083A4B">
        <w:rPr>
          <w:rFonts w:ascii="Times New Roman" w:hAnsi="Times New Roman" w:cs="Times New Roman"/>
          <w:b/>
          <w:bCs/>
          <w:i/>
          <w:iCs/>
          <w:sz w:val="23"/>
          <w:szCs w:val="23"/>
        </w:rPr>
        <w:t>11,9</w:t>
      </w:r>
      <w:r w:rsidR="00721CA6" w:rsidRPr="00083A4B">
        <w:rPr>
          <w:rFonts w:ascii="Times New Roman" w:hAnsi="Times New Roman" w:cs="Times New Roman"/>
          <w:b/>
          <w:bCs/>
          <w:i/>
          <w:iCs/>
          <w:sz w:val="23"/>
          <w:szCs w:val="23"/>
        </w:rPr>
        <w:t>%)</w:t>
      </w:r>
      <w:r w:rsidR="00721CA6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, </w:t>
      </w:r>
      <w:r w:rsidR="00CA6AD5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>en lien avec</w:t>
      </w:r>
      <w:r w:rsidR="00FF552F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la</w:t>
      </w:r>
      <w:r w:rsidR="00721CA6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baisse de l’offre dans les marchés </w:t>
      </w:r>
      <w:r w:rsidR="00286CEB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>du charbon de bois</w:t>
      </w:r>
      <w:r w:rsidR="00CC763B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, </w:t>
      </w:r>
      <w:r w:rsidR="00286CEB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>du bois de chauffe</w:t>
      </w:r>
      <w:r w:rsidR="00CC763B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et de la sciure ou copeaux de bois</w:t>
      </w:r>
      <w:r w:rsidR="00286CEB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en cette période de pluie </w:t>
      </w:r>
      <w:r w:rsidR="00721CA6" w:rsidRPr="00083A4B">
        <w:rPr>
          <w:rFonts w:ascii="Times New Roman" w:hAnsi="Times New Roman" w:cs="Times New Roman"/>
          <w:bCs/>
          <w:i/>
          <w:iCs/>
          <w:sz w:val="23"/>
          <w:szCs w:val="23"/>
        </w:rPr>
        <w:t>;</w:t>
      </w:r>
    </w:p>
    <w:p w:rsidR="00D2566D" w:rsidRPr="00262D3A" w:rsidRDefault="00D2566D" w:rsidP="00D2566D">
      <w:pPr>
        <w:spacing w:line="312" w:lineRule="auto"/>
        <w:jc w:val="both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IHPC en glissement semestriel</w:t>
      </w:r>
    </w:p>
    <w:p w:rsidR="00D2566D" w:rsidRPr="00D2566D" w:rsidRDefault="00D2566D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En comparaison à décembre 2020, les prix ont augmenté de </w:t>
      </w:r>
      <w:r w:rsidRPr="00D2566D">
        <w:rPr>
          <w:rFonts w:ascii="Times New Roman" w:hAnsi="Times New Roman" w:cs="Times New Roman"/>
          <w:b/>
          <w:bCs/>
          <w:i/>
          <w:iCs/>
          <w:sz w:val="23"/>
          <w:szCs w:val="23"/>
        </w:rPr>
        <w:t>6,4%</w:t>
      </w:r>
      <w:r w:rsidR="00520570" w:rsidRPr="00520570">
        <w:rPr>
          <w:rFonts w:ascii="Times New Roman" w:hAnsi="Times New Roman" w:cs="Times New Roman"/>
          <w:bCs/>
          <w:i/>
          <w:iCs/>
          <w:sz w:val="23"/>
          <w:szCs w:val="23"/>
        </w:rPr>
        <w:t>.</w:t>
      </w:r>
    </w:p>
    <w:p w:rsidR="003671B8" w:rsidRPr="00262D3A" w:rsidRDefault="003671B8" w:rsidP="003671B8">
      <w:pPr>
        <w:spacing w:line="312" w:lineRule="auto"/>
        <w:jc w:val="both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IHPC en glissement annuel</w:t>
      </w:r>
    </w:p>
    <w:p w:rsidR="00262D3A" w:rsidRDefault="003671B8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Par rapport à </w:t>
      </w:r>
      <w:r w:rsidR="000A06CD">
        <w:rPr>
          <w:rFonts w:ascii="Times New Roman" w:hAnsi="Times New Roman" w:cs="Times New Roman"/>
          <w:bCs/>
          <w:i/>
          <w:iCs/>
          <w:sz w:val="23"/>
          <w:szCs w:val="23"/>
        </w:rPr>
        <w:t>juin</w:t>
      </w:r>
      <w:r w:rsidR="009A47B7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2020</w:t>
      </w: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, la variation de l’IHPC est de </w:t>
      </w:r>
      <w:r w:rsidR="00C15A3B">
        <w:rPr>
          <w:rFonts w:ascii="Times New Roman" w:hAnsi="Times New Roman" w:cs="Times New Roman"/>
          <w:b/>
          <w:bCs/>
          <w:i/>
          <w:iCs/>
          <w:sz w:val="23"/>
          <w:szCs w:val="23"/>
        </w:rPr>
        <w:t>+</w:t>
      </w:r>
      <w:r w:rsidR="000A06CD">
        <w:rPr>
          <w:rFonts w:ascii="Times New Roman" w:hAnsi="Times New Roman" w:cs="Times New Roman"/>
          <w:b/>
          <w:bCs/>
          <w:i/>
          <w:iCs/>
          <w:sz w:val="23"/>
          <w:szCs w:val="23"/>
        </w:rPr>
        <w:t>4,6</w:t>
      </w:r>
      <w:r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Pr="00E61568">
        <w:rPr>
          <w:rFonts w:ascii="Times New Roman" w:hAnsi="Times New Roman" w:cs="Times New Roman"/>
          <w:bCs/>
          <w:i/>
          <w:iCs/>
          <w:sz w:val="23"/>
          <w:szCs w:val="23"/>
        </w:rPr>
        <w:t>,</w:t>
      </w: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contre </w:t>
      </w:r>
      <w:r w:rsidR="00286CEB">
        <w:rPr>
          <w:rFonts w:ascii="Times New Roman" w:hAnsi="Times New Roman" w:cs="Times New Roman"/>
          <w:b/>
          <w:bCs/>
          <w:i/>
          <w:iCs/>
          <w:sz w:val="23"/>
          <w:szCs w:val="23"/>
        </w:rPr>
        <w:t>+</w:t>
      </w:r>
      <w:r w:rsidR="000A06CD">
        <w:rPr>
          <w:rFonts w:ascii="Times New Roman" w:hAnsi="Times New Roman" w:cs="Times New Roman"/>
          <w:b/>
          <w:bCs/>
          <w:i/>
          <w:iCs/>
          <w:sz w:val="23"/>
          <w:szCs w:val="23"/>
        </w:rPr>
        <w:t>1,7</w:t>
      </w:r>
      <w:r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467D5A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="00332968">
        <w:rPr>
          <w:rFonts w:ascii="Times New Roman" w:hAnsi="Times New Roman" w:cs="Times New Roman"/>
          <w:bCs/>
          <w:i/>
          <w:iCs/>
          <w:sz w:val="23"/>
          <w:szCs w:val="23"/>
        </w:rPr>
        <w:t>un mois plus tôt.</w:t>
      </w:r>
    </w:p>
    <w:p w:rsidR="000A06CD" w:rsidRDefault="000A06CD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</w:p>
    <w:p w:rsidR="000A06CD" w:rsidRPr="00262D3A" w:rsidRDefault="000A06CD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</w:p>
    <w:p w:rsidR="003671B8" w:rsidRPr="00262D3A" w:rsidRDefault="003671B8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6"/>
          <w:szCs w:val="6"/>
        </w:rPr>
      </w:pPr>
    </w:p>
    <w:p w:rsidR="003671B8" w:rsidRPr="00262D3A" w:rsidRDefault="003671B8" w:rsidP="003671B8">
      <w:pPr>
        <w:spacing w:line="312" w:lineRule="auto"/>
        <w:jc w:val="both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IHPC suivant la nature et l’origine du produit </w:t>
      </w:r>
    </w:p>
    <w:p w:rsidR="003671B8" w:rsidRPr="00262D3A" w:rsidRDefault="003671B8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Par r</w:t>
      </w:r>
      <w:r w:rsidR="00955E41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apport à la nature des produits </w:t>
      </w: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:</w:t>
      </w:r>
    </w:p>
    <w:p w:rsidR="003671B8" w:rsidRPr="00262D3A" w:rsidRDefault="003671B8" w:rsidP="003671B8">
      <w:pPr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en variation mensuelle, les prix des</w:t>
      </w:r>
      <w:r w:rsidR="00F95652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« produits frais »</w:t>
      </w:r>
      <w:r w:rsidR="006B073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et </w:t>
      </w:r>
      <w:r w:rsidR="00136AB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des </w:t>
      </w:r>
      <w:r w:rsidR="00136ABB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« produits énergétiques »</w:t>
      </w:r>
      <w:r w:rsidR="00136ABB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F95652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ont cru respectivement de </w:t>
      </w:r>
      <w:r w:rsidR="007220AE" w:rsidRPr="007220AE">
        <w:rPr>
          <w:rFonts w:ascii="Times New Roman" w:hAnsi="Times New Roman" w:cs="Times New Roman"/>
          <w:b/>
          <w:bCs/>
          <w:i/>
          <w:iCs/>
          <w:sz w:val="23"/>
          <w:szCs w:val="23"/>
        </w:rPr>
        <w:t>7</w:t>
      </w:r>
      <w:r w:rsidR="00ED1B48">
        <w:rPr>
          <w:rFonts w:ascii="Times New Roman" w:hAnsi="Times New Roman" w:cs="Times New Roman"/>
          <w:b/>
          <w:bCs/>
          <w:i/>
          <w:iCs/>
          <w:sz w:val="23"/>
          <w:szCs w:val="23"/>
        </w:rPr>
        <w:t>,</w:t>
      </w:r>
      <w:r w:rsidR="007220AE">
        <w:rPr>
          <w:rFonts w:ascii="Times New Roman" w:hAnsi="Times New Roman" w:cs="Times New Roman"/>
          <w:b/>
          <w:bCs/>
          <w:i/>
          <w:iCs/>
          <w:sz w:val="23"/>
          <w:szCs w:val="23"/>
        </w:rPr>
        <w:t>6</w:t>
      </w:r>
      <w:r w:rsidR="00F95652" w:rsidRPr="00F95652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803487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et </w:t>
      </w:r>
      <w:r w:rsidR="00F95652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de </w:t>
      </w:r>
      <w:r w:rsidR="007220AE">
        <w:rPr>
          <w:rFonts w:ascii="Times New Roman" w:hAnsi="Times New Roman" w:cs="Times New Roman"/>
          <w:b/>
          <w:bCs/>
          <w:i/>
          <w:iCs/>
          <w:sz w:val="23"/>
          <w:szCs w:val="23"/>
        </w:rPr>
        <w:t>1,8</w:t>
      </w:r>
      <w:r w:rsidR="00F95652" w:rsidRPr="00F95652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D2566D" w:rsidRPr="006B0735">
        <w:rPr>
          <w:rFonts w:ascii="Times New Roman" w:hAnsi="Times New Roman" w:cs="Times New Roman"/>
          <w:bCs/>
          <w:i/>
          <w:iCs/>
          <w:sz w:val="23"/>
          <w:szCs w:val="23"/>
        </w:rPr>
        <w:t>.</w:t>
      </w:r>
      <w:r w:rsidR="00D2566D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="00D2566D" w:rsidRPr="00803487">
        <w:rPr>
          <w:rFonts w:ascii="Times New Roman" w:hAnsi="Times New Roman" w:cs="Times New Roman"/>
          <w:bCs/>
          <w:i/>
          <w:iCs/>
          <w:sz w:val="23"/>
          <w:szCs w:val="23"/>
        </w:rPr>
        <w:t>L’</w:t>
      </w:r>
      <w:r w:rsidR="00803487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indicateur sous-jacent </w:t>
      </w:r>
      <w:r w:rsidR="00D2566D" w:rsidRPr="00803487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(lorsqu’on exclut les variations de prix des produits frais et des produits énergétiques) a </w:t>
      </w:r>
      <w:r w:rsidR="00803487">
        <w:rPr>
          <w:rFonts w:ascii="Times New Roman" w:hAnsi="Times New Roman" w:cs="Times New Roman"/>
          <w:bCs/>
          <w:i/>
          <w:iCs/>
          <w:sz w:val="23"/>
          <w:szCs w:val="23"/>
        </w:rPr>
        <w:t>aussi</w:t>
      </w:r>
      <w:r w:rsidR="00D2566D" w:rsidRPr="00803487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augmenté de</w:t>
      </w:r>
      <w:r w:rsidR="00D2566D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="00803487">
        <w:rPr>
          <w:rFonts w:ascii="Times New Roman" w:hAnsi="Times New Roman" w:cs="Times New Roman"/>
          <w:b/>
          <w:bCs/>
          <w:i/>
          <w:iCs/>
          <w:sz w:val="23"/>
          <w:szCs w:val="23"/>
        </w:rPr>
        <w:t>1,0%</w:t>
      </w:r>
      <w:r w:rsidR="00803487" w:rsidRPr="00803487">
        <w:rPr>
          <w:rFonts w:ascii="Times New Roman" w:hAnsi="Times New Roman" w:cs="Times New Roman"/>
          <w:bCs/>
          <w:i/>
          <w:iCs/>
          <w:sz w:val="23"/>
          <w:szCs w:val="23"/>
        </w:rPr>
        <w:t> ;</w:t>
      </w:r>
    </w:p>
    <w:p w:rsidR="00DC45BA" w:rsidRPr="004A7351" w:rsidRDefault="003671B8" w:rsidP="00DC45BA">
      <w:pPr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en glissement annuel, </w:t>
      </w:r>
      <w:r w:rsidR="009615E2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les prix des</w:t>
      </w:r>
      <w:r w:rsidR="006F2DDD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« produits frais »</w:t>
      </w:r>
      <w:r w:rsidR="00803487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et des « produits énergétiques » </w:t>
      </w:r>
      <w:r w:rsidR="005B289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ont augmenté respectivement de </w:t>
      </w:r>
      <w:r w:rsid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11,6</w:t>
      </w:r>
      <w:r w:rsidR="005B289E" w:rsidRPr="005B289E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6B073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et</w:t>
      </w:r>
      <w:r w:rsidR="00CA6AD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5B289E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de </w:t>
      </w:r>
      <w:r w:rsid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2</w:t>
      </w:r>
      <w:r w:rsidR="00474248">
        <w:rPr>
          <w:rFonts w:ascii="Times New Roman" w:hAnsi="Times New Roman" w:cs="Times New Roman"/>
          <w:b/>
          <w:bCs/>
          <w:i/>
          <w:iCs/>
          <w:sz w:val="23"/>
          <w:szCs w:val="23"/>
        </w:rPr>
        <w:t>,4</w:t>
      </w:r>
      <w:r w:rsidR="005B289E" w:rsidRPr="005B289E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803487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. En ce qui concerne, l’indicateur sous-jacent, il a cru de </w:t>
      </w:r>
      <w:r w:rsidR="00803487" w:rsidRPr="00803487">
        <w:rPr>
          <w:rFonts w:ascii="Times New Roman" w:hAnsi="Times New Roman" w:cs="Times New Roman"/>
          <w:b/>
          <w:bCs/>
          <w:i/>
          <w:iCs/>
          <w:sz w:val="23"/>
          <w:szCs w:val="23"/>
        </w:rPr>
        <w:t>0,4%</w:t>
      </w:r>
      <w:r w:rsidR="00803487">
        <w:rPr>
          <w:rFonts w:ascii="Times New Roman" w:hAnsi="Times New Roman" w:cs="Times New Roman"/>
          <w:bCs/>
          <w:i/>
          <w:iCs/>
          <w:sz w:val="23"/>
          <w:szCs w:val="23"/>
        </w:rPr>
        <w:t>.</w:t>
      </w:r>
    </w:p>
    <w:p w:rsidR="003671B8" w:rsidRPr="00262D3A" w:rsidRDefault="003671B8" w:rsidP="003671B8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Sur la base de l’origine des produits :</w:t>
      </w:r>
    </w:p>
    <w:p w:rsidR="003671B8" w:rsidRPr="00262D3A" w:rsidRDefault="003671B8" w:rsidP="003671B8">
      <w:pPr>
        <w:pStyle w:val="Paragraphedeliste"/>
        <w:numPr>
          <w:ilvl w:val="0"/>
          <w:numId w:val="5"/>
        </w:numPr>
        <w:spacing w:line="312" w:lineRule="auto"/>
        <w:contextualSpacing w:val="0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en variation mensuelle, les prix  des « produits importés »</w:t>
      </w:r>
      <w:r w:rsidR="00397433" w:rsidRP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et ceux des « produits locaux » </w:t>
      </w:r>
      <w:r w:rsidR="0047424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ont 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>cru respectivement</w:t>
      </w:r>
      <w:r w:rsidR="00474248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de </w:t>
      </w:r>
      <w:r w:rsid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0,3</w:t>
      </w:r>
      <w:r w:rsidR="00474248" w:rsidRPr="00474248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et de </w:t>
      </w:r>
      <w:r w:rsidR="00397433" w:rsidRP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4,0</w:t>
      </w:r>
      <w:r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;</w:t>
      </w:r>
    </w:p>
    <w:p w:rsidR="003671B8" w:rsidRDefault="003671B8" w:rsidP="003671B8">
      <w:pPr>
        <w:pStyle w:val="Paragraphedeliste"/>
        <w:numPr>
          <w:ilvl w:val="0"/>
          <w:numId w:val="5"/>
        </w:numPr>
        <w:spacing w:line="312" w:lineRule="auto"/>
        <w:contextualSpacing w:val="0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en glissement annuel, les prix des </w:t>
      </w:r>
      <w:r w:rsidR="00955E41"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« produits importés »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et ceux des « produits locaux » ont augmenté respectivement de </w:t>
      </w:r>
      <w:r w:rsidR="00397433" w:rsidRP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0,2%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et de </w:t>
      </w:r>
      <w:r w:rsidR="00397433" w:rsidRP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6,0%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>.</w:t>
      </w:r>
    </w:p>
    <w:p w:rsidR="00D2566D" w:rsidRPr="00D2566D" w:rsidRDefault="00D2566D" w:rsidP="00D2566D">
      <w:pPr>
        <w:spacing w:line="312" w:lineRule="auto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</w:p>
    <w:p w:rsidR="003671B8" w:rsidRPr="00262D3A" w:rsidRDefault="003671B8" w:rsidP="003671B8">
      <w:pPr>
        <w:pStyle w:val="Titre5"/>
        <w:spacing w:before="120" w:line="312" w:lineRule="auto"/>
        <w:ind w:left="-142"/>
        <w:rPr>
          <w:rFonts w:ascii="Times New Roman" w:hAnsi="Times New Roman" w:cs="Times New Roman"/>
          <w:b/>
          <w:color w:val="auto"/>
        </w:rPr>
      </w:pPr>
      <w:r w:rsidRPr="00262D3A">
        <w:rPr>
          <w:rFonts w:ascii="Times New Roman" w:hAnsi="Times New Roman" w:cs="Times New Roman"/>
          <w:b/>
          <w:color w:val="auto"/>
          <w:sz w:val="23"/>
          <w:szCs w:val="23"/>
        </w:rPr>
        <w:t>Taux d’inflation suivant le critère de convergence dans l’espace UEMOA</w:t>
      </w:r>
      <w:r w:rsidRPr="00262D3A">
        <w:rPr>
          <w:rStyle w:val="Appelnotedebasdep"/>
          <w:rFonts w:ascii="Times New Roman" w:hAnsi="Times New Roman" w:cs="Times New Roman"/>
          <w:b/>
          <w:color w:val="auto"/>
          <w:sz w:val="23"/>
          <w:szCs w:val="23"/>
        </w:rPr>
        <w:footnoteReference w:id="1"/>
      </w:r>
    </w:p>
    <w:p w:rsidR="00E731F6" w:rsidRDefault="00E731F6" w:rsidP="00E731F6">
      <w:pPr>
        <w:spacing w:line="312" w:lineRule="auto"/>
        <w:ind w:left="-142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>Le taux d’inflation au niveau nat</w:t>
      </w:r>
      <w:r w:rsidR="00C0481C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ional au titre du mois 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de juin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>2021</w:t>
      </w:r>
      <w:r w:rsidRPr="00262D3A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, suivant la définition adoptée dans l’espace UEMOA, est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ressorti </w:t>
      </w:r>
      <w:proofErr w:type="gramStart"/>
      <w:r>
        <w:rPr>
          <w:rFonts w:ascii="Times New Roman" w:hAnsi="Times New Roman" w:cs="Times New Roman"/>
          <w:bCs/>
          <w:i/>
          <w:iCs/>
          <w:sz w:val="23"/>
          <w:szCs w:val="23"/>
        </w:rPr>
        <w:t>à</w:t>
      </w:r>
      <w:proofErr w:type="gramEnd"/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+2,1</w:t>
      </w:r>
      <w:r w:rsidRPr="00262D3A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467D5A" w:rsidRPr="00467D5A">
        <w:rPr>
          <w:rFonts w:ascii="Times New Roman" w:hAnsi="Times New Roman" w:cs="Times New Roman"/>
          <w:bCs/>
          <w:i/>
          <w:iCs/>
          <w:sz w:val="23"/>
          <w:szCs w:val="23"/>
        </w:rPr>
        <w:t>,</w:t>
      </w:r>
      <w:r w:rsidR="00C21424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soit une 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hausse de </w:t>
      </w:r>
      <w:r w:rsidR="00397433" w:rsidRPr="00397433">
        <w:rPr>
          <w:rFonts w:ascii="Times New Roman" w:hAnsi="Times New Roman" w:cs="Times New Roman"/>
          <w:b/>
          <w:bCs/>
          <w:i/>
          <w:iCs/>
          <w:sz w:val="23"/>
          <w:szCs w:val="23"/>
        </w:rPr>
        <w:t>+0,1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point</w:t>
      </w:r>
      <w:r w:rsidR="00C21424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par rapport </w:t>
      </w:r>
      <w:r w:rsidR="0039743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au </w:t>
      </w:r>
      <w:r w:rsidR="00C21424">
        <w:rPr>
          <w:rFonts w:ascii="Times New Roman" w:hAnsi="Times New Roman" w:cs="Times New Roman"/>
          <w:bCs/>
          <w:i/>
          <w:iCs/>
          <w:sz w:val="23"/>
          <w:szCs w:val="23"/>
        </w:rPr>
        <w:t>mois précédent.</w:t>
      </w:r>
    </w:p>
    <w:p w:rsidR="003671B8" w:rsidRPr="00ED1B69" w:rsidRDefault="003671B8" w:rsidP="003671B8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>Tableau 1: Indice Harmonisé des Prix à l</w:t>
      </w:r>
      <w:r w:rsidR="006972F4" w:rsidRPr="00ED1B69">
        <w:rPr>
          <w:rFonts w:ascii="Times New Roman" w:hAnsi="Times New Roman"/>
          <w:b/>
          <w:color w:val="auto"/>
          <w:sz w:val="23"/>
          <w:szCs w:val="23"/>
        </w:rPr>
        <w:t xml:space="preserve">a </w:t>
      </w:r>
      <w:r w:rsidR="00612960" w:rsidRPr="00ED1B69">
        <w:rPr>
          <w:rFonts w:ascii="Times New Roman" w:hAnsi="Times New Roman"/>
          <w:b/>
          <w:color w:val="auto"/>
          <w:sz w:val="23"/>
          <w:szCs w:val="23"/>
        </w:rPr>
        <w:t>Consommation du mois de juin</w:t>
      </w:r>
      <w:r w:rsidR="0030459A" w:rsidRPr="00ED1B69">
        <w:rPr>
          <w:rFonts w:ascii="Times New Roman" w:hAnsi="Times New Roman"/>
          <w:b/>
          <w:color w:val="auto"/>
          <w:sz w:val="23"/>
          <w:szCs w:val="23"/>
        </w:rPr>
        <w:t xml:space="preserve"> 2021</w:t>
      </w:r>
    </w:p>
    <w:tbl>
      <w:tblPr>
        <w:tblW w:w="986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6"/>
        <w:gridCol w:w="590"/>
        <w:gridCol w:w="556"/>
        <w:gridCol w:w="545"/>
        <w:gridCol w:w="565"/>
        <w:gridCol w:w="545"/>
        <w:gridCol w:w="545"/>
        <w:gridCol w:w="556"/>
        <w:gridCol w:w="515"/>
        <w:gridCol w:w="605"/>
        <w:gridCol w:w="605"/>
        <w:gridCol w:w="605"/>
      </w:tblGrid>
      <w:tr w:rsidR="005D508A" w:rsidRPr="005D508A" w:rsidTr="005D508A">
        <w:trPr>
          <w:trHeight w:val="390"/>
        </w:trPr>
        <w:tc>
          <w:tcPr>
            <w:tcW w:w="3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4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FFFF"/>
            <w:hideMark/>
          </w:tcPr>
          <w:p w:rsidR="005D508A" w:rsidRPr="005D508A" w:rsidRDefault="005D508A" w:rsidP="00AC1745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Cs/>
                <w:sz w:val="18"/>
                <w:szCs w:val="18"/>
                <w:lang w:eastAsia="fr-FR"/>
              </w:rPr>
              <w:t>Indice du mois de :</w:t>
            </w:r>
          </w:p>
        </w:tc>
        <w:tc>
          <w:tcPr>
            <w:tcW w:w="2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FFFF"/>
            <w:hideMark/>
          </w:tcPr>
          <w:p w:rsidR="005D508A" w:rsidRPr="005D508A" w:rsidRDefault="005D508A" w:rsidP="00AC1745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Cs/>
                <w:sz w:val="18"/>
                <w:szCs w:val="18"/>
                <w:lang w:eastAsia="fr-FR"/>
              </w:rPr>
              <w:t>Variation depuis :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Poids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j</w:t>
            </w: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uin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.</w:t>
            </w: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-20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déc.-20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mar.-21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avr.-21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mai.-21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D2566D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j</w:t>
            </w:r>
            <w:r w:rsidR="005D508A"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uin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.</w:t>
            </w:r>
            <w:r w:rsidR="005D508A"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-21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1 mois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3 mois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6 mois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5D508A" w:rsidRPr="005D508A" w:rsidRDefault="005D508A" w:rsidP="005D508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12 mois</w:t>
            </w:r>
          </w:p>
        </w:tc>
      </w:tr>
      <w:tr w:rsidR="005D508A" w:rsidRPr="005D508A" w:rsidTr="005D508A">
        <w:trPr>
          <w:trHeight w:val="495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INDICE GLOBAL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10000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104,4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104,3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106,3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109,2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2,7%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5,8%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6,4%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4,6%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1. Produits alimentaires et boissons non alcoolisées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3751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105,2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103,6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110,7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117,8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6,4%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13,7%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16,4%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12,0%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2. Boissons alcoolisées,  Tabac et stupéfiants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56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107,4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106,8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107,4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108,2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0,7%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0,7%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1,7%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1,9%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3. Articles d'habillement et chaussures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509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105,9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108,3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108,7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108,6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108,8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0,2%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0,5%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2,7%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4. Logement, eau, gaz, électricité et autres combustibles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1087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97,4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98,0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100,9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1,4%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5,0%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4,8%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-0,9%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 xml:space="preserve">5. Meubles, articles de ménage et entretien courant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222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107,0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106,7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106,9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106,8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0,0%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0,0%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-0,2%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6. Santé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456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101,9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0,2%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0,6%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7. Transports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1102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105,7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105,0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105,6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105,7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0,7%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-1,8%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0,0%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8. Communication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442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99,7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99,1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99,1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99,2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98,9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-0,3%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-0,2%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-0,8%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-0,8%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9. Loisirs et culture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162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101,5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101,7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101,9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101,9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0,3%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0,5%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10. Enseignement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564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0,0%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0,0%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0,0%</w:t>
            </w:r>
          </w:p>
        </w:tc>
      </w:tr>
      <w:tr w:rsidR="005D508A" w:rsidRPr="005D508A" w:rsidTr="005D508A">
        <w:trPr>
          <w:trHeight w:val="300"/>
        </w:trPr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11. Restaurants et Hôtels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1156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103,4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0,2%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0,4%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0,6%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-0,1%</w:t>
            </w:r>
          </w:p>
        </w:tc>
      </w:tr>
      <w:tr w:rsidR="005D508A" w:rsidRPr="005D508A" w:rsidTr="005D508A">
        <w:trPr>
          <w:trHeight w:val="315"/>
        </w:trPr>
        <w:tc>
          <w:tcPr>
            <w:tcW w:w="37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12. Biens et services divers</w:t>
            </w:r>
          </w:p>
        </w:tc>
        <w:tc>
          <w:tcPr>
            <w:tcW w:w="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fr-FR"/>
              </w:rPr>
              <w:t>493</w:t>
            </w:r>
          </w:p>
        </w:tc>
        <w:tc>
          <w:tcPr>
            <w:tcW w:w="5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106,1</w:t>
            </w:r>
          </w:p>
        </w:tc>
        <w:tc>
          <w:tcPr>
            <w:tcW w:w="5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107,5</w:t>
            </w:r>
          </w:p>
        </w:tc>
        <w:tc>
          <w:tcPr>
            <w:tcW w:w="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106,5</w:t>
            </w:r>
          </w:p>
        </w:tc>
        <w:tc>
          <w:tcPr>
            <w:tcW w:w="5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106,5</w:t>
            </w:r>
          </w:p>
        </w:tc>
        <w:tc>
          <w:tcPr>
            <w:tcW w:w="5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106,6</w:t>
            </w:r>
          </w:p>
        </w:tc>
        <w:tc>
          <w:tcPr>
            <w:tcW w:w="5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106,6</w:t>
            </w:r>
          </w:p>
        </w:tc>
        <w:tc>
          <w:tcPr>
            <w:tcW w:w="6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CFFCC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0,0%</w:t>
            </w:r>
          </w:p>
        </w:tc>
        <w:tc>
          <w:tcPr>
            <w:tcW w:w="5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0,1%</w:t>
            </w:r>
          </w:p>
        </w:tc>
        <w:tc>
          <w:tcPr>
            <w:tcW w:w="5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CC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-0,8%</w:t>
            </w:r>
          </w:p>
        </w:tc>
        <w:tc>
          <w:tcPr>
            <w:tcW w:w="5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C99FF"/>
            <w:vAlign w:val="bottom"/>
            <w:hideMark/>
          </w:tcPr>
          <w:p w:rsidR="005D508A" w:rsidRPr="005D508A" w:rsidRDefault="005D508A" w:rsidP="005D508A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eastAsia="fr-FR"/>
              </w:rPr>
            </w:pPr>
            <w:r w:rsidRPr="005D508A">
              <w:rPr>
                <w:rFonts w:ascii="Times New Roman" w:hAnsi="Times New Roman" w:cs="Times New Roman"/>
                <w:sz w:val="18"/>
                <w:szCs w:val="18"/>
                <w:lang w:eastAsia="fr-FR"/>
              </w:rPr>
              <w:t>0,5%</w:t>
            </w:r>
          </w:p>
        </w:tc>
      </w:tr>
    </w:tbl>
    <w:p w:rsidR="003671B8" w:rsidRPr="0042781F" w:rsidRDefault="003671B8" w:rsidP="00C843F9">
      <w:pPr>
        <w:pStyle w:val="Titre4"/>
        <w:spacing w:before="0"/>
        <w:rPr>
          <w:rFonts w:ascii="Times New Roman" w:hAnsi="Times New Roman"/>
          <w:b w:val="0"/>
          <w:color w:val="auto"/>
          <w:sz w:val="16"/>
          <w:szCs w:val="16"/>
        </w:rPr>
      </w:pPr>
      <w:r w:rsidRPr="0042781F">
        <w:rPr>
          <w:rFonts w:ascii="Times New Roman" w:hAnsi="Times New Roman"/>
          <w:b w:val="0"/>
          <w:color w:val="auto"/>
          <w:sz w:val="16"/>
          <w:szCs w:val="16"/>
          <w:u w:val="single"/>
        </w:rPr>
        <w:t>Source</w:t>
      </w:r>
      <w:r w:rsidRPr="0042781F">
        <w:rPr>
          <w:rFonts w:ascii="Times New Roman" w:hAnsi="Times New Roman"/>
          <w:b w:val="0"/>
          <w:color w:val="auto"/>
          <w:sz w:val="16"/>
          <w:szCs w:val="16"/>
        </w:rPr>
        <w:t xml:space="preserve"> : </w:t>
      </w:r>
      <w:r w:rsidR="00910B3F">
        <w:rPr>
          <w:rFonts w:ascii="Times New Roman" w:hAnsi="Times New Roman"/>
          <w:b w:val="0"/>
          <w:bCs w:val="0"/>
          <w:color w:val="auto"/>
          <w:sz w:val="16"/>
          <w:szCs w:val="16"/>
        </w:rPr>
        <w:t>DSS/INSD</w:t>
      </w:r>
      <w:r w:rsidR="00FC5523">
        <w:rPr>
          <w:rFonts w:ascii="Times New Roman" w:hAnsi="Times New Roman"/>
          <w:b w:val="0"/>
          <w:color w:val="auto"/>
          <w:sz w:val="16"/>
          <w:szCs w:val="16"/>
        </w:rPr>
        <w:t xml:space="preserve">, </w:t>
      </w:r>
      <w:r w:rsidR="00612960">
        <w:rPr>
          <w:rFonts w:ascii="Times New Roman" w:hAnsi="Times New Roman"/>
          <w:b w:val="0"/>
          <w:color w:val="auto"/>
          <w:sz w:val="16"/>
          <w:szCs w:val="16"/>
        </w:rPr>
        <w:t>juin</w:t>
      </w:r>
      <w:r w:rsidR="00D66A54">
        <w:rPr>
          <w:rFonts w:ascii="Times New Roman" w:hAnsi="Times New Roman"/>
          <w:b w:val="0"/>
          <w:color w:val="auto"/>
          <w:sz w:val="16"/>
          <w:szCs w:val="16"/>
        </w:rPr>
        <w:t xml:space="preserve"> </w:t>
      </w:r>
      <w:r w:rsidR="0030459A">
        <w:rPr>
          <w:rFonts w:ascii="Times New Roman" w:hAnsi="Times New Roman"/>
          <w:b w:val="0"/>
          <w:color w:val="auto"/>
          <w:sz w:val="16"/>
          <w:szCs w:val="16"/>
        </w:rPr>
        <w:t>2021</w:t>
      </w:r>
    </w:p>
    <w:p w:rsidR="003671B8" w:rsidRPr="0042781F" w:rsidRDefault="003671B8" w:rsidP="003671B8">
      <w:pPr>
        <w:pStyle w:val="Titre4"/>
        <w:spacing w:before="60"/>
        <w:rPr>
          <w:rFonts w:ascii="Times New Roman" w:hAnsi="Times New Roman"/>
          <w:color w:val="auto"/>
          <w:sz w:val="16"/>
          <w:szCs w:val="16"/>
        </w:rPr>
      </w:pPr>
      <w:r w:rsidRPr="0042781F">
        <w:rPr>
          <w:rFonts w:ascii="Times New Roman" w:hAnsi="Times New Roman"/>
          <w:color w:val="auto"/>
          <w:sz w:val="16"/>
          <w:szCs w:val="16"/>
        </w:rPr>
        <w:t>Base 100 : année 2014</w:t>
      </w:r>
    </w:p>
    <w:p w:rsidR="003671B8" w:rsidRPr="0042781F" w:rsidRDefault="003671B8" w:rsidP="003671B8">
      <w:pPr>
        <w:pStyle w:val="Titre5"/>
        <w:spacing w:before="120"/>
        <w:rPr>
          <w:b/>
          <w:color w:val="auto"/>
          <w:sz w:val="23"/>
          <w:szCs w:val="23"/>
        </w:rPr>
      </w:pPr>
      <w:r w:rsidRPr="0042781F">
        <w:rPr>
          <w:rFonts w:ascii="Times New Roman" w:hAnsi="Times New Roman"/>
          <w:b/>
          <w:color w:val="auto"/>
          <w:sz w:val="23"/>
          <w:szCs w:val="23"/>
        </w:rPr>
        <w:t>Tableau 2: Evolution du taux d’inflation</w:t>
      </w:r>
    </w:p>
    <w:tbl>
      <w:tblPr>
        <w:tblW w:w="9964" w:type="dxa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723"/>
        <w:gridCol w:w="639"/>
        <w:gridCol w:w="712"/>
        <w:gridCol w:w="718"/>
        <w:gridCol w:w="639"/>
        <w:gridCol w:w="606"/>
        <w:gridCol w:w="660"/>
        <w:gridCol w:w="712"/>
        <w:gridCol w:w="579"/>
        <w:gridCol w:w="715"/>
        <w:gridCol w:w="656"/>
        <w:gridCol w:w="643"/>
        <w:gridCol w:w="723"/>
      </w:tblGrid>
      <w:tr w:rsidR="00FE1078" w:rsidRPr="0042781F" w:rsidTr="00180E87">
        <w:trPr>
          <w:trHeight w:val="137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FE1078" w:rsidRPr="0042781F" w:rsidRDefault="00FE1078" w:rsidP="003671B8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Libellé</w:t>
            </w:r>
          </w:p>
        </w:tc>
        <w:tc>
          <w:tcPr>
            <w:tcW w:w="723" w:type="dxa"/>
          </w:tcPr>
          <w:p w:rsidR="00FE1078" w:rsidRPr="0042781F" w:rsidRDefault="00FE1078" w:rsidP="0072309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</w:t>
            </w: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uin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639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juil.-20</w:t>
            </w:r>
          </w:p>
        </w:tc>
        <w:tc>
          <w:tcPr>
            <w:tcW w:w="712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</w:t>
            </w: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oût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18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ept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639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oct.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06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nov.20</w:t>
            </w:r>
          </w:p>
        </w:tc>
        <w:tc>
          <w:tcPr>
            <w:tcW w:w="660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déc.-20</w:t>
            </w:r>
          </w:p>
        </w:tc>
        <w:tc>
          <w:tcPr>
            <w:tcW w:w="712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janv.-21</w:t>
            </w:r>
          </w:p>
        </w:tc>
        <w:tc>
          <w:tcPr>
            <w:tcW w:w="579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fév.21</w:t>
            </w:r>
          </w:p>
        </w:tc>
        <w:tc>
          <w:tcPr>
            <w:tcW w:w="715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mar.-21</w:t>
            </w:r>
          </w:p>
        </w:tc>
        <w:tc>
          <w:tcPr>
            <w:tcW w:w="656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avr.-20</w:t>
            </w:r>
          </w:p>
        </w:tc>
        <w:tc>
          <w:tcPr>
            <w:tcW w:w="643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mai.-21</w:t>
            </w:r>
          </w:p>
        </w:tc>
        <w:tc>
          <w:tcPr>
            <w:tcW w:w="723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juin.-21</w:t>
            </w:r>
          </w:p>
        </w:tc>
      </w:tr>
      <w:tr w:rsidR="00FE1078" w:rsidRPr="0042781F" w:rsidTr="00180E87">
        <w:trPr>
          <w:trHeight w:val="470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FE1078" w:rsidRPr="0042781F" w:rsidRDefault="00FE1078" w:rsidP="003671B8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Taux d'inflation (en critère de convergence)</w:t>
            </w:r>
          </w:p>
        </w:tc>
        <w:tc>
          <w:tcPr>
            <w:tcW w:w="723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+0,9%</w:t>
            </w:r>
          </w:p>
        </w:tc>
        <w:tc>
          <w:tcPr>
            <w:tcW w:w="639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+1,4%</w:t>
            </w:r>
          </w:p>
        </w:tc>
        <w:tc>
          <w:tcPr>
            <w:tcW w:w="712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+2,0%</w:t>
            </w:r>
          </w:p>
        </w:tc>
        <w:tc>
          <w:tcPr>
            <w:tcW w:w="718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+2,5%</w:t>
            </w:r>
          </w:p>
        </w:tc>
        <w:tc>
          <w:tcPr>
            <w:tcW w:w="639" w:type="dxa"/>
          </w:tcPr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278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+2,9%</w:t>
            </w:r>
          </w:p>
        </w:tc>
        <w:tc>
          <w:tcPr>
            <w:tcW w:w="606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Pr="0042781F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+3,0%</w:t>
            </w:r>
          </w:p>
        </w:tc>
        <w:tc>
          <w:tcPr>
            <w:tcW w:w="660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+3,0%</w:t>
            </w:r>
          </w:p>
        </w:tc>
        <w:tc>
          <w:tcPr>
            <w:tcW w:w="712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+2,9%</w:t>
            </w:r>
          </w:p>
        </w:tc>
        <w:tc>
          <w:tcPr>
            <w:tcW w:w="579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+2,5%</w:t>
            </w:r>
          </w:p>
        </w:tc>
        <w:tc>
          <w:tcPr>
            <w:tcW w:w="715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+2,3%</w:t>
            </w:r>
          </w:p>
        </w:tc>
        <w:tc>
          <w:tcPr>
            <w:tcW w:w="656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+2,0%</w:t>
            </w:r>
          </w:p>
        </w:tc>
        <w:tc>
          <w:tcPr>
            <w:tcW w:w="643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+2,0%</w:t>
            </w:r>
          </w:p>
        </w:tc>
        <w:tc>
          <w:tcPr>
            <w:tcW w:w="723" w:type="dxa"/>
          </w:tcPr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E1078" w:rsidRDefault="00FE1078" w:rsidP="003671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2,1%</w:t>
            </w:r>
          </w:p>
        </w:tc>
      </w:tr>
    </w:tbl>
    <w:p w:rsidR="00FC5523" w:rsidRPr="002370EA" w:rsidRDefault="003671B8" w:rsidP="002370EA">
      <w:pPr>
        <w:rPr>
          <w:rFonts w:ascii="Times New Roman" w:eastAsiaTheme="majorEastAsia" w:hAnsi="Times New Roman" w:cstheme="majorBidi"/>
          <w:bCs/>
          <w:i/>
          <w:iCs/>
          <w:sz w:val="16"/>
          <w:szCs w:val="16"/>
        </w:rPr>
      </w:pPr>
      <w:r w:rsidRPr="0042781F">
        <w:rPr>
          <w:rFonts w:ascii="Times New Roman" w:eastAsiaTheme="majorEastAsia" w:hAnsi="Times New Roman" w:cstheme="majorBidi"/>
          <w:bCs/>
          <w:i/>
          <w:iCs/>
          <w:sz w:val="16"/>
          <w:szCs w:val="16"/>
          <w:u w:val="single"/>
        </w:rPr>
        <w:t>Source </w:t>
      </w:r>
      <w:r w:rsidRPr="00E22F01">
        <w:rPr>
          <w:bCs/>
          <w:sz w:val="16"/>
          <w:szCs w:val="16"/>
        </w:rPr>
        <w:t xml:space="preserve">: </w:t>
      </w:r>
      <w:r w:rsidR="00910B3F">
        <w:rPr>
          <w:rFonts w:ascii="Times New Roman" w:eastAsiaTheme="majorEastAsia" w:hAnsi="Times New Roman" w:cstheme="majorBidi"/>
          <w:bCs/>
          <w:i/>
          <w:iCs/>
          <w:sz w:val="16"/>
          <w:szCs w:val="16"/>
        </w:rPr>
        <w:t>DSS/INSD</w:t>
      </w:r>
      <w:r w:rsidR="006972F4">
        <w:rPr>
          <w:rFonts w:ascii="Times New Roman" w:eastAsiaTheme="majorEastAsia" w:hAnsi="Times New Roman" w:cstheme="majorBidi"/>
          <w:bCs/>
          <w:i/>
          <w:iCs/>
          <w:sz w:val="16"/>
          <w:szCs w:val="16"/>
        </w:rPr>
        <w:t xml:space="preserve">, </w:t>
      </w:r>
      <w:r w:rsidR="00612960">
        <w:rPr>
          <w:rFonts w:ascii="Times New Roman" w:eastAsiaTheme="majorEastAsia" w:hAnsi="Times New Roman" w:cstheme="majorBidi"/>
          <w:bCs/>
          <w:i/>
          <w:iCs/>
          <w:sz w:val="16"/>
          <w:szCs w:val="16"/>
        </w:rPr>
        <w:t>juin</w:t>
      </w:r>
      <w:r w:rsidRPr="0042781F">
        <w:rPr>
          <w:rFonts w:ascii="Times New Roman" w:eastAsiaTheme="majorEastAsia" w:hAnsi="Times New Roman" w:cstheme="majorBidi"/>
          <w:bCs/>
          <w:i/>
          <w:iCs/>
          <w:sz w:val="16"/>
          <w:szCs w:val="16"/>
        </w:rPr>
        <w:t xml:space="preserve">  202</w:t>
      </w:r>
      <w:r w:rsidR="003C343B">
        <w:rPr>
          <w:rFonts w:ascii="Times New Roman" w:eastAsiaTheme="majorEastAsia" w:hAnsi="Times New Roman" w:cstheme="majorBidi"/>
          <w:bCs/>
          <w:i/>
          <w:iCs/>
          <w:sz w:val="16"/>
          <w:szCs w:val="16"/>
        </w:rPr>
        <w:t>1</w:t>
      </w:r>
    </w:p>
    <w:p w:rsidR="002370EA" w:rsidRDefault="002370EA" w:rsidP="003671B8">
      <w:pPr>
        <w:tabs>
          <w:tab w:val="left" w:pos="174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36A66" w:rsidRDefault="00836A66" w:rsidP="003671B8">
      <w:pPr>
        <w:tabs>
          <w:tab w:val="left" w:pos="174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36A66" w:rsidRDefault="00836A66" w:rsidP="003671B8">
      <w:pPr>
        <w:tabs>
          <w:tab w:val="left" w:pos="174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36A66" w:rsidRDefault="00836A66" w:rsidP="003671B8">
      <w:pPr>
        <w:tabs>
          <w:tab w:val="left" w:pos="174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36A66" w:rsidRDefault="00836A66" w:rsidP="003671B8">
      <w:pPr>
        <w:tabs>
          <w:tab w:val="left" w:pos="174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94F76" w:rsidRPr="00ED1B69" w:rsidRDefault="00194F76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>Graphique</w:t>
      </w:r>
      <w:r w:rsidR="00C26A1D" w:rsidRPr="00ED1B69">
        <w:rPr>
          <w:rFonts w:ascii="Times New Roman" w:hAnsi="Times New Roman"/>
          <w:b/>
          <w:color w:val="auto"/>
          <w:sz w:val="23"/>
          <w:szCs w:val="23"/>
        </w:rPr>
        <w:t xml:space="preserve"> 1</w:t>
      </w:r>
      <w:r w:rsidRPr="00ED1B69">
        <w:rPr>
          <w:rFonts w:ascii="Times New Roman" w:hAnsi="Times New Roman"/>
          <w:b/>
          <w:color w:val="auto"/>
          <w:sz w:val="23"/>
          <w:szCs w:val="23"/>
        </w:rPr>
        <w:t> : Evolution du taux d’inflation en critère de convergence UEMOA</w:t>
      </w:r>
    </w:p>
    <w:p w:rsidR="005810A3" w:rsidRDefault="00804E04" w:rsidP="003671B8">
      <w:pPr>
        <w:tabs>
          <w:tab w:val="left" w:pos="1740"/>
        </w:tabs>
        <w:rPr>
          <w:b/>
          <w:bCs/>
          <w:i/>
          <w:iCs/>
        </w:rPr>
      </w:pPr>
      <w:r>
        <w:rPr>
          <w:noProof/>
          <w:lang w:eastAsia="fr-FR"/>
        </w:rPr>
        <w:drawing>
          <wp:inline distT="0" distB="0" distL="0" distR="0" wp14:anchorId="29C40C82" wp14:editId="1C53A864">
            <wp:extent cx="5840730" cy="180022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75B7" w:rsidRDefault="005810A3" w:rsidP="003671B8">
      <w:pPr>
        <w:tabs>
          <w:tab w:val="left" w:pos="1740"/>
        </w:tabs>
        <w:rPr>
          <w:rFonts w:ascii="Times New Roman" w:hAnsi="Times New Roman" w:cs="Times New Roman"/>
          <w:bCs/>
          <w:sz w:val="16"/>
          <w:szCs w:val="16"/>
        </w:rPr>
      </w:pPr>
      <w:r w:rsidRPr="0042781F">
        <w:rPr>
          <w:rFonts w:ascii="Times New Roman" w:hAnsi="Times New Roman" w:cs="Times New Roman"/>
          <w:bCs/>
          <w:sz w:val="16"/>
          <w:szCs w:val="16"/>
          <w:u w:val="single"/>
        </w:rPr>
        <w:t>Source</w:t>
      </w:r>
      <w:r w:rsidR="00910B3F">
        <w:rPr>
          <w:rFonts w:ascii="Times New Roman" w:hAnsi="Times New Roman" w:cs="Times New Roman"/>
          <w:bCs/>
          <w:sz w:val="16"/>
          <w:szCs w:val="16"/>
        </w:rPr>
        <w:t> : DSS/INSD</w:t>
      </w:r>
      <w:r w:rsidR="000814FF">
        <w:rPr>
          <w:rFonts w:ascii="Times New Roman" w:hAnsi="Times New Roman" w:cs="Times New Roman"/>
          <w:bCs/>
          <w:sz w:val="16"/>
          <w:szCs w:val="16"/>
        </w:rPr>
        <w:t xml:space="preserve">, </w:t>
      </w:r>
      <w:r w:rsidR="00612960">
        <w:rPr>
          <w:rFonts w:ascii="Times New Roman" w:hAnsi="Times New Roman" w:cs="Times New Roman"/>
          <w:bCs/>
          <w:sz w:val="16"/>
          <w:szCs w:val="16"/>
        </w:rPr>
        <w:t>juin</w:t>
      </w:r>
      <w:r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3671B8" w:rsidRPr="00ED1B69" w:rsidRDefault="00C26A1D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>Graphique 2</w:t>
      </w:r>
      <w:r w:rsidR="003671B8" w:rsidRPr="00ED1B69">
        <w:rPr>
          <w:rFonts w:ascii="Times New Roman" w:hAnsi="Times New Roman"/>
          <w:b/>
          <w:color w:val="auto"/>
          <w:sz w:val="23"/>
          <w:szCs w:val="23"/>
        </w:rPr>
        <w:t> : Evolution de l'indice global et de l'indice hors produits frais et énergétiques</w:t>
      </w:r>
    </w:p>
    <w:p w:rsidR="003671B8" w:rsidRDefault="000F0B2D" w:rsidP="003671B8">
      <w:pPr>
        <w:tabs>
          <w:tab w:val="left" w:pos="1740"/>
        </w:tabs>
        <w:rPr>
          <w:b/>
          <w:bCs/>
          <w:i/>
          <w:iCs/>
        </w:rPr>
      </w:pPr>
      <w:r>
        <w:rPr>
          <w:noProof/>
          <w:lang w:eastAsia="fr-FR"/>
        </w:rPr>
        <w:drawing>
          <wp:inline distT="0" distB="0" distL="0" distR="0" wp14:anchorId="4D308F9B" wp14:editId="72565BBB">
            <wp:extent cx="5886450" cy="1790700"/>
            <wp:effectExtent l="0" t="0" r="0" b="0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843F9" w:rsidRPr="003E5DB0" w:rsidRDefault="003671B8" w:rsidP="003E5DB0">
      <w:pPr>
        <w:tabs>
          <w:tab w:val="left" w:pos="1740"/>
        </w:tabs>
        <w:rPr>
          <w:rFonts w:ascii="Times New Roman" w:hAnsi="Times New Roman" w:cs="Times New Roman"/>
        </w:rPr>
      </w:pPr>
      <w:r w:rsidRPr="0042781F">
        <w:rPr>
          <w:rFonts w:ascii="Times New Roman" w:hAnsi="Times New Roman" w:cs="Times New Roman"/>
          <w:bCs/>
          <w:sz w:val="16"/>
          <w:szCs w:val="16"/>
          <w:u w:val="single"/>
        </w:rPr>
        <w:t>Source</w:t>
      </w:r>
      <w:r w:rsidR="00910B3F">
        <w:rPr>
          <w:rFonts w:ascii="Times New Roman" w:hAnsi="Times New Roman" w:cs="Times New Roman"/>
          <w:bCs/>
          <w:sz w:val="16"/>
          <w:szCs w:val="16"/>
        </w:rPr>
        <w:t> : DSS/INSD</w:t>
      </w:r>
      <w:r w:rsidR="00EA37C7">
        <w:rPr>
          <w:rFonts w:ascii="Times New Roman" w:hAnsi="Times New Roman" w:cs="Times New Roman"/>
          <w:bCs/>
          <w:sz w:val="16"/>
          <w:szCs w:val="16"/>
        </w:rPr>
        <w:t xml:space="preserve">, </w:t>
      </w:r>
      <w:r w:rsidR="00612960">
        <w:rPr>
          <w:rFonts w:ascii="Times New Roman" w:hAnsi="Times New Roman" w:cs="Times New Roman"/>
          <w:bCs/>
          <w:sz w:val="16"/>
          <w:szCs w:val="16"/>
        </w:rPr>
        <w:t>juin</w:t>
      </w:r>
      <w:r w:rsidR="00053949"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3671B8" w:rsidRPr="00ED1B69" w:rsidRDefault="00C26A1D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>Graphique 3</w:t>
      </w:r>
      <w:r w:rsidR="003671B8" w:rsidRPr="00ED1B69">
        <w:rPr>
          <w:rFonts w:ascii="Times New Roman" w:hAnsi="Times New Roman"/>
          <w:b/>
          <w:color w:val="auto"/>
          <w:sz w:val="23"/>
          <w:szCs w:val="23"/>
        </w:rPr>
        <w:t> : Evolution mensuelle de l'indice global et de l'indice des produits alimentaires</w:t>
      </w:r>
    </w:p>
    <w:p w:rsidR="003671B8" w:rsidRDefault="000F0B2D" w:rsidP="003671B8">
      <w:pPr>
        <w:rPr>
          <w:noProof/>
          <w:sz w:val="16"/>
          <w:szCs w:val="16"/>
          <w:u w:val="single"/>
        </w:rPr>
      </w:pPr>
      <w:r>
        <w:rPr>
          <w:noProof/>
          <w:lang w:eastAsia="fr-FR"/>
        </w:rPr>
        <w:drawing>
          <wp:inline distT="0" distB="0" distL="0" distR="0" wp14:anchorId="4BBF643E" wp14:editId="207FD7F7">
            <wp:extent cx="5705475" cy="1657350"/>
            <wp:effectExtent l="0" t="0" r="0" b="0"/>
            <wp:docPr id="18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71B8" w:rsidRPr="0042781F" w:rsidRDefault="003671B8" w:rsidP="003671B8">
      <w:pPr>
        <w:rPr>
          <w:rFonts w:ascii="Times New Roman" w:hAnsi="Times New Roman" w:cs="Times New Roman"/>
        </w:rPr>
      </w:pPr>
      <w:r w:rsidRPr="0042781F">
        <w:rPr>
          <w:rFonts w:ascii="Times New Roman" w:hAnsi="Times New Roman" w:cs="Times New Roman"/>
          <w:bCs/>
          <w:sz w:val="16"/>
          <w:szCs w:val="16"/>
          <w:u w:val="single"/>
        </w:rPr>
        <w:t>Source</w:t>
      </w:r>
      <w:r w:rsidR="00910B3F">
        <w:rPr>
          <w:rFonts w:ascii="Times New Roman" w:hAnsi="Times New Roman" w:cs="Times New Roman"/>
          <w:bCs/>
          <w:sz w:val="16"/>
          <w:szCs w:val="16"/>
        </w:rPr>
        <w:t> : DSS/INSD</w:t>
      </w:r>
      <w:r w:rsidR="00612960">
        <w:rPr>
          <w:rFonts w:ascii="Times New Roman" w:hAnsi="Times New Roman" w:cs="Times New Roman"/>
          <w:bCs/>
          <w:sz w:val="16"/>
          <w:szCs w:val="16"/>
        </w:rPr>
        <w:t>, juin</w:t>
      </w:r>
      <w:r w:rsidR="00053949"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15436C" w:rsidRDefault="0015436C" w:rsidP="003671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671B8" w:rsidRPr="00ED1B69" w:rsidRDefault="00C26A1D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>Graphique 4</w:t>
      </w:r>
      <w:r w:rsidR="003671B8" w:rsidRPr="00ED1B69">
        <w:rPr>
          <w:rFonts w:ascii="Times New Roman" w:hAnsi="Times New Roman"/>
          <w:b/>
          <w:color w:val="auto"/>
          <w:sz w:val="23"/>
          <w:szCs w:val="23"/>
        </w:rPr>
        <w:t> : Evolution mensuelle des indices du transport et logement, eau, gaz, élec</w:t>
      </w:r>
      <w:r w:rsidR="00CA6AD5" w:rsidRPr="00ED1B69">
        <w:rPr>
          <w:rFonts w:ascii="Times New Roman" w:hAnsi="Times New Roman"/>
          <w:b/>
          <w:color w:val="auto"/>
          <w:sz w:val="23"/>
          <w:szCs w:val="23"/>
        </w:rPr>
        <w:t xml:space="preserve">tricité et autres combustibles </w:t>
      </w:r>
    </w:p>
    <w:p w:rsidR="00B16003" w:rsidRDefault="000F0B2D" w:rsidP="003671B8">
      <w:pPr>
        <w:rPr>
          <w:rFonts w:ascii="Times New Roman" w:hAnsi="Times New Roman" w:cs="Times New Roman"/>
          <w:bCs/>
          <w:sz w:val="16"/>
          <w:szCs w:val="16"/>
          <w:u w:val="single"/>
        </w:rPr>
      </w:pPr>
      <w:r>
        <w:rPr>
          <w:noProof/>
          <w:lang w:eastAsia="fr-FR"/>
        </w:rPr>
        <w:drawing>
          <wp:inline distT="0" distB="0" distL="0" distR="0" wp14:anchorId="222C5FDF" wp14:editId="0D11D672">
            <wp:extent cx="6105525" cy="1962150"/>
            <wp:effectExtent l="0" t="0" r="0" b="0"/>
            <wp:docPr id="19" name="Graphique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671B8" w:rsidRDefault="003671B8" w:rsidP="003671B8">
      <w:pPr>
        <w:rPr>
          <w:rFonts w:ascii="Times New Roman" w:hAnsi="Times New Roman" w:cs="Times New Roman"/>
          <w:bCs/>
          <w:sz w:val="16"/>
          <w:szCs w:val="16"/>
        </w:rPr>
      </w:pPr>
      <w:r w:rsidRPr="0042781F">
        <w:rPr>
          <w:rFonts w:ascii="Times New Roman" w:hAnsi="Times New Roman" w:cs="Times New Roman"/>
          <w:bCs/>
          <w:sz w:val="16"/>
          <w:szCs w:val="16"/>
          <w:u w:val="single"/>
        </w:rPr>
        <w:t>Source</w:t>
      </w:r>
      <w:r w:rsidR="00910B3F">
        <w:rPr>
          <w:rFonts w:ascii="Times New Roman" w:hAnsi="Times New Roman" w:cs="Times New Roman"/>
          <w:bCs/>
          <w:sz w:val="16"/>
          <w:szCs w:val="16"/>
        </w:rPr>
        <w:t> : DSS/INSD</w:t>
      </w:r>
      <w:r w:rsidR="00EA37C7">
        <w:rPr>
          <w:rFonts w:ascii="Times New Roman" w:hAnsi="Times New Roman" w:cs="Times New Roman"/>
          <w:bCs/>
          <w:sz w:val="16"/>
          <w:szCs w:val="16"/>
        </w:rPr>
        <w:t xml:space="preserve">, </w:t>
      </w:r>
      <w:r w:rsidR="00612960">
        <w:rPr>
          <w:rFonts w:ascii="Times New Roman" w:hAnsi="Times New Roman" w:cs="Times New Roman"/>
          <w:bCs/>
          <w:sz w:val="16"/>
          <w:szCs w:val="16"/>
        </w:rPr>
        <w:t xml:space="preserve">juin </w:t>
      </w:r>
      <w:r w:rsidR="00053949">
        <w:rPr>
          <w:rFonts w:ascii="Times New Roman" w:hAnsi="Times New Roman" w:cs="Times New Roman"/>
          <w:bCs/>
          <w:sz w:val="16"/>
          <w:szCs w:val="16"/>
        </w:rPr>
        <w:t>2021</w:t>
      </w:r>
    </w:p>
    <w:p w:rsidR="004A7351" w:rsidRDefault="004A7351" w:rsidP="004A7351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A7351" w:rsidRPr="00ED1B69" w:rsidRDefault="007A45A1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lastRenderedPageBreak/>
        <w:t>Graphique</w:t>
      </w:r>
      <w:r w:rsidR="00C26A1D" w:rsidRPr="00ED1B69">
        <w:rPr>
          <w:rFonts w:ascii="Times New Roman" w:hAnsi="Times New Roman"/>
          <w:b/>
          <w:color w:val="auto"/>
          <w:sz w:val="23"/>
          <w:szCs w:val="23"/>
        </w:rPr>
        <w:t xml:space="preserve"> 5</w:t>
      </w:r>
      <w:r w:rsidR="003671B8" w:rsidRPr="00ED1B69">
        <w:rPr>
          <w:rFonts w:ascii="Times New Roman" w:hAnsi="Times New Roman"/>
          <w:b/>
          <w:color w:val="auto"/>
          <w:sz w:val="23"/>
          <w:szCs w:val="23"/>
        </w:rPr>
        <w:t> : Evolution mensuelle des indices des produits importés et locaux</w:t>
      </w:r>
    </w:p>
    <w:p w:rsidR="00FC5523" w:rsidRPr="00E72A3E" w:rsidRDefault="00180E87" w:rsidP="00E72A3E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653B170" wp14:editId="1F5EB13C">
            <wp:extent cx="5905500" cy="2114550"/>
            <wp:effectExtent l="0" t="0" r="0" b="0"/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3671B8" w:rsidRPr="0042781F">
        <w:rPr>
          <w:rFonts w:ascii="Times New Roman" w:hAnsi="Times New Roman" w:cs="Times New Roman"/>
          <w:bCs/>
          <w:iCs/>
          <w:sz w:val="16"/>
          <w:szCs w:val="16"/>
          <w:u w:val="single"/>
        </w:rPr>
        <w:t>Source </w:t>
      </w:r>
      <w:r w:rsidR="003671B8" w:rsidRPr="0042781F">
        <w:rPr>
          <w:rFonts w:ascii="Times New Roman" w:hAnsi="Times New Roman" w:cs="Times New Roman"/>
          <w:b/>
          <w:bCs/>
          <w:iCs/>
          <w:sz w:val="16"/>
          <w:szCs w:val="16"/>
        </w:rPr>
        <w:t xml:space="preserve">: </w:t>
      </w:r>
      <w:r w:rsidR="00910B3F">
        <w:rPr>
          <w:rFonts w:ascii="Times New Roman" w:hAnsi="Times New Roman" w:cs="Times New Roman"/>
          <w:bCs/>
          <w:iCs/>
          <w:sz w:val="16"/>
          <w:szCs w:val="16"/>
        </w:rPr>
        <w:t>DSS/INSD</w:t>
      </w:r>
      <w:r w:rsidR="003671B8" w:rsidRPr="0042781F">
        <w:rPr>
          <w:rFonts w:ascii="Times New Roman" w:hAnsi="Times New Roman" w:cs="Times New Roman"/>
          <w:bCs/>
          <w:iCs/>
          <w:sz w:val="16"/>
          <w:szCs w:val="16"/>
        </w:rPr>
        <w:t xml:space="preserve">, </w:t>
      </w:r>
      <w:r w:rsidR="00612960">
        <w:rPr>
          <w:rFonts w:ascii="Times New Roman" w:hAnsi="Times New Roman" w:cs="Times New Roman"/>
          <w:bCs/>
          <w:sz w:val="16"/>
          <w:szCs w:val="16"/>
        </w:rPr>
        <w:t>juin</w:t>
      </w:r>
      <w:r w:rsidR="00053949">
        <w:rPr>
          <w:rFonts w:ascii="Times New Roman" w:hAnsi="Times New Roman" w:cs="Times New Roman"/>
          <w:bCs/>
          <w:sz w:val="16"/>
          <w:szCs w:val="16"/>
        </w:rPr>
        <w:t xml:space="preserve"> 2021</w:t>
      </w:r>
      <w:bookmarkStart w:id="0" w:name="_GoBack"/>
      <w:bookmarkEnd w:id="0"/>
    </w:p>
    <w:p w:rsidR="009A1366" w:rsidRPr="00ED1B69" w:rsidRDefault="003671B8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 xml:space="preserve">Tableau </w:t>
      </w:r>
      <w:r w:rsidR="009A1366" w:rsidRPr="00ED1B69">
        <w:rPr>
          <w:rFonts w:ascii="Times New Roman" w:hAnsi="Times New Roman"/>
          <w:b/>
          <w:color w:val="auto"/>
          <w:sz w:val="23"/>
          <w:szCs w:val="23"/>
        </w:rPr>
        <w:t>2</w:t>
      </w:r>
      <w:r w:rsidRPr="00ED1B69">
        <w:rPr>
          <w:rFonts w:ascii="Times New Roman" w:hAnsi="Times New Roman"/>
          <w:b/>
          <w:color w:val="auto"/>
          <w:sz w:val="23"/>
          <w:szCs w:val="23"/>
        </w:rPr>
        <w:t> : IHPC suivant les nomen</w:t>
      </w:r>
      <w:r w:rsidR="00612960" w:rsidRPr="00ED1B69">
        <w:rPr>
          <w:rFonts w:ascii="Times New Roman" w:hAnsi="Times New Roman"/>
          <w:b/>
          <w:color w:val="auto"/>
          <w:sz w:val="23"/>
          <w:szCs w:val="23"/>
        </w:rPr>
        <w:t>clatures secondaires en juin</w:t>
      </w:r>
      <w:r w:rsidR="00A00B1E" w:rsidRPr="00ED1B69">
        <w:rPr>
          <w:rFonts w:ascii="Times New Roman" w:hAnsi="Times New Roman"/>
          <w:b/>
          <w:color w:val="auto"/>
          <w:sz w:val="23"/>
          <w:szCs w:val="23"/>
        </w:rPr>
        <w:t xml:space="preserve"> 2021</w:t>
      </w:r>
    </w:p>
    <w:tbl>
      <w:tblPr>
        <w:tblW w:w="974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691"/>
        <w:gridCol w:w="810"/>
        <w:gridCol w:w="816"/>
        <w:gridCol w:w="860"/>
        <w:gridCol w:w="810"/>
        <w:gridCol w:w="810"/>
        <w:gridCol w:w="675"/>
        <w:gridCol w:w="675"/>
        <w:gridCol w:w="815"/>
      </w:tblGrid>
      <w:tr w:rsidR="0063318D" w:rsidRPr="004577D5" w:rsidTr="003671B8">
        <w:trPr>
          <w:trHeight w:val="315"/>
        </w:trPr>
        <w:tc>
          <w:tcPr>
            <w:tcW w:w="27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juin.-20</w:t>
            </w:r>
          </w:p>
        </w:tc>
        <w:tc>
          <w:tcPr>
            <w:tcW w:w="81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1A515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mar.-21</w:t>
            </w:r>
          </w:p>
        </w:tc>
        <w:tc>
          <w:tcPr>
            <w:tcW w:w="8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1A515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avr.-21</w:t>
            </w:r>
          </w:p>
        </w:tc>
        <w:tc>
          <w:tcPr>
            <w:tcW w:w="81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1A515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mai.-21</w:t>
            </w:r>
          </w:p>
        </w:tc>
        <w:tc>
          <w:tcPr>
            <w:tcW w:w="81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juin.-21</w:t>
            </w:r>
          </w:p>
        </w:tc>
        <w:tc>
          <w:tcPr>
            <w:tcW w:w="675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 mois</w:t>
            </w:r>
          </w:p>
        </w:tc>
        <w:tc>
          <w:tcPr>
            <w:tcW w:w="675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 mois</w:t>
            </w:r>
          </w:p>
        </w:tc>
        <w:tc>
          <w:tcPr>
            <w:tcW w:w="815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00FFFF"/>
            <w:vAlign w:val="bottom"/>
            <w:hideMark/>
          </w:tcPr>
          <w:p w:rsidR="0063318D" w:rsidRPr="004577D5" w:rsidRDefault="0063318D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 mois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global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103,2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106,3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109,2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2,7%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5,8%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4,6%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produits frais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109,0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106,3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113,0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121,6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7,6%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16,9%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11,6%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énergie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99,3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93,5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94,8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97,9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99,7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1,8%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6,6%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0,4%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hors énergie, hors produits frais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105,1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105,7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106,8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1,0%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2,0%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2,4%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secteur primaire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108,1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101,2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112,1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122,6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9,4%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21,1%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13,4%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secteur secondaire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103,0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102,8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103,7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105,5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108,0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2,4%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5,1%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4,9%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secteur tertiaire (services)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105,3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0,1%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-0,5%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produits importés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101,5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101,3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101,5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101,4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101,7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0,3%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0,4%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0,2%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produits locaux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106,4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103,8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105,2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108,5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112,8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4,0%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8,7%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6,0%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des biens durables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107,3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107,3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107,8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108,2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0,4%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0,8%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3,9%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des biens semi durables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102,7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101,8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102,3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103,9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0,7%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2,8%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1,9%</w:t>
            </w:r>
          </w:p>
        </w:tc>
      </w:tr>
      <w:tr w:rsidR="0063318D" w:rsidRPr="004577D5" w:rsidTr="003671B8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Indice des biens non durables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105,2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102,4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108,6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114,4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5,3%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11,7%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8,7%</w:t>
            </w:r>
          </w:p>
        </w:tc>
      </w:tr>
      <w:tr w:rsidR="0063318D" w:rsidRPr="004577D5" w:rsidTr="003671B8">
        <w:trPr>
          <w:trHeight w:val="315"/>
        </w:trPr>
        <w:tc>
          <w:tcPr>
            <w:tcW w:w="2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Services</w:t>
            </w:r>
          </w:p>
        </w:tc>
        <w:tc>
          <w:tcPr>
            <w:tcW w:w="6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18D" w:rsidRPr="004577D5" w:rsidRDefault="0063318D" w:rsidP="003671B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77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4370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105,3</w:t>
            </w:r>
          </w:p>
        </w:tc>
        <w:tc>
          <w:tcPr>
            <w:tcW w:w="8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104,7</w:t>
            </w:r>
          </w:p>
        </w:tc>
        <w:tc>
          <w:tcPr>
            <w:tcW w:w="8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104,7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104,8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104,8</w:t>
            </w:r>
          </w:p>
        </w:tc>
        <w:tc>
          <w:tcPr>
            <w:tcW w:w="67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0,0%</w:t>
            </w:r>
          </w:p>
        </w:tc>
        <w:tc>
          <w:tcPr>
            <w:tcW w:w="67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0,1%</w:t>
            </w:r>
          </w:p>
        </w:tc>
        <w:tc>
          <w:tcPr>
            <w:tcW w:w="8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3318D" w:rsidRPr="0063318D" w:rsidRDefault="0063318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3318D">
              <w:rPr>
                <w:rFonts w:ascii="Times New Roman" w:hAnsi="Times New Roman" w:cs="Times New Roman"/>
                <w:sz w:val="18"/>
                <w:szCs w:val="18"/>
              </w:rPr>
              <w:t>-0,5%</w:t>
            </w:r>
          </w:p>
        </w:tc>
      </w:tr>
    </w:tbl>
    <w:p w:rsidR="003671B8" w:rsidRPr="00B54150" w:rsidRDefault="00612960" w:rsidP="003671B8">
      <w:pPr>
        <w:ind w:left="-851"/>
        <w:rPr>
          <w:rFonts w:ascii="Times New Roman" w:hAnsi="Times New Roman" w:cs="Times New Roman"/>
          <w:bCs/>
          <w:sz w:val="16"/>
          <w:szCs w:val="16"/>
        </w:rPr>
      </w:pPr>
      <w:r w:rsidRPr="00612960">
        <w:rPr>
          <w:rFonts w:ascii="Times New Roman" w:hAnsi="Times New Roman" w:cs="Times New Roman"/>
          <w:bCs/>
          <w:sz w:val="16"/>
          <w:szCs w:val="16"/>
        </w:rPr>
        <w:t xml:space="preserve">                     </w:t>
      </w:r>
      <w:r w:rsidR="003671B8" w:rsidRPr="00B54150">
        <w:rPr>
          <w:rFonts w:ascii="Times New Roman" w:hAnsi="Times New Roman" w:cs="Times New Roman"/>
          <w:bCs/>
          <w:sz w:val="16"/>
          <w:szCs w:val="16"/>
          <w:u w:val="single"/>
        </w:rPr>
        <w:t>Source</w:t>
      </w:r>
      <w:r w:rsidR="00910B3F">
        <w:rPr>
          <w:rFonts w:ascii="Times New Roman" w:hAnsi="Times New Roman" w:cs="Times New Roman"/>
          <w:bCs/>
          <w:sz w:val="16"/>
          <w:szCs w:val="16"/>
        </w:rPr>
        <w:t> : DSS/INSD</w:t>
      </w:r>
      <w:r w:rsidR="00EA37C7">
        <w:rPr>
          <w:rFonts w:ascii="Times New Roman" w:hAnsi="Times New Roman" w:cs="Times New Roman"/>
          <w:bCs/>
          <w:sz w:val="16"/>
          <w:szCs w:val="16"/>
        </w:rPr>
        <w:t xml:space="preserve">, </w:t>
      </w:r>
      <w:r>
        <w:rPr>
          <w:rFonts w:ascii="Times New Roman" w:hAnsi="Times New Roman" w:cs="Times New Roman"/>
          <w:bCs/>
          <w:sz w:val="16"/>
          <w:szCs w:val="16"/>
        </w:rPr>
        <w:t>juin</w:t>
      </w:r>
      <w:r w:rsidR="00A00B1E"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3671B8" w:rsidRDefault="003671B8" w:rsidP="003671B8">
      <w:pPr>
        <w:ind w:firstLine="708"/>
      </w:pPr>
    </w:p>
    <w:p w:rsidR="003671B8" w:rsidRDefault="003671B8" w:rsidP="003671B8">
      <w:pPr>
        <w:ind w:firstLine="708"/>
      </w:pPr>
    </w:p>
    <w:p w:rsidR="009A1366" w:rsidRPr="00ED1B69" w:rsidRDefault="009A1366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>Tableau 3</w:t>
      </w:r>
      <w:r w:rsidR="003671B8" w:rsidRPr="00ED1B69">
        <w:rPr>
          <w:rFonts w:ascii="Times New Roman" w:hAnsi="Times New Roman"/>
          <w:b/>
          <w:color w:val="auto"/>
          <w:sz w:val="23"/>
          <w:szCs w:val="23"/>
        </w:rPr>
        <w:t> : IHP</w:t>
      </w:r>
      <w:r w:rsidR="00EA37C7" w:rsidRPr="00ED1B69">
        <w:rPr>
          <w:rFonts w:ascii="Times New Roman" w:hAnsi="Times New Roman"/>
          <w:b/>
          <w:color w:val="auto"/>
          <w:sz w:val="23"/>
          <w:szCs w:val="23"/>
        </w:rPr>
        <w:t xml:space="preserve">C suivant les régions en </w:t>
      </w:r>
      <w:r w:rsidR="00612960" w:rsidRPr="00ED1B69">
        <w:rPr>
          <w:rFonts w:ascii="Times New Roman" w:hAnsi="Times New Roman"/>
          <w:b/>
          <w:color w:val="auto"/>
          <w:sz w:val="23"/>
          <w:szCs w:val="23"/>
        </w:rPr>
        <w:t>juin</w:t>
      </w:r>
      <w:r w:rsidR="00A00B1E" w:rsidRPr="00ED1B69">
        <w:rPr>
          <w:rFonts w:ascii="Times New Roman" w:hAnsi="Times New Roman"/>
          <w:b/>
          <w:color w:val="auto"/>
          <w:sz w:val="23"/>
          <w:szCs w:val="23"/>
        </w:rPr>
        <w:t xml:space="preserve"> 2021</w:t>
      </w:r>
    </w:p>
    <w:tbl>
      <w:tblPr>
        <w:tblW w:w="855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712"/>
        <w:gridCol w:w="764"/>
        <w:gridCol w:w="860"/>
        <w:gridCol w:w="860"/>
        <w:gridCol w:w="763"/>
        <w:gridCol w:w="763"/>
        <w:gridCol w:w="766"/>
        <w:gridCol w:w="765"/>
        <w:gridCol w:w="765"/>
      </w:tblGrid>
      <w:tr w:rsidR="003671B8" w:rsidRPr="0080208F" w:rsidTr="003671B8">
        <w:trPr>
          <w:trHeight w:val="315"/>
        </w:trPr>
        <w:tc>
          <w:tcPr>
            <w:tcW w:w="153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3671B8" w:rsidRPr="0080208F" w:rsidRDefault="003671B8" w:rsidP="003671B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80208F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 </w:t>
            </w:r>
          </w:p>
        </w:tc>
        <w:tc>
          <w:tcPr>
            <w:tcW w:w="712" w:type="dxa"/>
            <w:vMerge w:val="restart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3671B8" w:rsidRPr="0080208F" w:rsidRDefault="003671B8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Poids</w:t>
            </w:r>
          </w:p>
        </w:tc>
        <w:tc>
          <w:tcPr>
            <w:tcW w:w="4010" w:type="dxa"/>
            <w:gridSpan w:val="5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3671B8" w:rsidRPr="0080208F" w:rsidRDefault="003671B8" w:rsidP="003671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sz w:val="18"/>
                <w:szCs w:val="18"/>
              </w:rPr>
              <w:t>Indice des mois de :</w:t>
            </w:r>
          </w:p>
        </w:tc>
        <w:tc>
          <w:tcPr>
            <w:tcW w:w="2296" w:type="dxa"/>
            <w:gridSpan w:val="3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3671B8" w:rsidRPr="0080208F" w:rsidRDefault="003671B8" w:rsidP="003671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sz w:val="18"/>
                <w:szCs w:val="18"/>
              </w:rPr>
              <w:t>Variation depuis :</w:t>
            </w:r>
          </w:p>
        </w:tc>
      </w:tr>
      <w:tr w:rsidR="00C41D2B" w:rsidRPr="0080208F" w:rsidTr="003671B8">
        <w:trPr>
          <w:trHeight w:val="300"/>
        </w:trPr>
        <w:tc>
          <w:tcPr>
            <w:tcW w:w="1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hideMark/>
          </w:tcPr>
          <w:p w:rsidR="00C41D2B" w:rsidRPr="0080208F" w:rsidRDefault="00C41D2B" w:rsidP="003671B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80208F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 </w:t>
            </w:r>
          </w:p>
        </w:tc>
        <w:tc>
          <w:tcPr>
            <w:tcW w:w="712" w:type="dxa"/>
            <w:vMerge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41D2B" w:rsidRPr="0080208F" w:rsidRDefault="00C41D2B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80208F" w:rsidRDefault="00580341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juin</w:t>
            </w:r>
            <w:r w:rsidR="003369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.-20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80208F" w:rsidRDefault="00C41D2B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80208F" w:rsidRDefault="00C41D2B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4577D5" w:rsidRDefault="00580341" w:rsidP="005A5C8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mai.-21</w:t>
            </w:r>
          </w:p>
        </w:tc>
        <w:tc>
          <w:tcPr>
            <w:tcW w:w="7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4577D5" w:rsidRDefault="00580341" w:rsidP="005A5C8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juin</w:t>
            </w:r>
            <w:r w:rsidR="00C41D2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.-21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80208F" w:rsidRDefault="00C41D2B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 mois</w:t>
            </w:r>
          </w:p>
        </w:tc>
        <w:tc>
          <w:tcPr>
            <w:tcW w:w="7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80208F" w:rsidRDefault="00C41D2B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 mois</w:t>
            </w:r>
          </w:p>
        </w:tc>
        <w:tc>
          <w:tcPr>
            <w:tcW w:w="7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C41D2B" w:rsidRPr="0080208F" w:rsidRDefault="00C41D2B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 mois</w:t>
            </w:r>
          </w:p>
        </w:tc>
      </w:tr>
      <w:tr w:rsidR="0033692A" w:rsidRPr="0080208F" w:rsidTr="00E65DE1">
        <w:trPr>
          <w:trHeight w:val="300"/>
        </w:trPr>
        <w:tc>
          <w:tcPr>
            <w:tcW w:w="1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  <w:vMerge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6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33692A" w:rsidRPr="0080208F" w:rsidRDefault="00580341" w:rsidP="005A5C8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mar.-21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33692A" w:rsidRPr="0080208F" w:rsidRDefault="00580341" w:rsidP="005A5C8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avr.-21</w:t>
            </w:r>
          </w:p>
        </w:tc>
        <w:tc>
          <w:tcPr>
            <w:tcW w:w="76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692A" w:rsidRPr="0080208F" w:rsidRDefault="0033692A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E492B" w:rsidRPr="0080208F" w:rsidTr="00E65DE1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92B" w:rsidRPr="0080208F" w:rsidRDefault="00CE492B" w:rsidP="003671B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INDICE GLOBAL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92B" w:rsidRPr="0080208F" w:rsidRDefault="00CE492B" w:rsidP="003671B8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104,4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103,2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104,3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106,3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109,2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2,7%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5,8%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4,6%</w:t>
            </w:r>
          </w:p>
        </w:tc>
      </w:tr>
      <w:tr w:rsidR="00CE492B" w:rsidRPr="0080208F" w:rsidTr="003671B8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80208F" w:rsidRDefault="00645EC4" w:rsidP="00645E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Sud-O</w:t>
            </w:r>
            <w:r w:rsidR="00CE492B" w:rsidRPr="0080208F">
              <w:rPr>
                <w:rFonts w:ascii="Times New Roman" w:hAnsi="Times New Roman" w:cs="Times New Roman"/>
                <w:sz w:val="18"/>
                <w:szCs w:val="18"/>
              </w:rPr>
              <w:t>uest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92B" w:rsidRPr="0080208F" w:rsidRDefault="00CE492B" w:rsidP="003671B8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104,8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104,2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104,8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107,4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110,4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2,8%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6,0%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5,3%</w:t>
            </w:r>
          </w:p>
        </w:tc>
      </w:tr>
      <w:tr w:rsidR="00CE492B" w:rsidRPr="0080208F" w:rsidTr="003671B8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80208F" w:rsidRDefault="00645EC4" w:rsidP="00645E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Sud-E</w:t>
            </w:r>
            <w:r w:rsidR="00CE492B" w:rsidRPr="0080208F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92B" w:rsidRPr="0080208F" w:rsidRDefault="00CE492B" w:rsidP="003671B8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102,6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100,9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103,0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104,9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107,5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2,5%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6,5%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4,8%</w:t>
            </w:r>
          </w:p>
        </w:tc>
      </w:tr>
      <w:tr w:rsidR="00CE492B" w:rsidRPr="0080208F" w:rsidTr="003671B8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80208F" w:rsidRDefault="00CE492B" w:rsidP="003671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sz w:val="18"/>
                <w:szCs w:val="18"/>
              </w:rPr>
              <w:t>3. Centre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92B" w:rsidRPr="0080208F" w:rsidRDefault="00CE492B" w:rsidP="003671B8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101,7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101,9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103,9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105,3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109,2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3,7%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7,2%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7,4%</w:t>
            </w:r>
          </w:p>
        </w:tc>
      </w:tr>
      <w:tr w:rsidR="00CE492B" w:rsidRPr="0080208F" w:rsidTr="003671B8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80208F" w:rsidRDefault="00645EC4" w:rsidP="00645E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Nord-E</w:t>
            </w:r>
            <w:r w:rsidR="00CE492B" w:rsidRPr="0080208F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92B" w:rsidRPr="0080208F" w:rsidRDefault="00CE492B" w:rsidP="003671B8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113,4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111,4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113,5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112,6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113,8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1,1%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2,2%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0,4%</w:t>
            </w:r>
          </w:p>
        </w:tc>
      </w:tr>
      <w:tr w:rsidR="00CE492B" w:rsidRPr="0080208F" w:rsidTr="003671B8">
        <w:trPr>
          <w:trHeight w:val="315"/>
        </w:trPr>
        <w:tc>
          <w:tcPr>
            <w:tcW w:w="15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80208F" w:rsidRDefault="00645EC4" w:rsidP="00645E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Nord-O</w:t>
            </w:r>
            <w:r w:rsidR="00CE492B" w:rsidRPr="0080208F">
              <w:rPr>
                <w:rFonts w:ascii="Times New Roman" w:hAnsi="Times New Roman" w:cs="Times New Roman"/>
                <w:sz w:val="18"/>
                <w:szCs w:val="18"/>
              </w:rPr>
              <w:t>uest</w:t>
            </w:r>
          </w:p>
        </w:tc>
        <w:tc>
          <w:tcPr>
            <w:tcW w:w="7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80208F" w:rsidRDefault="00CE492B" w:rsidP="003671B8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208F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99,5</w:t>
            </w:r>
          </w:p>
        </w:tc>
        <w:tc>
          <w:tcPr>
            <w:tcW w:w="8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93,5</w:t>
            </w:r>
          </w:p>
        </w:tc>
        <w:tc>
          <w:tcPr>
            <w:tcW w:w="8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93,6</w:t>
            </w:r>
          </w:p>
        </w:tc>
        <w:tc>
          <w:tcPr>
            <w:tcW w:w="7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96,2</w:t>
            </w:r>
          </w:p>
        </w:tc>
        <w:tc>
          <w:tcPr>
            <w:tcW w:w="7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99,5</w:t>
            </w:r>
          </w:p>
        </w:tc>
        <w:tc>
          <w:tcPr>
            <w:tcW w:w="76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CFFCC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3,4%</w:t>
            </w:r>
          </w:p>
        </w:tc>
        <w:tc>
          <w:tcPr>
            <w:tcW w:w="76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CC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6,4%</w:t>
            </w:r>
          </w:p>
        </w:tc>
        <w:tc>
          <w:tcPr>
            <w:tcW w:w="76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C99FF"/>
            <w:vAlign w:val="bottom"/>
            <w:hideMark/>
          </w:tcPr>
          <w:p w:rsidR="00CE492B" w:rsidRPr="00CE492B" w:rsidRDefault="00CE492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E492B">
              <w:rPr>
                <w:rFonts w:ascii="Times New Roman" w:hAnsi="Times New Roman" w:cs="Times New Roman"/>
                <w:sz w:val="18"/>
                <w:szCs w:val="18"/>
              </w:rPr>
              <w:t>0,0%</w:t>
            </w:r>
          </w:p>
        </w:tc>
      </w:tr>
    </w:tbl>
    <w:p w:rsidR="003671B8" w:rsidRDefault="003671B8" w:rsidP="003671B8">
      <w:pPr>
        <w:rPr>
          <w:rFonts w:ascii="Times New Roman" w:hAnsi="Times New Roman" w:cs="Times New Roman"/>
          <w:bCs/>
          <w:sz w:val="16"/>
          <w:szCs w:val="16"/>
        </w:rPr>
      </w:pPr>
      <w:r w:rsidRPr="00583FBC">
        <w:rPr>
          <w:rFonts w:ascii="Times New Roman" w:hAnsi="Times New Roman" w:cs="Times New Roman"/>
          <w:bCs/>
          <w:sz w:val="16"/>
          <w:szCs w:val="16"/>
          <w:u w:val="single"/>
        </w:rPr>
        <w:t>Source</w:t>
      </w:r>
      <w:r w:rsidR="00910B3F">
        <w:rPr>
          <w:rFonts w:ascii="Times New Roman" w:hAnsi="Times New Roman" w:cs="Times New Roman"/>
          <w:bCs/>
          <w:sz w:val="16"/>
          <w:szCs w:val="16"/>
        </w:rPr>
        <w:t> : DSS/INSD</w:t>
      </w:r>
      <w:r w:rsidR="00EA37C7">
        <w:rPr>
          <w:rFonts w:ascii="Times New Roman" w:hAnsi="Times New Roman" w:cs="Times New Roman"/>
          <w:bCs/>
          <w:sz w:val="16"/>
          <w:szCs w:val="16"/>
        </w:rPr>
        <w:t xml:space="preserve">, </w:t>
      </w:r>
      <w:r w:rsidR="00612960">
        <w:rPr>
          <w:rFonts w:ascii="Times New Roman" w:hAnsi="Times New Roman" w:cs="Times New Roman"/>
          <w:bCs/>
          <w:sz w:val="16"/>
          <w:szCs w:val="16"/>
        </w:rPr>
        <w:t>juin</w:t>
      </w:r>
      <w:r w:rsidR="00A00B1E"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255646" w:rsidRDefault="00255646" w:rsidP="003671B8">
      <w:pPr>
        <w:rPr>
          <w:rFonts w:ascii="Times New Roman" w:hAnsi="Times New Roman" w:cs="Times New Roman"/>
          <w:bCs/>
          <w:sz w:val="16"/>
          <w:szCs w:val="16"/>
        </w:rPr>
      </w:pPr>
    </w:p>
    <w:p w:rsidR="00C41D2B" w:rsidRDefault="00C41D2B" w:rsidP="003671B8">
      <w:pPr>
        <w:jc w:val="both"/>
        <w:rPr>
          <w:b/>
          <w:bCs/>
          <w:i/>
          <w:iCs/>
        </w:rPr>
      </w:pPr>
    </w:p>
    <w:p w:rsidR="003671B8" w:rsidRPr="00ED1B69" w:rsidRDefault="003671B8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lastRenderedPageBreak/>
        <w:t xml:space="preserve">Tableau </w:t>
      </w:r>
      <w:r w:rsidR="009A1366" w:rsidRPr="00ED1B69">
        <w:rPr>
          <w:rFonts w:ascii="Times New Roman" w:hAnsi="Times New Roman"/>
          <w:b/>
          <w:color w:val="auto"/>
          <w:sz w:val="23"/>
          <w:szCs w:val="23"/>
        </w:rPr>
        <w:t>4</w:t>
      </w:r>
      <w:r w:rsidRPr="00ED1B69">
        <w:rPr>
          <w:rFonts w:ascii="Times New Roman" w:hAnsi="Times New Roman"/>
          <w:b/>
          <w:color w:val="auto"/>
          <w:sz w:val="23"/>
          <w:szCs w:val="23"/>
        </w:rPr>
        <w:t xml:space="preserve"> : Prix moyens (en F.CFA) de certains produits de première nécessité dans </w:t>
      </w:r>
      <w:r w:rsidR="00EA37C7" w:rsidRPr="00ED1B69">
        <w:rPr>
          <w:rFonts w:ascii="Times New Roman" w:hAnsi="Times New Roman"/>
          <w:b/>
          <w:color w:val="auto"/>
          <w:sz w:val="23"/>
          <w:szCs w:val="23"/>
        </w:rPr>
        <w:t xml:space="preserve">les grandes villes en </w:t>
      </w:r>
      <w:r w:rsidR="00612960" w:rsidRPr="00ED1B69">
        <w:rPr>
          <w:rFonts w:ascii="Times New Roman" w:hAnsi="Times New Roman"/>
          <w:b/>
          <w:color w:val="auto"/>
          <w:sz w:val="23"/>
          <w:szCs w:val="23"/>
        </w:rPr>
        <w:t>juin</w:t>
      </w:r>
      <w:r w:rsidRPr="00ED1B69">
        <w:rPr>
          <w:rFonts w:ascii="Times New Roman" w:hAnsi="Times New Roman"/>
          <w:b/>
          <w:color w:val="auto"/>
          <w:sz w:val="23"/>
          <w:szCs w:val="23"/>
        </w:rPr>
        <w:t xml:space="preserve"> 202</w:t>
      </w:r>
      <w:r w:rsidR="00CB0B44" w:rsidRPr="00ED1B69">
        <w:rPr>
          <w:rFonts w:ascii="Times New Roman" w:hAnsi="Times New Roman"/>
          <w:b/>
          <w:color w:val="auto"/>
          <w:sz w:val="23"/>
          <w:szCs w:val="23"/>
        </w:rPr>
        <w:t>1</w:t>
      </w:r>
    </w:p>
    <w:tbl>
      <w:tblPr>
        <w:tblW w:w="10393" w:type="dxa"/>
        <w:tblInd w:w="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5"/>
        <w:gridCol w:w="992"/>
        <w:gridCol w:w="992"/>
        <w:gridCol w:w="1011"/>
        <w:gridCol w:w="992"/>
        <w:gridCol w:w="910"/>
        <w:gridCol w:w="991"/>
        <w:gridCol w:w="970"/>
      </w:tblGrid>
      <w:tr w:rsidR="003671B8" w:rsidRPr="0058147B" w:rsidTr="003671B8">
        <w:trPr>
          <w:trHeight w:val="375"/>
        </w:trPr>
        <w:tc>
          <w:tcPr>
            <w:tcW w:w="35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Produits</w:t>
            </w:r>
          </w:p>
        </w:tc>
        <w:tc>
          <w:tcPr>
            <w:tcW w:w="588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3671B8" w:rsidRPr="0058147B" w:rsidRDefault="003671B8" w:rsidP="003671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Les principales villes</w:t>
            </w:r>
          </w:p>
        </w:tc>
        <w:tc>
          <w:tcPr>
            <w:tcW w:w="9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671B8" w:rsidRPr="0058147B" w:rsidRDefault="003671B8" w:rsidP="003671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Prix moyen </w:t>
            </w:r>
          </w:p>
        </w:tc>
      </w:tr>
      <w:tr w:rsidR="003671B8" w:rsidRPr="0058147B" w:rsidTr="003671B8">
        <w:trPr>
          <w:trHeight w:val="585"/>
        </w:trPr>
        <w:tc>
          <w:tcPr>
            <w:tcW w:w="35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Cotonou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Porto-Novo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Parakou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Natitingou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bookmarkStart w:id="1" w:name="RANGE!F5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Bohicon</w:t>
            </w:r>
            <w:bookmarkEnd w:id="1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Lokossa</w:t>
            </w:r>
          </w:p>
        </w:tc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71B8" w:rsidRPr="0058147B" w:rsidRDefault="003671B8" w:rsidP="003671B8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C6839" w:rsidRPr="0058147B" w:rsidTr="003671B8">
        <w:trPr>
          <w:trHeight w:val="133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Maïs séchés en grains vendus au détail (1KG)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</w:t>
            </w:r>
          </w:p>
        </w:tc>
      </w:tr>
      <w:tr w:rsidR="002C6839" w:rsidRPr="0058147B" w:rsidTr="003671B8">
        <w:trPr>
          <w:trHeight w:val="193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Riz en grains longs vendu au détail (1KG)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521</w:t>
            </w:r>
          </w:p>
        </w:tc>
      </w:tr>
      <w:tr w:rsidR="002C6839" w:rsidRPr="0058147B" w:rsidTr="003671B8">
        <w:trPr>
          <w:trHeight w:val="240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Sorgho  (1KG)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421</w:t>
            </w:r>
          </w:p>
        </w:tc>
      </w:tr>
      <w:tr w:rsidR="002C6839" w:rsidRPr="0058147B" w:rsidTr="003671B8">
        <w:trPr>
          <w:trHeight w:val="271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Mil  (1KG)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472</w:t>
            </w:r>
          </w:p>
        </w:tc>
      </w:tr>
      <w:tr w:rsidR="002C6839" w:rsidRPr="0058147B" w:rsidTr="003671B8">
        <w:trPr>
          <w:trHeight w:val="262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Gari 2ème qualité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478</w:t>
            </w:r>
          </w:p>
        </w:tc>
      </w:tr>
      <w:tr w:rsidR="002C6839" w:rsidRPr="0058147B" w:rsidTr="003671B8">
        <w:trPr>
          <w:trHeight w:val="26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Sucre raffiné en poudre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</w:t>
            </w:r>
          </w:p>
        </w:tc>
      </w:tr>
      <w:tr w:rsidR="002C6839" w:rsidRPr="0058147B" w:rsidTr="003671B8">
        <w:trPr>
          <w:trHeight w:val="256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Haricot blanc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693</w:t>
            </w:r>
          </w:p>
        </w:tc>
      </w:tr>
      <w:tr w:rsidR="002C6839" w:rsidRPr="0058147B" w:rsidTr="003671B8">
        <w:trPr>
          <w:trHeight w:val="273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Ignames</w:t>
            </w:r>
            <w:r w:rsidR="00362FA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406</w:t>
            </w:r>
          </w:p>
        </w:tc>
      </w:tr>
      <w:tr w:rsidR="002C6839" w:rsidRPr="0058147B" w:rsidTr="003671B8">
        <w:trPr>
          <w:trHeight w:val="264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Tomate fraiche</w:t>
            </w:r>
            <w:r w:rsidR="00362FA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1 157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997</w:t>
            </w:r>
          </w:p>
        </w:tc>
      </w:tr>
      <w:tr w:rsidR="002C6839" w:rsidRPr="0058147B" w:rsidTr="003671B8">
        <w:trPr>
          <w:trHeight w:val="253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Piment frais  au kg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1 078</w:t>
            </w:r>
          </w:p>
        </w:tc>
      </w:tr>
      <w:tr w:rsidR="002C6839" w:rsidRPr="0058147B" w:rsidTr="003671B8">
        <w:trPr>
          <w:trHeight w:val="257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Oignon frais rond</w:t>
            </w:r>
            <w:r w:rsidR="00362FA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396</w:t>
            </w:r>
          </w:p>
        </w:tc>
      </w:tr>
      <w:tr w:rsidR="002C6839" w:rsidRPr="0058147B" w:rsidTr="003671B8">
        <w:trPr>
          <w:trHeight w:val="27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Huile d'arachide artisanale (1 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1 171</w:t>
            </w:r>
          </w:p>
        </w:tc>
      </w:tr>
      <w:tr w:rsidR="002C6839" w:rsidRPr="0058147B" w:rsidTr="003671B8">
        <w:trPr>
          <w:trHeight w:val="266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Huile de Palme non raffinée (1 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806</w:t>
            </w:r>
          </w:p>
        </w:tc>
      </w:tr>
      <w:tr w:rsidR="002C6839" w:rsidRPr="0058147B" w:rsidTr="003671B8">
        <w:trPr>
          <w:trHeight w:val="25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Pétrole lampant vendu en vrac (1 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604</w:t>
            </w:r>
          </w:p>
        </w:tc>
      </w:tr>
      <w:tr w:rsidR="002C6839" w:rsidRPr="0058147B" w:rsidTr="003671B8">
        <w:trPr>
          <w:trHeight w:val="274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Essence </w:t>
            </w:r>
            <w:proofErr w:type="spellStart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Kpayo</w:t>
            </w:r>
            <w:proofErr w:type="spellEnd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(1 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357</w:t>
            </w:r>
          </w:p>
        </w:tc>
      </w:tr>
      <w:tr w:rsidR="002C6839" w:rsidRPr="0058147B" w:rsidTr="003671B8">
        <w:trPr>
          <w:trHeight w:val="263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Gaz domestique (6Kg)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3 300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3 467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3 443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3 270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3 300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3 380</w:t>
            </w:r>
          </w:p>
        </w:tc>
      </w:tr>
      <w:tr w:rsidR="002C6839" w:rsidRPr="0058147B" w:rsidTr="003671B8">
        <w:trPr>
          <w:trHeight w:val="37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Gaz domestique (12,5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6 850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6 933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7 329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6 815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6 850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6 957</w:t>
            </w:r>
          </w:p>
        </w:tc>
      </w:tr>
      <w:tr w:rsidR="002C6839" w:rsidRPr="0058147B" w:rsidTr="003671B8">
        <w:trPr>
          <w:trHeight w:val="287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Chinchard congelé  (</w:t>
            </w:r>
            <w:proofErr w:type="spellStart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Silvi</w:t>
            </w:r>
            <w:proofErr w:type="spellEnd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1 233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1 475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1 333</w:t>
            </w:r>
          </w:p>
        </w:tc>
      </w:tr>
      <w:tr w:rsidR="002C6839" w:rsidRPr="0058147B" w:rsidTr="003671B8">
        <w:trPr>
          <w:trHeight w:val="263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Viande de bœuf sans os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2 800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1 800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2 400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2 417</w:t>
            </w:r>
          </w:p>
        </w:tc>
      </w:tr>
      <w:tr w:rsidR="002C6839" w:rsidRPr="0058147B" w:rsidTr="003671B8">
        <w:trPr>
          <w:trHeight w:val="141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Viande de mouton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2 800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2 633</w:t>
            </w:r>
          </w:p>
        </w:tc>
      </w:tr>
      <w:tr w:rsidR="002C6839" w:rsidRPr="0058147B" w:rsidTr="003671B8">
        <w:trPr>
          <w:trHeight w:val="17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Riz importé ''GINO'' (5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5 500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5 317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5 553</w:t>
            </w:r>
          </w:p>
        </w:tc>
      </w:tr>
      <w:tr w:rsidR="002C6839" w:rsidRPr="0058147B" w:rsidTr="003671B8">
        <w:trPr>
          <w:trHeight w:val="196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Lait concentré ''JAGO''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1 024</w:t>
            </w:r>
          </w:p>
        </w:tc>
      </w:tr>
      <w:tr w:rsidR="002C6839" w:rsidRPr="0058147B" w:rsidTr="003671B8">
        <w:trPr>
          <w:trHeight w:val="229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Lait concentré ''</w:t>
            </w:r>
            <w:proofErr w:type="spellStart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Cèbon</w:t>
            </w:r>
            <w:proofErr w:type="spellEnd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''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982</w:t>
            </w:r>
          </w:p>
        </w:tc>
      </w:tr>
      <w:tr w:rsidR="002C6839" w:rsidRPr="0058147B" w:rsidTr="003671B8">
        <w:trPr>
          <w:trHeight w:val="121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Farine de blé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481</w:t>
            </w:r>
          </w:p>
        </w:tc>
      </w:tr>
      <w:tr w:rsidR="002C6839" w:rsidRPr="0058147B" w:rsidTr="003671B8">
        <w:trPr>
          <w:trHeight w:val="284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Spaghetti ''</w:t>
            </w:r>
            <w:proofErr w:type="spellStart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Matanti</w:t>
            </w:r>
            <w:proofErr w:type="spellEnd"/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'' (1 KG)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354</w:t>
            </w:r>
          </w:p>
        </w:tc>
      </w:tr>
      <w:tr w:rsidR="002C6839" w:rsidRPr="0058147B" w:rsidTr="003671B8">
        <w:trPr>
          <w:trHeight w:val="17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Ciment NOCIBE (1tonne)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68 667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75 042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77 625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69 750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71 014</w:t>
            </w:r>
          </w:p>
        </w:tc>
      </w:tr>
      <w:tr w:rsidR="002C6839" w:rsidRPr="0058147B" w:rsidTr="003671B8">
        <w:trPr>
          <w:trHeight w:val="37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Ciment SCB Lafarge (1tonne)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69 167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68 667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75 042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77 625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69 500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71 167</w:t>
            </w:r>
          </w:p>
        </w:tc>
      </w:tr>
      <w:tr w:rsidR="002C6839" w:rsidRPr="0058147B" w:rsidTr="003671B8">
        <w:trPr>
          <w:trHeight w:val="230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Fer à béton (barre de 8) (1tonne)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590 000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577 500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596 250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566 000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510 000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558 750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566 417</w:t>
            </w:r>
          </w:p>
        </w:tc>
      </w:tr>
      <w:tr w:rsidR="002C6839" w:rsidRPr="0058147B" w:rsidTr="003671B8">
        <w:trPr>
          <w:trHeight w:val="375"/>
        </w:trPr>
        <w:tc>
          <w:tcPr>
            <w:tcW w:w="3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6839" w:rsidRPr="0058147B" w:rsidRDefault="002C6839" w:rsidP="003671B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14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Fer à béton (barre de 10) (1tonne)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590 000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577 500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598 333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566 000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510 000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558 750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839" w:rsidRPr="002C6839" w:rsidRDefault="002C68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68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566 764</w:t>
            </w:r>
          </w:p>
        </w:tc>
      </w:tr>
    </w:tbl>
    <w:p w:rsidR="003671B8" w:rsidRPr="00640502" w:rsidRDefault="003671B8" w:rsidP="00640502">
      <w:pPr>
        <w:rPr>
          <w:rFonts w:ascii="Times New Roman" w:hAnsi="Times New Roman" w:cs="Times New Roman"/>
          <w:bCs/>
          <w:sz w:val="16"/>
          <w:szCs w:val="16"/>
        </w:rPr>
      </w:pPr>
      <w:r w:rsidRPr="00EB46DA">
        <w:rPr>
          <w:rFonts w:ascii="Times New Roman" w:hAnsi="Times New Roman" w:cs="Times New Roman"/>
          <w:bCs/>
          <w:sz w:val="16"/>
          <w:szCs w:val="16"/>
          <w:u w:val="single"/>
        </w:rPr>
        <w:t>Sources</w:t>
      </w:r>
      <w:r w:rsidR="00910B3F" w:rsidRPr="00640502">
        <w:rPr>
          <w:rFonts w:ascii="Times New Roman" w:hAnsi="Times New Roman" w:cs="Times New Roman"/>
          <w:bCs/>
          <w:sz w:val="16"/>
          <w:szCs w:val="16"/>
        </w:rPr>
        <w:t> : DSS/INSD-DD</w:t>
      </w:r>
      <w:r w:rsidRPr="00640502">
        <w:rPr>
          <w:rFonts w:ascii="Times New Roman" w:hAnsi="Times New Roman" w:cs="Times New Roman"/>
          <w:bCs/>
          <w:sz w:val="16"/>
          <w:szCs w:val="16"/>
        </w:rPr>
        <w:t>D,</w:t>
      </w:r>
      <w:r w:rsidR="00BD11EB" w:rsidRPr="00640502">
        <w:rPr>
          <w:rFonts w:ascii="Times New Roman" w:hAnsi="Times New Roman" w:cs="Times New Roman"/>
          <w:bCs/>
          <w:sz w:val="16"/>
          <w:szCs w:val="16"/>
        </w:rPr>
        <w:t xml:space="preserve"> juin</w:t>
      </w:r>
      <w:r w:rsidR="00F22D57" w:rsidRPr="00640502"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D670C6" w:rsidRDefault="00D670C6" w:rsidP="003671B8">
      <w:pPr>
        <w:ind w:left="-851"/>
        <w:rPr>
          <w:bCs/>
          <w:sz w:val="16"/>
          <w:szCs w:val="16"/>
        </w:rPr>
      </w:pPr>
    </w:p>
    <w:p w:rsidR="003671B8" w:rsidRDefault="003671B8" w:rsidP="003671B8">
      <w:pPr>
        <w:rPr>
          <w:bCs/>
          <w:sz w:val="16"/>
          <w:szCs w:val="16"/>
        </w:rPr>
      </w:pPr>
    </w:p>
    <w:p w:rsidR="00E72A3E" w:rsidRDefault="00E72A3E" w:rsidP="003671B8">
      <w:pPr>
        <w:rPr>
          <w:bCs/>
          <w:sz w:val="16"/>
          <w:szCs w:val="16"/>
        </w:rPr>
      </w:pPr>
    </w:p>
    <w:p w:rsidR="003E5DB0" w:rsidRDefault="003E5DB0" w:rsidP="003671B8">
      <w:pPr>
        <w:rPr>
          <w:bCs/>
          <w:sz w:val="16"/>
          <w:szCs w:val="16"/>
        </w:rPr>
      </w:pPr>
    </w:p>
    <w:p w:rsidR="003671B8" w:rsidRPr="00ED1B69" w:rsidRDefault="009A1366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t>Tableau 5</w:t>
      </w:r>
      <w:r w:rsidR="003671B8" w:rsidRPr="00ED1B69">
        <w:rPr>
          <w:rFonts w:ascii="Times New Roman" w:hAnsi="Times New Roman"/>
          <w:b/>
          <w:color w:val="auto"/>
          <w:sz w:val="23"/>
          <w:szCs w:val="23"/>
        </w:rPr>
        <w:t> : Evolution du taux d’inflation dans les pays de l’UEMOA</w:t>
      </w:r>
    </w:p>
    <w:tbl>
      <w:tblPr>
        <w:tblW w:w="10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"/>
        <w:gridCol w:w="890"/>
        <w:gridCol w:w="813"/>
        <w:gridCol w:w="795"/>
        <w:gridCol w:w="743"/>
        <w:gridCol w:w="714"/>
        <w:gridCol w:w="605"/>
        <w:gridCol w:w="650"/>
        <w:gridCol w:w="631"/>
        <w:gridCol w:w="764"/>
        <w:gridCol w:w="612"/>
        <w:gridCol w:w="683"/>
        <w:gridCol w:w="673"/>
        <w:gridCol w:w="844"/>
      </w:tblGrid>
      <w:tr w:rsidR="009F09EF" w:rsidRPr="00EF0798" w:rsidTr="00EB46DA">
        <w:trPr>
          <w:trHeight w:val="350"/>
        </w:trPr>
        <w:tc>
          <w:tcPr>
            <w:tcW w:w="1045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9F09EF" w:rsidRPr="00EF0798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9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9F09EF" w:rsidRPr="00EF0798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Poids</w:t>
            </w:r>
          </w:p>
        </w:tc>
        <w:tc>
          <w:tcPr>
            <w:tcW w:w="813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juin.-20</w:t>
            </w:r>
          </w:p>
        </w:tc>
        <w:tc>
          <w:tcPr>
            <w:tcW w:w="795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juil.-20</w:t>
            </w:r>
          </w:p>
        </w:tc>
        <w:tc>
          <w:tcPr>
            <w:tcW w:w="743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août.-20</w:t>
            </w:r>
          </w:p>
        </w:tc>
        <w:tc>
          <w:tcPr>
            <w:tcW w:w="714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sept.-20</w:t>
            </w:r>
          </w:p>
        </w:tc>
        <w:tc>
          <w:tcPr>
            <w:tcW w:w="605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oct.20</w:t>
            </w:r>
          </w:p>
        </w:tc>
        <w:tc>
          <w:tcPr>
            <w:tcW w:w="65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nov.-20</w:t>
            </w:r>
          </w:p>
        </w:tc>
        <w:tc>
          <w:tcPr>
            <w:tcW w:w="631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Pr="00FE17DC" w:rsidRDefault="009F09EF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Pr="00FE17DC" w:rsidRDefault="009F09EF" w:rsidP="00A00B1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déc.-20</w:t>
            </w:r>
          </w:p>
        </w:tc>
        <w:tc>
          <w:tcPr>
            <w:tcW w:w="764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</w:tcPr>
          <w:p w:rsidR="009F09EF" w:rsidRPr="00FE17DC" w:rsidRDefault="009F09EF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janv.-21</w:t>
            </w:r>
          </w:p>
        </w:tc>
        <w:tc>
          <w:tcPr>
            <w:tcW w:w="612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Pr="00FE17DC" w:rsidRDefault="009F09EF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Pr="00FE17DC" w:rsidRDefault="009F09EF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fév.-21</w:t>
            </w:r>
          </w:p>
        </w:tc>
        <w:tc>
          <w:tcPr>
            <w:tcW w:w="683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Default="009F09EF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Pr="00FE17DC" w:rsidRDefault="009F09EF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mar.-21</w:t>
            </w:r>
          </w:p>
        </w:tc>
        <w:tc>
          <w:tcPr>
            <w:tcW w:w="673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Default="009F09EF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Default="009F09EF" w:rsidP="00D33C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avr.-2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</w:tcPr>
          <w:p w:rsidR="009F09EF" w:rsidRDefault="009F09EF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9F09EF" w:rsidRDefault="00F44DAD" w:rsidP="007A45A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</w:t>
            </w:r>
            <w:r w:rsidR="009F09E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ai.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-21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2,5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2,5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2,3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BURKINA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1258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-2,0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-1,5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-0,7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2,3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2,5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CB7077" w:rsidRDefault="00F44DAD" w:rsidP="00F44DAD">
            <w:pPr>
              <w:jc w:val="righ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B7077">
              <w:rPr>
                <w:rFonts w:ascii="Times New Roman" w:hAnsi="Times New Roman" w:cs="Times New Roman"/>
                <w:bCs/>
                <w:sz w:val="16"/>
                <w:szCs w:val="16"/>
              </w:rPr>
              <w:t>3,0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COTE D'IVOIRE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3131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2,1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2,5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2,6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sz w:val="16"/>
                <w:szCs w:val="16"/>
              </w:rPr>
              <w:t>2,7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2,9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GUINNEE-BISSAU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1,8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1,8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sz w:val="16"/>
                <w:szCs w:val="16"/>
              </w:rPr>
              <w:t>1,6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1,4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MALI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-1,9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-1,7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-1,4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-1,1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-0,4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0,7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1,1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sz w:val="16"/>
                <w:szCs w:val="16"/>
              </w:rPr>
              <w:t>1,6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2,2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NIGER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1111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-0,6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3,6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3,8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SENEGAL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1491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2,2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2,4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2,3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sz w:val="16"/>
                <w:szCs w:val="16"/>
              </w:rPr>
              <w:t>2,1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1,9</w:t>
            </w:r>
          </w:p>
        </w:tc>
      </w:tr>
      <w:tr w:rsidR="00F44DAD" w:rsidRPr="00EF0798" w:rsidTr="00EB46DA">
        <w:trPr>
          <w:trHeight w:val="318"/>
        </w:trPr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0,9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sz w:val="16"/>
                <w:szCs w:val="16"/>
              </w:rPr>
              <w:t>1,2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EF0798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C3DC3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C3D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0730D0" w:rsidRDefault="00F44DAD" w:rsidP="00F44DA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730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sz w:val="16"/>
                <w:szCs w:val="16"/>
              </w:rPr>
              <w:t>2,2</w:t>
            </w:r>
          </w:p>
        </w:tc>
      </w:tr>
      <w:tr w:rsidR="00F44DAD" w:rsidRPr="005E3A2C" w:rsidTr="00EB46DA">
        <w:trPr>
          <w:trHeight w:val="334"/>
        </w:trPr>
        <w:tc>
          <w:tcPr>
            <w:tcW w:w="104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UEMOA</w:t>
            </w:r>
          </w:p>
        </w:tc>
        <w:tc>
          <w:tcPr>
            <w:tcW w:w="8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81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0,3</w:t>
            </w:r>
          </w:p>
        </w:tc>
        <w:tc>
          <w:tcPr>
            <w:tcW w:w="7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0,6</w:t>
            </w:r>
          </w:p>
        </w:tc>
        <w:tc>
          <w:tcPr>
            <w:tcW w:w="74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1,0</w:t>
            </w:r>
          </w:p>
        </w:tc>
        <w:tc>
          <w:tcPr>
            <w:tcW w:w="71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EF0798" w:rsidRDefault="00F44DAD" w:rsidP="00F44D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079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1,3</w:t>
            </w:r>
          </w:p>
        </w:tc>
        <w:tc>
          <w:tcPr>
            <w:tcW w:w="60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5E3A2C" w:rsidRDefault="00F44DAD" w:rsidP="00F44DAD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3A2C">
              <w:rPr>
                <w:rFonts w:ascii="Times New Roman" w:hAnsi="Times New Roman" w:cs="Times New Roman"/>
                <w:b/>
                <w:sz w:val="16"/>
                <w:szCs w:val="16"/>
              </w:rPr>
              <w:t>1,7</w:t>
            </w:r>
          </w:p>
        </w:tc>
        <w:tc>
          <w:tcPr>
            <w:tcW w:w="65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5E3A2C" w:rsidRDefault="00F44DAD" w:rsidP="00F44DAD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3A2C">
              <w:rPr>
                <w:rFonts w:ascii="Times New Roman" w:hAnsi="Times New Roman" w:cs="Times New Roman"/>
                <w:b/>
                <w:sz w:val="16"/>
                <w:szCs w:val="16"/>
              </w:rPr>
              <w:t>1,9</w:t>
            </w:r>
          </w:p>
        </w:tc>
        <w:tc>
          <w:tcPr>
            <w:tcW w:w="63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5E3A2C" w:rsidRDefault="00F44DAD" w:rsidP="00F44DAD">
            <w:pPr>
              <w:jc w:val="right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5E3A2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2,1</w:t>
            </w:r>
          </w:p>
        </w:tc>
        <w:tc>
          <w:tcPr>
            <w:tcW w:w="76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5E3A2C" w:rsidRDefault="00F44DAD" w:rsidP="00F44DAD">
            <w:pPr>
              <w:jc w:val="right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5E3A2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2,2</w:t>
            </w:r>
          </w:p>
        </w:tc>
        <w:tc>
          <w:tcPr>
            <w:tcW w:w="6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FE17DC" w:rsidRDefault="00F44DAD" w:rsidP="00F44DAD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17D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844BD0" w:rsidRDefault="00F44DAD" w:rsidP="00F44DAD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4B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2,4</w:t>
            </w:r>
          </w:p>
        </w:tc>
        <w:tc>
          <w:tcPr>
            <w:tcW w:w="67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4059DF" w:rsidRDefault="00F44DAD" w:rsidP="00F44DAD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59D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2,5</w:t>
            </w:r>
          </w:p>
        </w:tc>
        <w:tc>
          <w:tcPr>
            <w:tcW w:w="84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44DAD" w:rsidRPr="00F44DAD" w:rsidRDefault="00F44DAD" w:rsidP="00F44DAD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44D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2,6</w:t>
            </w:r>
          </w:p>
        </w:tc>
      </w:tr>
    </w:tbl>
    <w:p w:rsidR="00FE0938" w:rsidRDefault="00180E87" w:rsidP="00D670C6">
      <w:pPr>
        <w:ind w:left="-567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r w:rsidR="003671B8" w:rsidRPr="00EF65B5">
        <w:rPr>
          <w:rFonts w:ascii="Times New Roman" w:hAnsi="Times New Roman" w:cs="Times New Roman"/>
          <w:bCs/>
          <w:sz w:val="16"/>
          <w:szCs w:val="16"/>
          <w:u w:val="single"/>
        </w:rPr>
        <w:t>Sources</w:t>
      </w:r>
      <w:r w:rsidR="003671B8" w:rsidRPr="00EF65B5">
        <w:rPr>
          <w:rFonts w:ascii="Times New Roman" w:hAnsi="Times New Roman" w:cs="Times New Roman"/>
          <w:bCs/>
          <w:sz w:val="16"/>
          <w:szCs w:val="16"/>
        </w:rPr>
        <w:t> : INS et</w:t>
      </w:r>
      <w:r w:rsidR="00EA37C7">
        <w:rPr>
          <w:rFonts w:ascii="Times New Roman" w:hAnsi="Times New Roman" w:cs="Times New Roman"/>
          <w:bCs/>
          <w:sz w:val="16"/>
          <w:szCs w:val="16"/>
        </w:rPr>
        <w:t xml:space="preserve"> COMMISSION  de l’UEMOA, </w:t>
      </w:r>
      <w:r w:rsidR="00612960">
        <w:rPr>
          <w:rFonts w:ascii="Times New Roman" w:hAnsi="Times New Roman" w:cs="Times New Roman"/>
          <w:bCs/>
          <w:sz w:val="16"/>
          <w:szCs w:val="16"/>
        </w:rPr>
        <w:t>juin</w:t>
      </w:r>
      <w:r w:rsidR="00A00B1E"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D670C6" w:rsidRDefault="00D670C6" w:rsidP="003E5DB0">
      <w:pPr>
        <w:rPr>
          <w:rFonts w:ascii="Times New Roman" w:hAnsi="Times New Roman" w:cs="Times New Roman"/>
          <w:bCs/>
          <w:sz w:val="16"/>
          <w:szCs w:val="16"/>
        </w:rPr>
      </w:pPr>
    </w:p>
    <w:p w:rsidR="00F45B28" w:rsidRDefault="00F45B28" w:rsidP="003E5DB0">
      <w:pPr>
        <w:rPr>
          <w:rFonts w:ascii="Times New Roman" w:hAnsi="Times New Roman" w:cs="Times New Roman"/>
          <w:bCs/>
          <w:sz w:val="16"/>
          <w:szCs w:val="16"/>
        </w:rPr>
      </w:pPr>
    </w:p>
    <w:p w:rsidR="00645EC4" w:rsidRPr="00D670C6" w:rsidRDefault="00645EC4" w:rsidP="003E5DB0">
      <w:pPr>
        <w:rPr>
          <w:rFonts w:ascii="Times New Roman" w:hAnsi="Times New Roman" w:cs="Times New Roman"/>
          <w:bCs/>
          <w:sz w:val="16"/>
          <w:szCs w:val="16"/>
        </w:rPr>
      </w:pPr>
    </w:p>
    <w:p w:rsidR="003671B8" w:rsidRPr="00ED1B69" w:rsidRDefault="009A1366" w:rsidP="00ED1B69">
      <w:pPr>
        <w:pStyle w:val="Titre5"/>
        <w:spacing w:before="120"/>
        <w:rPr>
          <w:rFonts w:ascii="Times New Roman" w:hAnsi="Times New Roman"/>
          <w:b/>
          <w:color w:val="auto"/>
          <w:sz w:val="23"/>
          <w:szCs w:val="23"/>
        </w:rPr>
      </w:pPr>
      <w:r w:rsidRPr="00ED1B69">
        <w:rPr>
          <w:rFonts w:ascii="Times New Roman" w:hAnsi="Times New Roman"/>
          <w:b/>
          <w:color w:val="auto"/>
          <w:sz w:val="23"/>
          <w:szCs w:val="23"/>
        </w:rPr>
        <w:lastRenderedPageBreak/>
        <w:t>Tableau 6</w:t>
      </w:r>
      <w:r w:rsidR="003671B8" w:rsidRPr="00ED1B69">
        <w:rPr>
          <w:rFonts w:ascii="Times New Roman" w:hAnsi="Times New Roman"/>
          <w:b/>
          <w:color w:val="auto"/>
          <w:sz w:val="23"/>
          <w:szCs w:val="23"/>
        </w:rPr>
        <w:t> :</w:t>
      </w:r>
      <w:r w:rsidR="00612960" w:rsidRPr="00ED1B69">
        <w:rPr>
          <w:rFonts w:ascii="Times New Roman" w:hAnsi="Times New Roman"/>
          <w:b/>
          <w:color w:val="auto"/>
          <w:sz w:val="23"/>
          <w:szCs w:val="23"/>
        </w:rPr>
        <w:t xml:space="preserve"> Indice groupe du mois de juin </w:t>
      </w:r>
      <w:r w:rsidR="00A00B1E" w:rsidRPr="00ED1B69">
        <w:rPr>
          <w:rFonts w:ascii="Times New Roman" w:hAnsi="Times New Roman"/>
          <w:b/>
          <w:color w:val="auto"/>
          <w:sz w:val="23"/>
          <w:szCs w:val="23"/>
        </w:rPr>
        <w:t>2021</w:t>
      </w:r>
    </w:p>
    <w:tbl>
      <w:tblPr>
        <w:tblW w:w="999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"/>
        <w:gridCol w:w="3640"/>
        <w:gridCol w:w="481"/>
        <w:gridCol w:w="681"/>
        <w:gridCol w:w="681"/>
        <w:gridCol w:w="60"/>
        <w:gridCol w:w="621"/>
        <w:gridCol w:w="68"/>
        <w:gridCol w:w="557"/>
        <w:gridCol w:w="105"/>
        <w:gridCol w:w="519"/>
        <w:gridCol w:w="105"/>
        <w:gridCol w:w="471"/>
        <w:gridCol w:w="105"/>
        <w:gridCol w:w="484"/>
        <w:gridCol w:w="105"/>
        <w:gridCol w:w="665"/>
      </w:tblGrid>
      <w:tr w:rsidR="003671B8" w:rsidRPr="00F45B28" w:rsidTr="00EB46DA">
        <w:trPr>
          <w:trHeight w:val="240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36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3671B8" w:rsidRPr="00F45B28" w:rsidRDefault="003671B8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Indice groupe de la NCOA-IHPC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3671B8" w:rsidRPr="00F45B28" w:rsidRDefault="003671B8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39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3671B8" w:rsidRPr="00F45B28" w:rsidRDefault="003671B8" w:rsidP="003671B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 xml:space="preserve">Indices pour les mois de </w:t>
            </w:r>
          </w:p>
        </w:tc>
        <w:tc>
          <w:tcPr>
            <w:tcW w:w="183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671B8" w:rsidRPr="00F45B28" w:rsidRDefault="003671B8" w:rsidP="003671B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Variation en % depuis</w:t>
            </w:r>
          </w:p>
        </w:tc>
      </w:tr>
      <w:tr w:rsidR="002C6839" w:rsidRPr="00F45B28" w:rsidTr="00EB46DA">
        <w:trPr>
          <w:trHeight w:val="252"/>
        </w:trPr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FFFF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364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Poids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juin.-20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1A515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mar.-21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1A515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avr.-21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1A515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mai.-21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juin.-21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 mois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2C6839" w:rsidRPr="00F45B28" w:rsidRDefault="002C6839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 mois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2C6839" w:rsidRPr="00F45B28" w:rsidRDefault="002C6839" w:rsidP="003671B8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 mois</w:t>
            </w:r>
          </w:p>
        </w:tc>
      </w:tr>
      <w:tr w:rsidR="003671B8" w:rsidRPr="00F45B28" w:rsidTr="00EB46DA">
        <w:trPr>
          <w:trHeight w:val="21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Alimentation et boisson non alcoolisées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1B8" w:rsidRPr="00F45B28" w:rsidRDefault="003671B8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Produits alimentaires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3695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6,4%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13,8%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12,0%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012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Boissons non alcoolisées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2,8%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7,2%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5,1%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Boissons alcoolisées, tabac et stupéfiant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021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Boissons alcoolisées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0,7%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1,8%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022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Tabacs et stupéfiants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0,9%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1,6%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2,1%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Articles d'habillement et chaussures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031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Articles d'habillement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446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0,6%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2,7%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032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Chaussures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63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-0,1%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-0,4%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3,0%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Logement, eau, électricité, gaz et autres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041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Loyers effectifs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300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1,5%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6,7%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3,6%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043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Entretien et réparation des logements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48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3,6%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6,0%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044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Alimentation en eau et services divers lié au logement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6,7%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-3,1%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045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Electricite</w:t>
            </w:r>
            <w:proofErr w:type="spellEnd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, gaz et autres combustibles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544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1,6%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3,8%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-2,6%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Meubles, articles de ménages et entretien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051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Meubles ,</w:t>
            </w:r>
            <w:proofErr w:type="gramEnd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 xml:space="preserve"> articles d'ameublement, tapis et autres revêtement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38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0,1%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0,6%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052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Articles de ménage en textiles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-0,4%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-1,6%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053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Appareils ménagers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0,4%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054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Verrerie, vaisselle et ustensiles de ménage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-0,3%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1,7%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055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Outillage et autre matériel pour la maison et le jardin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0,6%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1,5%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056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Biens et services liés à l'entretien courant du foyer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134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-0,8%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Santé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061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Produits, appareils et matériels médicaux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215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0,4%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0,3%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1,3%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062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ambulatoires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76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-0,1%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063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hospitaliers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165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-0,1%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Transport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071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Achat de véhicules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72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3,4%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4,8%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4,0%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072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Dépenses d'utilisation des véhicules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669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2,5%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1,0%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073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de transport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361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130,2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130,7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132,0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132,0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127,8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-2,2%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-1,8%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Communication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081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postaux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-0,3%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-0,7%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082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Matériel de téléphonie et de télécopie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43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-0,5%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-1,4%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083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de téléphonie et de télécopie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394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-0,6%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Loisirs et cultures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091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Matériel audiovisuel, photographique et de traitement de l'image et du son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0,5%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0,6%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0,1%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093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Autres articles et matériel de loisirs, de jardinage et animaux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2,4%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3,2%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2,4%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094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récréatifs et culturels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1,5%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1,6%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0,3%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095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Journaux, livres et articles de papeterie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1,3%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0,4%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096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Forfaits touristiques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119,3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119,3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-16,2%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-16,0%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0,4%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Enseignements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101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 xml:space="preserve">Enseignement </w:t>
            </w:r>
            <w:proofErr w:type="spellStart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pré-élémentaire</w:t>
            </w:r>
            <w:proofErr w:type="spellEnd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 xml:space="preserve"> et primaire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162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0,3%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102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Enseignement secondaire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230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-0,1%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104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Enseignement supérieur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106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105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Enseignement post-secondaire non supérieur et Enseignement non défini par niveau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66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0,0%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Restaurants et hôtel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de restauration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1129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0,2%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0,3%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-0,2%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112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d'hébergement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27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-0,6%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2,7%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2,6%</w:t>
            </w:r>
          </w:p>
        </w:tc>
      </w:tr>
      <w:tr w:rsidR="002C6839" w:rsidRPr="00F45B28" w:rsidTr="00EB46DA">
        <w:trPr>
          <w:trHeight w:val="180"/>
        </w:trPr>
        <w:tc>
          <w:tcPr>
            <w:tcW w:w="4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Biens et services divers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121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Soins corporels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281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-0,5%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3,1%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123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 xml:space="preserve">Effets personnels </w:t>
            </w:r>
            <w:proofErr w:type="spellStart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n.c.a</w:t>
            </w:r>
            <w:proofErr w:type="spellEnd"/>
            <w:r w:rsidRPr="00F45B28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*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30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1,4%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1,8%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1,0%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124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Protection sociale et assurance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0,7%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1,4%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-2,3%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126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Services financiers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0,7%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1,6%</w:t>
            </w:r>
          </w:p>
        </w:tc>
      </w:tr>
      <w:tr w:rsidR="002C6839" w:rsidRPr="00F45B28" w:rsidTr="00EB46DA">
        <w:trPr>
          <w:trHeight w:val="18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127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 xml:space="preserve">Autres services </w:t>
            </w:r>
            <w:proofErr w:type="spellStart"/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n.c.a</w:t>
            </w:r>
            <w:proofErr w:type="spellEnd"/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 w:rsidP="003671B8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sz w:val="14"/>
                <w:szCs w:val="14"/>
              </w:rPr>
              <w:t>158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0,7%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-3,1%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839" w:rsidRPr="00F45B28" w:rsidRDefault="002C6839">
            <w:pPr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45B2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-4,7%</w:t>
            </w:r>
          </w:p>
        </w:tc>
      </w:tr>
    </w:tbl>
    <w:p w:rsidR="003671B8" w:rsidRPr="00F4774D" w:rsidRDefault="003671B8" w:rsidP="003671B8">
      <w:pPr>
        <w:spacing w:before="120"/>
        <w:rPr>
          <w:rFonts w:ascii="Times New Roman" w:hAnsi="Times New Roman" w:cs="Times New Roman"/>
          <w:sz w:val="14"/>
          <w:szCs w:val="14"/>
        </w:rPr>
      </w:pPr>
      <w:r w:rsidRPr="00F4774D">
        <w:rPr>
          <w:rFonts w:ascii="Times New Roman" w:hAnsi="Times New Roman" w:cs="Times New Roman"/>
          <w:sz w:val="12"/>
          <w:szCs w:val="12"/>
        </w:rPr>
        <w:t>*</w:t>
      </w:r>
      <w:proofErr w:type="spellStart"/>
      <w:r w:rsidRPr="00F4774D">
        <w:rPr>
          <w:rFonts w:ascii="Times New Roman" w:hAnsi="Times New Roman" w:cs="Times New Roman"/>
          <w:sz w:val="14"/>
          <w:szCs w:val="14"/>
        </w:rPr>
        <w:t>n.c.a</w:t>
      </w:r>
      <w:proofErr w:type="spellEnd"/>
      <w:r w:rsidRPr="00F4774D">
        <w:rPr>
          <w:rFonts w:ascii="Times New Roman" w:hAnsi="Times New Roman" w:cs="Times New Roman"/>
          <w:sz w:val="14"/>
          <w:szCs w:val="14"/>
        </w:rPr>
        <w:t> : non classés ailleurs.</w:t>
      </w:r>
    </w:p>
    <w:p w:rsidR="00C9686E" w:rsidRDefault="003671B8" w:rsidP="003671B8">
      <w:pPr>
        <w:spacing w:before="120"/>
        <w:rPr>
          <w:rFonts w:ascii="Times New Roman" w:hAnsi="Times New Roman" w:cs="Times New Roman"/>
          <w:bCs/>
          <w:sz w:val="16"/>
          <w:szCs w:val="16"/>
        </w:rPr>
      </w:pPr>
      <w:r w:rsidRPr="00F4774D">
        <w:rPr>
          <w:rFonts w:ascii="Times New Roman" w:hAnsi="Times New Roman" w:cs="Times New Roman"/>
          <w:bCs/>
          <w:sz w:val="16"/>
          <w:szCs w:val="16"/>
          <w:u w:val="single"/>
        </w:rPr>
        <w:t>Source</w:t>
      </w:r>
      <w:r w:rsidR="00910B3F">
        <w:rPr>
          <w:rFonts w:ascii="Times New Roman" w:hAnsi="Times New Roman" w:cs="Times New Roman"/>
          <w:bCs/>
          <w:sz w:val="16"/>
          <w:szCs w:val="16"/>
        </w:rPr>
        <w:t> : DSS/INSD</w:t>
      </w:r>
      <w:r w:rsidR="00EA37C7">
        <w:rPr>
          <w:rFonts w:ascii="Times New Roman" w:hAnsi="Times New Roman" w:cs="Times New Roman"/>
          <w:bCs/>
          <w:sz w:val="16"/>
          <w:szCs w:val="16"/>
        </w:rPr>
        <w:t xml:space="preserve">, </w:t>
      </w:r>
      <w:r w:rsidR="00612960">
        <w:rPr>
          <w:rFonts w:ascii="Times New Roman" w:hAnsi="Times New Roman" w:cs="Times New Roman"/>
          <w:bCs/>
          <w:sz w:val="16"/>
          <w:szCs w:val="16"/>
        </w:rPr>
        <w:t>juin</w:t>
      </w:r>
      <w:r w:rsidR="00053949">
        <w:rPr>
          <w:rFonts w:ascii="Times New Roman" w:hAnsi="Times New Roman" w:cs="Times New Roman"/>
          <w:bCs/>
          <w:sz w:val="16"/>
          <w:szCs w:val="16"/>
        </w:rPr>
        <w:t xml:space="preserve"> 2021</w:t>
      </w:r>
    </w:p>
    <w:p w:rsidR="00EB46DA" w:rsidRDefault="00EB46DA" w:rsidP="003671B8">
      <w:pPr>
        <w:spacing w:before="120"/>
        <w:rPr>
          <w:rFonts w:ascii="Times New Roman" w:hAnsi="Times New Roman" w:cs="Times New Roman"/>
          <w:bCs/>
          <w:sz w:val="16"/>
          <w:szCs w:val="16"/>
        </w:rPr>
      </w:pPr>
    </w:p>
    <w:p w:rsidR="00EB46DA" w:rsidRPr="00AD0E64" w:rsidRDefault="00EB46DA" w:rsidP="003671B8">
      <w:pPr>
        <w:spacing w:before="120"/>
        <w:rPr>
          <w:rFonts w:ascii="Times New Roman" w:hAnsi="Times New Roman" w:cs="Times New Roman"/>
          <w:bCs/>
          <w:sz w:val="16"/>
          <w:szCs w:val="16"/>
        </w:rPr>
      </w:pPr>
    </w:p>
    <w:p w:rsidR="003671B8" w:rsidRPr="00EF65B5" w:rsidRDefault="003671B8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jc w:val="center"/>
        <w:outlineLvl w:val="0"/>
        <w:rPr>
          <w:rFonts w:ascii="Times New Roman" w:hAnsi="Times New Roman" w:cs="Times New Roman"/>
          <w:b/>
          <w:bCs/>
          <w:sz w:val="16"/>
          <w:szCs w:val="16"/>
        </w:rPr>
      </w:pPr>
      <w:r w:rsidRPr="00EF65B5">
        <w:rPr>
          <w:rFonts w:ascii="Times New Roman" w:hAnsi="Times New Roman" w:cs="Times New Roman"/>
          <w:b/>
          <w:bCs/>
          <w:sz w:val="16"/>
          <w:szCs w:val="16"/>
        </w:rPr>
        <w:t>Institut National de la Statis</w:t>
      </w:r>
      <w:r w:rsidR="00F30DB9">
        <w:rPr>
          <w:rFonts w:ascii="Times New Roman" w:hAnsi="Times New Roman" w:cs="Times New Roman"/>
          <w:b/>
          <w:bCs/>
          <w:sz w:val="16"/>
          <w:szCs w:val="16"/>
        </w:rPr>
        <w:t>tique et de la Démographie</w:t>
      </w:r>
    </w:p>
    <w:p w:rsidR="003671B8" w:rsidRPr="00EF65B5" w:rsidRDefault="003671B8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jc w:val="center"/>
        <w:outlineLvl w:val="0"/>
        <w:rPr>
          <w:rFonts w:ascii="Times New Roman" w:hAnsi="Times New Roman" w:cs="Times New Roman"/>
          <w:b/>
          <w:bCs/>
          <w:sz w:val="16"/>
          <w:szCs w:val="16"/>
        </w:rPr>
      </w:pPr>
    </w:p>
    <w:p w:rsidR="003671B8" w:rsidRPr="00EF65B5" w:rsidRDefault="003671B8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spacing w:line="276" w:lineRule="auto"/>
        <w:outlineLvl w:val="0"/>
        <w:rPr>
          <w:rFonts w:ascii="Times New Roman" w:hAnsi="Times New Roman" w:cs="Times New Roman"/>
          <w:sz w:val="16"/>
          <w:szCs w:val="16"/>
        </w:rPr>
      </w:pPr>
      <w:r w:rsidRPr="00EF65B5">
        <w:rPr>
          <w:rFonts w:ascii="Times New Roman" w:hAnsi="Times New Roman" w:cs="Times New Roman"/>
          <w:sz w:val="16"/>
          <w:szCs w:val="16"/>
        </w:rPr>
        <w:t>01 BP 323 Cotonou, Tél. (229) 21 30 82 44 /21 30 82 45, Fax: (229) 21 30 82 46</w:t>
      </w:r>
    </w:p>
    <w:p w:rsidR="003671B8" w:rsidRDefault="003671B8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spacing w:line="276" w:lineRule="auto"/>
        <w:outlineLvl w:val="0"/>
        <w:rPr>
          <w:rFonts w:ascii="Times New Roman" w:hAnsi="Times New Roman" w:cs="Times New Roman"/>
          <w:sz w:val="16"/>
          <w:szCs w:val="16"/>
        </w:rPr>
      </w:pPr>
      <w:r w:rsidRPr="00EF65B5">
        <w:rPr>
          <w:rFonts w:ascii="Times New Roman" w:hAnsi="Times New Roman" w:cs="Times New Roman"/>
          <w:sz w:val="16"/>
          <w:szCs w:val="16"/>
        </w:rPr>
        <w:t xml:space="preserve">Directeur Général : HOUNSA Laurent </w:t>
      </w:r>
      <w:proofErr w:type="spellStart"/>
      <w:r w:rsidRPr="00EF65B5">
        <w:rPr>
          <w:rFonts w:ascii="Times New Roman" w:hAnsi="Times New Roman" w:cs="Times New Roman"/>
          <w:sz w:val="16"/>
          <w:szCs w:val="16"/>
        </w:rPr>
        <w:t>Mahounou</w:t>
      </w:r>
      <w:proofErr w:type="spellEnd"/>
    </w:p>
    <w:p w:rsidR="00360546" w:rsidRPr="00EF65B5" w:rsidRDefault="00360546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spacing w:line="276" w:lineRule="auto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Directeur Général Adjoint : DAGA Jules</w:t>
      </w:r>
    </w:p>
    <w:p w:rsidR="003671B8" w:rsidRPr="00EF65B5" w:rsidRDefault="003671B8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tabs>
          <w:tab w:val="left" w:pos="2835"/>
        </w:tabs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EF65B5">
        <w:rPr>
          <w:rFonts w:ascii="Times New Roman" w:hAnsi="Times New Roman" w:cs="Times New Roman"/>
          <w:sz w:val="16"/>
          <w:szCs w:val="16"/>
        </w:rPr>
        <w:t>Directrice des Statistiques Sociales : AHOVEY A. Elise C.</w:t>
      </w:r>
    </w:p>
    <w:p w:rsidR="003671B8" w:rsidRPr="00EF65B5" w:rsidRDefault="003671B8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EF65B5">
        <w:rPr>
          <w:rFonts w:ascii="Times New Roman" w:hAnsi="Times New Roman" w:cs="Times New Roman"/>
          <w:sz w:val="16"/>
          <w:szCs w:val="16"/>
        </w:rPr>
        <w:t>Chef Service des Conditions de Vie des Ménages : DANSOU</w:t>
      </w:r>
      <w:r w:rsidR="00EF65B5">
        <w:rPr>
          <w:rFonts w:ascii="Times New Roman" w:hAnsi="Times New Roman" w:cs="Times New Roman"/>
          <w:sz w:val="16"/>
          <w:szCs w:val="16"/>
        </w:rPr>
        <w:t xml:space="preserve"> A. T.</w:t>
      </w:r>
      <w:r w:rsidRPr="00EF65B5">
        <w:rPr>
          <w:rFonts w:ascii="Times New Roman" w:hAnsi="Times New Roman" w:cs="Times New Roman"/>
          <w:sz w:val="16"/>
          <w:szCs w:val="16"/>
        </w:rPr>
        <w:t xml:space="preserve"> Sylvestre</w:t>
      </w:r>
    </w:p>
    <w:p w:rsidR="003671B8" w:rsidRPr="00EF65B5" w:rsidRDefault="003671B8" w:rsidP="003671B8">
      <w:pPr>
        <w:pBdr>
          <w:top w:val="single" w:sz="18" w:space="0" w:color="auto" w:shadow="1"/>
          <w:left w:val="single" w:sz="18" w:space="1" w:color="auto" w:shadow="1"/>
          <w:bottom w:val="single" w:sz="18" w:space="3" w:color="auto" w:shadow="1"/>
          <w:right w:val="single" w:sz="18" w:space="7" w:color="auto" w:shadow="1"/>
        </w:pBdr>
        <w:tabs>
          <w:tab w:val="left" w:pos="2835"/>
        </w:tabs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EF65B5">
        <w:rPr>
          <w:rFonts w:ascii="Times New Roman" w:hAnsi="Times New Roman" w:cs="Times New Roman"/>
          <w:sz w:val="16"/>
          <w:szCs w:val="16"/>
        </w:rPr>
        <w:t>Collaborateur</w:t>
      </w:r>
      <w:r w:rsidR="00ED1B69">
        <w:rPr>
          <w:rFonts w:ascii="Times New Roman" w:hAnsi="Times New Roman" w:cs="Times New Roman"/>
          <w:sz w:val="16"/>
          <w:szCs w:val="16"/>
        </w:rPr>
        <w:t>s</w:t>
      </w:r>
      <w:r w:rsidRPr="00EF65B5">
        <w:rPr>
          <w:rFonts w:ascii="Times New Roman" w:hAnsi="Times New Roman" w:cs="Times New Roman"/>
          <w:sz w:val="16"/>
          <w:szCs w:val="16"/>
        </w:rPr>
        <w:t> : AKOHONWE D. Marcel</w:t>
      </w:r>
      <w:r w:rsidR="00ED1B69">
        <w:rPr>
          <w:rFonts w:ascii="Times New Roman" w:hAnsi="Times New Roman" w:cs="Times New Roman"/>
          <w:sz w:val="16"/>
          <w:szCs w:val="16"/>
        </w:rPr>
        <w:t>, SATCHA</w:t>
      </w:r>
      <w:r w:rsidR="00F45B28">
        <w:rPr>
          <w:rFonts w:ascii="Times New Roman" w:hAnsi="Times New Roman" w:cs="Times New Roman"/>
          <w:sz w:val="16"/>
          <w:szCs w:val="16"/>
        </w:rPr>
        <w:t xml:space="preserve"> Alain et ELAVAGNON François</w:t>
      </w:r>
    </w:p>
    <w:sectPr w:rsidR="003671B8" w:rsidRPr="00EF65B5" w:rsidSect="007F5C5D">
      <w:footerReference w:type="default" r:id="rId14"/>
      <w:pgSz w:w="11906" w:h="16838"/>
      <w:pgMar w:top="284" w:right="1134" w:bottom="993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D5" w:rsidRDefault="00E200D5">
      <w:r>
        <w:separator/>
      </w:r>
    </w:p>
  </w:endnote>
  <w:endnote w:type="continuationSeparator" w:id="0">
    <w:p w:rsidR="00E200D5" w:rsidRDefault="00E2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 Light">
    <w:panose1 w:val="00000400000000000000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8B6" w:rsidRDefault="006F28B6" w:rsidP="00AD0E64">
    <w:pPr>
      <w:pStyle w:val="Pieddepage"/>
      <w:pBdr>
        <w:bottom w:val="thinThickSmallGap" w:sz="24" w:space="1" w:color="339966"/>
      </w:pBdr>
      <w:rPr>
        <w:lang w:val="en-US"/>
      </w:rPr>
    </w:pPr>
    <w:sdt>
      <w:sdtPr>
        <w:id w:val="-1838375462"/>
        <w:docPartObj>
          <w:docPartGallery w:val="Page Numbers (Bottom of Page)"/>
          <w:docPartUnique/>
        </w:docPartObj>
      </w:sdtPr>
      <w:sdtContent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30.65pt;margin-top:-.25pt;width:17.85pt;height:18.75pt;z-index:251659264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6F28B6" w:rsidRDefault="006F28B6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E72A3E" w:rsidRPr="00E72A3E">
                      <w:rPr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</w:p>
  <w:p w:rsidR="006F28B6" w:rsidRPr="00262D3A" w:rsidRDefault="006F28B6" w:rsidP="00AD0E64">
    <w:pPr>
      <w:pStyle w:val="Pieddepage"/>
      <w:tabs>
        <w:tab w:val="left" w:pos="6096"/>
        <w:tab w:val="left" w:pos="6379"/>
      </w:tabs>
      <w:contextualSpacing/>
      <w:rPr>
        <w:rFonts w:ascii="Montserrat Light" w:hAnsi="Montserrat Light"/>
        <w:sz w:val="16"/>
        <w:szCs w:val="16"/>
      </w:rPr>
    </w:pPr>
    <w:r w:rsidRPr="00262D3A">
      <w:rPr>
        <w:rFonts w:ascii="Montserrat Light" w:hAnsi="Montserrat Light"/>
        <w:sz w:val="16"/>
        <w:szCs w:val="16"/>
      </w:rPr>
      <w:t xml:space="preserve">Téléphone : 21-30-82-44                </w:t>
    </w:r>
    <w:r>
      <w:rPr>
        <w:rFonts w:ascii="Montserrat Light" w:hAnsi="Montserrat Light"/>
        <w:sz w:val="16"/>
        <w:szCs w:val="16"/>
      </w:rPr>
      <w:t xml:space="preserve">                             </w:t>
    </w:r>
    <w:r w:rsidRPr="00262D3A">
      <w:rPr>
        <w:rFonts w:ascii="Montserrat Light" w:hAnsi="Montserrat Light"/>
        <w:sz w:val="16"/>
        <w:szCs w:val="16"/>
      </w:rPr>
      <w:t xml:space="preserve">01 B.P. : 323 </w:t>
    </w:r>
    <w:r w:rsidRPr="00262D3A">
      <w:rPr>
        <w:rFonts w:ascii="Montserrat Light" w:hAnsi="Montserrat Light"/>
        <w:sz w:val="16"/>
        <w:szCs w:val="16"/>
        <w:lang w:val="pt-PT"/>
      </w:rPr>
      <w:t xml:space="preserve">COTONOU </w:t>
    </w:r>
    <w:r>
      <w:rPr>
        <w:rFonts w:ascii="Montserrat Light" w:hAnsi="Montserrat Light"/>
        <w:sz w:val="16"/>
        <w:szCs w:val="16"/>
        <w:lang w:val="pt-PT"/>
      </w:rPr>
      <w:t>–</w:t>
    </w:r>
    <w:r w:rsidRPr="00262D3A">
      <w:rPr>
        <w:rFonts w:ascii="Montserrat Light" w:hAnsi="Montserrat Light"/>
        <w:sz w:val="16"/>
        <w:szCs w:val="16"/>
        <w:lang w:val="pt-PT"/>
      </w:rPr>
      <w:t>BENIN</w:t>
    </w:r>
    <w:r>
      <w:rPr>
        <w:rFonts w:ascii="Montserrat Light" w:hAnsi="Montserrat Light"/>
        <w:sz w:val="16"/>
        <w:szCs w:val="16"/>
        <w:lang w:val="pt-PT"/>
      </w:rPr>
      <w:t xml:space="preserve">                                         </w:t>
    </w:r>
    <w:r w:rsidRPr="00262D3A">
      <w:rPr>
        <w:rFonts w:ascii="Montserrat Light" w:hAnsi="Montserrat Light"/>
        <w:sz w:val="16"/>
        <w:szCs w:val="16"/>
      </w:rPr>
      <w:t xml:space="preserve">IFU : 4201001686513                      </w:t>
    </w:r>
  </w:p>
  <w:p w:rsidR="006F28B6" w:rsidRPr="00D27E57" w:rsidRDefault="006F28B6" w:rsidP="00AD0E64">
    <w:pPr>
      <w:pStyle w:val="Pieddepage"/>
      <w:tabs>
        <w:tab w:val="left" w:pos="6096"/>
        <w:tab w:val="left" w:pos="6379"/>
      </w:tabs>
      <w:rPr>
        <w:sz w:val="18"/>
        <w:szCs w:val="18"/>
      </w:rPr>
    </w:pPr>
    <w:r>
      <w:rPr>
        <w:rFonts w:ascii="Montserrat Light" w:hAnsi="Montserrat Light"/>
        <w:sz w:val="16"/>
        <w:szCs w:val="16"/>
        <w:lang w:val="pt-PT"/>
      </w:rPr>
      <w:t xml:space="preserve">                      </w:t>
    </w:r>
    <w:r w:rsidRPr="00262D3A">
      <w:rPr>
        <w:rFonts w:ascii="Montserrat Light" w:hAnsi="Montserrat Light"/>
        <w:sz w:val="16"/>
        <w:szCs w:val="16"/>
        <w:lang w:val="pt-PT"/>
      </w:rPr>
      <w:t xml:space="preserve">21-30-82-45                     </w:t>
    </w:r>
    <w:r>
      <w:rPr>
        <w:rFonts w:ascii="Montserrat Light" w:hAnsi="Montserrat Light"/>
        <w:sz w:val="16"/>
        <w:szCs w:val="16"/>
        <w:lang w:val="pt-PT"/>
      </w:rPr>
      <w:t xml:space="preserve">                             </w:t>
    </w:r>
    <w:r w:rsidRPr="00262D3A">
      <w:rPr>
        <w:rFonts w:ascii="Montserrat Light" w:hAnsi="Montserrat Light"/>
        <w:sz w:val="16"/>
        <w:szCs w:val="16"/>
        <w:lang w:val="pt-PT"/>
      </w:rPr>
      <w:t xml:space="preserve">E-mail : </w:t>
    </w:r>
    <w:hyperlink r:id="rId1" w:history="1">
      <w:r w:rsidRPr="007B4AD3">
        <w:rPr>
          <w:rStyle w:val="Lienhypertexte"/>
          <w:rFonts w:ascii="Montserrat Light" w:hAnsi="Montserrat Light"/>
          <w:sz w:val="16"/>
          <w:szCs w:val="16"/>
          <w:lang w:val="pt-PT"/>
        </w:rPr>
        <w:t>insae@insae.bj</w:t>
      </w:r>
    </w:hyperlink>
    <w:r w:rsidRPr="008B192F">
      <w:rPr>
        <w:rStyle w:val="Lienhypertexte"/>
        <w:rFonts w:ascii="Montserrat Light" w:hAnsi="Montserrat Light"/>
        <w:sz w:val="16"/>
        <w:szCs w:val="16"/>
        <w:u w:val="none"/>
        <w:lang w:val="pt-PT"/>
      </w:rPr>
      <w:t xml:space="preserve">                </w:t>
    </w:r>
    <w:r>
      <w:rPr>
        <w:rStyle w:val="Lienhypertexte"/>
        <w:rFonts w:ascii="Montserrat Light" w:hAnsi="Montserrat Light"/>
        <w:sz w:val="16"/>
        <w:szCs w:val="16"/>
        <w:u w:val="none"/>
        <w:lang w:val="pt-PT"/>
      </w:rPr>
      <w:t xml:space="preserve">                          </w:t>
    </w:r>
    <w:r w:rsidRPr="00262D3A">
      <w:rPr>
        <w:rFonts w:ascii="Montserrat Light" w:hAnsi="Montserrat Light"/>
        <w:sz w:val="16"/>
        <w:szCs w:val="16"/>
      </w:rPr>
      <w:t xml:space="preserve">Site Web : </w:t>
    </w:r>
    <w:r w:rsidRPr="0062689B">
      <w:rPr>
        <w:rFonts w:ascii="Montserrat Light" w:hAnsi="Montserrat Light"/>
        <w:sz w:val="16"/>
        <w:szCs w:val="16"/>
        <w:u w:val="single"/>
      </w:rPr>
      <w:t>www.insae.bj</w:t>
    </w:r>
  </w:p>
  <w:p w:rsidR="006F28B6" w:rsidRDefault="006F28B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D5" w:rsidRDefault="00E200D5">
      <w:r>
        <w:separator/>
      </w:r>
    </w:p>
  </w:footnote>
  <w:footnote w:type="continuationSeparator" w:id="0">
    <w:p w:rsidR="00E200D5" w:rsidRDefault="00E200D5">
      <w:r>
        <w:continuationSeparator/>
      </w:r>
    </w:p>
  </w:footnote>
  <w:footnote w:id="1">
    <w:p w:rsidR="006F28B6" w:rsidRPr="00091BE3" w:rsidRDefault="006F28B6" w:rsidP="003671B8">
      <w:pPr>
        <w:pStyle w:val="Notedebasdepage"/>
        <w:rPr>
          <w:sz w:val="16"/>
          <w:szCs w:val="16"/>
        </w:rPr>
      </w:pPr>
      <w:r w:rsidRPr="00EB2CCF">
        <w:rPr>
          <w:rStyle w:val="Appelnotedebasdep"/>
          <w:sz w:val="16"/>
          <w:szCs w:val="16"/>
        </w:rPr>
        <w:footnoteRef/>
      </w:r>
      <w:r w:rsidRPr="00EB2CCF">
        <w:rPr>
          <w:b/>
          <w:sz w:val="16"/>
          <w:szCs w:val="16"/>
        </w:rPr>
        <w:t>L’indicateur de convergence</w:t>
      </w:r>
      <w:r w:rsidRPr="00EB2CCF">
        <w:rPr>
          <w:sz w:val="16"/>
          <w:szCs w:val="16"/>
        </w:rPr>
        <w:t xml:space="preserve"> est le rapport entre la moyenne des indices des douze derniers mois et la moyenne des indices des douze mois qui les précèdent</w:t>
      </w:r>
      <w:r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37A8"/>
    <w:multiLevelType w:val="hybridMultilevel"/>
    <w:tmpl w:val="B5F04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F7127"/>
    <w:multiLevelType w:val="hybridMultilevel"/>
    <w:tmpl w:val="504CFD48"/>
    <w:lvl w:ilvl="0" w:tplc="0284C1F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D16AC"/>
    <w:multiLevelType w:val="hybridMultilevel"/>
    <w:tmpl w:val="F2762F0C"/>
    <w:lvl w:ilvl="0" w:tplc="0284C1F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224B1"/>
    <w:multiLevelType w:val="hybridMultilevel"/>
    <w:tmpl w:val="8EC2352A"/>
    <w:lvl w:ilvl="0" w:tplc="0284C1F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33B20"/>
    <w:multiLevelType w:val="hybridMultilevel"/>
    <w:tmpl w:val="F014D140"/>
    <w:lvl w:ilvl="0" w:tplc="53F4202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3692E"/>
    <w:multiLevelType w:val="hybridMultilevel"/>
    <w:tmpl w:val="C816678E"/>
    <w:lvl w:ilvl="0" w:tplc="0284C1F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F19A6"/>
    <w:multiLevelType w:val="hybridMultilevel"/>
    <w:tmpl w:val="582A9586"/>
    <w:lvl w:ilvl="0" w:tplc="0284C1F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437"/>
    <w:rsid w:val="0000122F"/>
    <w:rsid w:val="000070CC"/>
    <w:rsid w:val="00015224"/>
    <w:rsid w:val="00017FDB"/>
    <w:rsid w:val="00025F0B"/>
    <w:rsid w:val="0003200C"/>
    <w:rsid w:val="000323F2"/>
    <w:rsid w:val="00052360"/>
    <w:rsid w:val="000526CE"/>
    <w:rsid w:val="00053949"/>
    <w:rsid w:val="00062FF2"/>
    <w:rsid w:val="00070A4E"/>
    <w:rsid w:val="00075822"/>
    <w:rsid w:val="000814FF"/>
    <w:rsid w:val="00083A4B"/>
    <w:rsid w:val="000A06CD"/>
    <w:rsid w:val="000B537B"/>
    <w:rsid w:val="000C45BD"/>
    <w:rsid w:val="000D0552"/>
    <w:rsid w:val="000D1180"/>
    <w:rsid w:val="000D6DEB"/>
    <w:rsid w:val="000F0B2D"/>
    <w:rsid w:val="000F25D0"/>
    <w:rsid w:val="000F38EB"/>
    <w:rsid w:val="000F54CE"/>
    <w:rsid w:val="001006AD"/>
    <w:rsid w:val="00101AFF"/>
    <w:rsid w:val="00104905"/>
    <w:rsid w:val="00104AC7"/>
    <w:rsid w:val="00123C7B"/>
    <w:rsid w:val="001336BC"/>
    <w:rsid w:val="001338AA"/>
    <w:rsid w:val="00134762"/>
    <w:rsid w:val="00136ABB"/>
    <w:rsid w:val="0015436C"/>
    <w:rsid w:val="00154663"/>
    <w:rsid w:val="00154BDD"/>
    <w:rsid w:val="00180E87"/>
    <w:rsid w:val="00186229"/>
    <w:rsid w:val="00193395"/>
    <w:rsid w:val="0019394B"/>
    <w:rsid w:val="00194F76"/>
    <w:rsid w:val="00195FF9"/>
    <w:rsid w:val="001A0AB0"/>
    <w:rsid w:val="001A3E20"/>
    <w:rsid w:val="001A5158"/>
    <w:rsid w:val="001A60CB"/>
    <w:rsid w:val="001B2909"/>
    <w:rsid w:val="001C17F8"/>
    <w:rsid w:val="001C3A4D"/>
    <w:rsid w:val="001D48EB"/>
    <w:rsid w:val="001D642F"/>
    <w:rsid w:val="001D72DF"/>
    <w:rsid w:val="00200463"/>
    <w:rsid w:val="00205F6C"/>
    <w:rsid w:val="00211BED"/>
    <w:rsid w:val="002213B9"/>
    <w:rsid w:val="00222F57"/>
    <w:rsid w:val="0023290D"/>
    <w:rsid w:val="00235369"/>
    <w:rsid w:val="0023597F"/>
    <w:rsid w:val="002370EA"/>
    <w:rsid w:val="00240F78"/>
    <w:rsid w:val="00255583"/>
    <w:rsid w:val="00255646"/>
    <w:rsid w:val="00260480"/>
    <w:rsid w:val="00262D3A"/>
    <w:rsid w:val="002661DB"/>
    <w:rsid w:val="00286945"/>
    <w:rsid w:val="00286CEB"/>
    <w:rsid w:val="00287418"/>
    <w:rsid w:val="00294508"/>
    <w:rsid w:val="002967E0"/>
    <w:rsid w:val="002A075E"/>
    <w:rsid w:val="002A775F"/>
    <w:rsid w:val="002C4BBA"/>
    <w:rsid w:val="002C6839"/>
    <w:rsid w:val="002E26B4"/>
    <w:rsid w:val="003022A6"/>
    <w:rsid w:val="003030A5"/>
    <w:rsid w:val="0030459A"/>
    <w:rsid w:val="0030704E"/>
    <w:rsid w:val="003256CC"/>
    <w:rsid w:val="003278D4"/>
    <w:rsid w:val="003325FE"/>
    <w:rsid w:val="00332968"/>
    <w:rsid w:val="0033692A"/>
    <w:rsid w:val="00336A6A"/>
    <w:rsid w:val="0034156F"/>
    <w:rsid w:val="003460E8"/>
    <w:rsid w:val="00352E34"/>
    <w:rsid w:val="00356D08"/>
    <w:rsid w:val="00360546"/>
    <w:rsid w:val="00362FA1"/>
    <w:rsid w:val="00364437"/>
    <w:rsid w:val="003671B8"/>
    <w:rsid w:val="0039225F"/>
    <w:rsid w:val="00394056"/>
    <w:rsid w:val="00397433"/>
    <w:rsid w:val="00397D09"/>
    <w:rsid w:val="003A5639"/>
    <w:rsid w:val="003A7171"/>
    <w:rsid w:val="003B1E9B"/>
    <w:rsid w:val="003B48B9"/>
    <w:rsid w:val="003B5C79"/>
    <w:rsid w:val="003C343B"/>
    <w:rsid w:val="003D1F89"/>
    <w:rsid w:val="003D3CEE"/>
    <w:rsid w:val="003E2810"/>
    <w:rsid w:val="003E4118"/>
    <w:rsid w:val="003E5DB0"/>
    <w:rsid w:val="003F7A38"/>
    <w:rsid w:val="0040497C"/>
    <w:rsid w:val="004059DF"/>
    <w:rsid w:val="00416C85"/>
    <w:rsid w:val="00422F07"/>
    <w:rsid w:val="0042781F"/>
    <w:rsid w:val="00435E0B"/>
    <w:rsid w:val="00443B27"/>
    <w:rsid w:val="00450496"/>
    <w:rsid w:val="00451C49"/>
    <w:rsid w:val="00453753"/>
    <w:rsid w:val="004542EC"/>
    <w:rsid w:val="00456052"/>
    <w:rsid w:val="004577D5"/>
    <w:rsid w:val="004601CD"/>
    <w:rsid w:val="0046672A"/>
    <w:rsid w:val="00467D5A"/>
    <w:rsid w:val="00474248"/>
    <w:rsid w:val="004749CB"/>
    <w:rsid w:val="00487666"/>
    <w:rsid w:val="004A7351"/>
    <w:rsid w:val="004B0E3A"/>
    <w:rsid w:val="004C0AB0"/>
    <w:rsid w:val="004D533D"/>
    <w:rsid w:val="004D75B7"/>
    <w:rsid w:val="004D7E57"/>
    <w:rsid w:val="004D7FDD"/>
    <w:rsid w:val="004E4B8A"/>
    <w:rsid w:val="005034F5"/>
    <w:rsid w:val="005121E1"/>
    <w:rsid w:val="00520570"/>
    <w:rsid w:val="00522AB6"/>
    <w:rsid w:val="00530285"/>
    <w:rsid w:val="0053423F"/>
    <w:rsid w:val="00553A9E"/>
    <w:rsid w:val="005758FB"/>
    <w:rsid w:val="00580341"/>
    <w:rsid w:val="00580DCF"/>
    <w:rsid w:val="005810A3"/>
    <w:rsid w:val="00581389"/>
    <w:rsid w:val="0058147B"/>
    <w:rsid w:val="00583CFA"/>
    <w:rsid w:val="00583FBC"/>
    <w:rsid w:val="005867FF"/>
    <w:rsid w:val="005A5C89"/>
    <w:rsid w:val="005B0154"/>
    <w:rsid w:val="005B1AEA"/>
    <w:rsid w:val="005B289E"/>
    <w:rsid w:val="005B4051"/>
    <w:rsid w:val="005C18B2"/>
    <w:rsid w:val="005C5AA9"/>
    <w:rsid w:val="005D1F00"/>
    <w:rsid w:val="005D2D79"/>
    <w:rsid w:val="005D4C2E"/>
    <w:rsid w:val="005D508A"/>
    <w:rsid w:val="005E043E"/>
    <w:rsid w:val="005E3A2C"/>
    <w:rsid w:val="005F31C6"/>
    <w:rsid w:val="00602416"/>
    <w:rsid w:val="00612960"/>
    <w:rsid w:val="0061426F"/>
    <w:rsid w:val="00615488"/>
    <w:rsid w:val="0062242D"/>
    <w:rsid w:val="0062689B"/>
    <w:rsid w:val="00630B86"/>
    <w:rsid w:val="0063318D"/>
    <w:rsid w:val="00636321"/>
    <w:rsid w:val="00637FA0"/>
    <w:rsid w:val="00640502"/>
    <w:rsid w:val="00645EC4"/>
    <w:rsid w:val="00650044"/>
    <w:rsid w:val="006565B1"/>
    <w:rsid w:val="00690FC6"/>
    <w:rsid w:val="006972F4"/>
    <w:rsid w:val="006A7CC5"/>
    <w:rsid w:val="006B0735"/>
    <w:rsid w:val="006D0D6F"/>
    <w:rsid w:val="006D563C"/>
    <w:rsid w:val="006E2DEF"/>
    <w:rsid w:val="006F28B6"/>
    <w:rsid w:val="006F2DDD"/>
    <w:rsid w:val="00702005"/>
    <w:rsid w:val="00705EFF"/>
    <w:rsid w:val="00721CA6"/>
    <w:rsid w:val="007220AE"/>
    <w:rsid w:val="0072309F"/>
    <w:rsid w:val="00730DD7"/>
    <w:rsid w:val="00733198"/>
    <w:rsid w:val="00751F08"/>
    <w:rsid w:val="007545AB"/>
    <w:rsid w:val="00754CAC"/>
    <w:rsid w:val="00761BE6"/>
    <w:rsid w:val="007633A3"/>
    <w:rsid w:val="00767ADC"/>
    <w:rsid w:val="00770D05"/>
    <w:rsid w:val="00770ED4"/>
    <w:rsid w:val="007715EC"/>
    <w:rsid w:val="00785524"/>
    <w:rsid w:val="007A2730"/>
    <w:rsid w:val="007A2F55"/>
    <w:rsid w:val="007A45A1"/>
    <w:rsid w:val="007B2C2C"/>
    <w:rsid w:val="007B2EE2"/>
    <w:rsid w:val="007C7C6E"/>
    <w:rsid w:val="007D17BA"/>
    <w:rsid w:val="007D59A2"/>
    <w:rsid w:val="007E6837"/>
    <w:rsid w:val="007F1A38"/>
    <w:rsid w:val="007F5C5D"/>
    <w:rsid w:val="0080208F"/>
    <w:rsid w:val="00803487"/>
    <w:rsid w:val="00804E04"/>
    <w:rsid w:val="00812092"/>
    <w:rsid w:val="0081467C"/>
    <w:rsid w:val="00831075"/>
    <w:rsid w:val="008312F1"/>
    <w:rsid w:val="008316F1"/>
    <w:rsid w:val="00836A66"/>
    <w:rsid w:val="00844BD0"/>
    <w:rsid w:val="00854853"/>
    <w:rsid w:val="008636B0"/>
    <w:rsid w:val="00865167"/>
    <w:rsid w:val="008704D2"/>
    <w:rsid w:val="00873ED6"/>
    <w:rsid w:val="00890434"/>
    <w:rsid w:val="008A4593"/>
    <w:rsid w:val="008B16A1"/>
    <w:rsid w:val="008B192F"/>
    <w:rsid w:val="008B5D6B"/>
    <w:rsid w:val="008D1DD5"/>
    <w:rsid w:val="008D49FD"/>
    <w:rsid w:val="008E3D0C"/>
    <w:rsid w:val="008E5A57"/>
    <w:rsid w:val="008E620E"/>
    <w:rsid w:val="008F03D9"/>
    <w:rsid w:val="009050D4"/>
    <w:rsid w:val="00910B3F"/>
    <w:rsid w:val="00930E3D"/>
    <w:rsid w:val="00931FD3"/>
    <w:rsid w:val="00932E80"/>
    <w:rsid w:val="00945573"/>
    <w:rsid w:val="009533F3"/>
    <w:rsid w:val="00955E41"/>
    <w:rsid w:val="009615E2"/>
    <w:rsid w:val="009656B7"/>
    <w:rsid w:val="00971549"/>
    <w:rsid w:val="0097441C"/>
    <w:rsid w:val="0097627D"/>
    <w:rsid w:val="00983E63"/>
    <w:rsid w:val="009A1366"/>
    <w:rsid w:val="009A19C1"/>
    <w:rsid w:val="009A2E9F"/>
    <w:rsid w:val="009A47B7"/>
    <w:rsid w:val="009B1041"/>
    <w:rsid w:val="009B79F4"/>
    <w:rsid w:val="009D13C0"/>
    <w:rsid w:val="009D4B94"/>
    <w:rsid w:val="009E1CF0"/>
    <w:rsid w:val="009F09EF"/>
    <w:rsid w:val="009F11B5"/>
    <w:rsid w:val="00A00B1E"/>
    <w:rsid w:val="00A238DB"/>
    <w:rsid w:val="00A25E79"/>
    <w:rsid w:val="00A44EFD"/>
    <w:rsid w:val="00A50B4A"/>
    <w:rsid w:val="00A50E0E"/>
    <w:rsid w:val="00A55318"/>
    <w:rsid w:val="00A57D52"/>
    <w:rsid w:val="00A65022"/>
    <w:rsid w:val="00A73086"/>
    <w:rsid w:val="00A86877"/>
    <w:rsid w:val="00AC011D"/>
    <w:rsid w:val="00AC1745"/>
    <w:rsid w:val="00AD0E64"/>
    <w:rsid w:val="00B00AB2"/>
    <w:rsid w:val="00B0115D"/>
    <w:rsid w:val="00B16003"/>
    <w:rsid w:val="00B164D2"/>
    <w:rsid w:val="00B26D4B"/>
    <w:rsid w:val="00B41C78"/>
    <w:rsid w:val="00B54150"/>
    <w:rsid w:val="00B54C88"/>
    <w:rsid w:val="00B57B13"/>
    <w:rsid w:val="00B60BEE"/>
    <w:rsid w:val="00B64F90"/>
    <w:rsid w:val="00B8553D"/>
    <w:rsid w:val="00BA3597"/>
    <w:rsid w:val="00BB5036"/>
    <w:rsid w:val="00BD11EB"/>
    <w:rsid w:val="00BD59F7"/>
    <w:rsid w:val="00BE28ED"/>
    <w:rsid w:val="00BE66FA"/>
    <w:rsid w:val="00BF01EA"/>
    <w:rsid w:val="00BF596E"/>
    <w:rsid w:val="00BF7584"/>
    <w:rsid w:val="00C0481C"/>
    <w:rsid w:val="00C14621"/>
    <w:rsid w:val="00C15A3B"/>
    <w:rsid w:val="00C15E77"/>
    <w:rsid w:val="00C21424"/>
    <w:rsid w:val="00C2412B"/>
    <w:rsid w:val="00C26A1D"/>
    <w:rsid w:val="00C41D2B"/>
    <w:rsid w:val="00C44AD1"/>
    <w:rsid w:val="00C51117"/>
    <w:rsid w:val="00C75B0A"/>
    <w:rsid w:val="00C76626"/>
    <w:rsid w:val="00C80059"/>
    <w:rsid w:val="00C80FD5"/>
    <w:rsid w:val="00C83454"/>
    <w:rsid w:val="00C843F9"/>
    <w:rsid w:val="00C963FD"/>
    <w:rsid w:val="00C9686E"/>
    <w:rsid w:val="00CA6611"/>
    <w:rsid w:val="00CA6AD5"/>
    <w:rsid w:val="00CB09E8"/>
    <w:rsid w:val="00CB0B44"/>
    <w:rsid w:val="00CB7077"/>
    <w:rsid w:val="00CC216E"/>
    <w:rsid w:val="00CC6C64"/>
    <w:rsid w:val="00CC763B"/>
    <w:rsid w:val="00CE2168"/>
    <w:rsid w:val="00CE492B"/>
    <w:rsid w:val="00CF4A89"/>
    <w:rsid w:val="00D0573E"/>
    <w:rsid w:val="00D06349"/>
    <w:rsid w:val="00D13313"/>
    <w:rsid w:val="00D20BC4"/>
    <w:rsid w:val="00D21A64"/>
    <w:rsid w:val="00D2566D"/>
    <w:rsid w:val="00D267BE"/>
    <w:rsid w:val="00D30AFA"/>
    <w:rsid w:val="00D33CD9"/>
    <w:rsid w:val="00D34197"/>
    <w:rsid w:val="00D66A54"/>
    <w:rsid w:val="00D670C6"/>
    <w:rsid w:val="00D7059F"/>
    <w:rsid w:val="00D90815"/>
    <w:rsid w:val="00D95738"/>
    <w:rsid w:val="00DA066E"/>
    <w:rsid w:val="00DB6180"/>
    <w:rsid w:val="00DC45BA"/>
    <w:rsid w:val="00DE174A"/>
    <w:rsid w:val="00DE3D28"/>
    <w:rsid w:val="00E200D5"/>
    <w:rsid w:val="00E30742"/>
    <w:rsid w:val="00E30F76"/>
    <w:rsid w:val="00E36D16"/>
    <w:rsid w:val="00E44FB0"/>
    <w:rsid w:val="00E60E7F"/>
    <w:rsid w:val="00E61568"/>
    <w:rsid w:val="00E61B69"/>
    <w:rsid w:val="00E65DE1"/>
    <w:rsid w:val="00E72A3E"/>
    <w:rsid w:val="00E731F6"/>
    <w:rsid w:val="00EA37C7"/>
    <w:rsid w:val="00EB071D"/>
    <w:rsid w:val="00EB07A7"/>
    <w:rsid w:val="00EB1632"/>
    <w:rsid w:val="00EB46DA"/>
    <w:rsid w:val="00ED1B48"/>
    <w:rsid w:val="00ED1B69"/>
    <w:rsid w:val="00EF0798"/>
    <w:rsid w:val="00EF12EE"/>
    <w:rsid w:val="00EF4E7A"/>
    <w:rsid w:val="00EF65B5"/>
    <w:rsid w:val="00EF7E1C"/>
    <w:rsid w:val="00F01E3C"/>
    <w:rsid w:val="00F02A94"/>
    <w:rsid w:val="00F069C9"/>
    <w:rsid w:val="00F22D57"/>
    <w:rsid w:val="00F23F31"/>
    <w:rsid w:val="00F30DB9"/>
    <w:rsid w:val="00F35A3C"/>
    <w:rsid w:val="00F44DAD"/>
    <w:rsid w:val="00F45B28"/>
    <w:rsid w:val="00F4774D"/>
    <w:rsid w:val="00F81425"/>
    <w:rsid w:val="00F83085"/>
    <w:rsid w:val="00F90898"/>
    <w:rsid w:val="00F94DCD"/>
    <w:rsid w:val="00F95652"/>
    <w:rsid w:val="00FA6EAE"/>
    <w:rsid w:val="00FB516B"/>
    <w:rsid w:val="00FC3DC3"/>
    <w:rsid w:val="00FC5523"/>
    <w:rsid w:val="00FD3299"/>
    <w:rsid w:val="00FE0938"/>
    <w:rsid w:val="00FE1078"/>
    <w:rsid w:val="00FE17DC"/>
    <w:rsid w:val="00FF552F"/>
    <w:rsid w:val="00FF5E2D"/>
    <w:rsid w:val="00FF5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B890F6F4-C478-44CD-A52E-D15129D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37"/>
    <w:pPr>
      <w:spacing w:after="0" w:line="240" w:lineRule="auto"/>
    </w:pPr>
    <w:rPr>
      <w:rFonts w:ascii="Calibri" w:eastAsia="Times New Roman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3671B8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71B8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val="fr-BE"/>
    </w:rPr>
  </w:style>
  <w:style w:type="paragraph" w:styleId="Titre3">
    <w:name w:val="heading 3"/>
    <w:basedOn w:val="Normal"/>
    <w:link w:val="Titre3Car"/>
    <w:uiPriority w:val="9"/>
    <w:qFormat/>
    <w:rsid w:val="003644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1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671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5C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1B8"/>
    <w:rPr>
      <w:rFonts w:ascii="Cambria" w:eastAsia="Times New Roman" w:hAnsi="Cambria" w:cs="Times New Roman"/>
      <w:b/>
      <w:bCs/>
      <w:kern w:val="32"/>
      <w:sz w:val="32"/>
      <w:szCs w:val="32"/>
      <w:lang w:val="fr-BE"/>
    </w:rPr>
  </w:style>
  <w:style w:type="character" w:customStyle="1" w:styleId="Titre2Car">
    <w:name w:val="Titre 2 Car"/>
    <w:basedOn w:val="Policepardfaut"/>
    <w:link w:val="Titre2"/>
    <w:uiPriority w:val="9"/>
    <w:rsid w:val="003671B8"/>
    <w:rPr>
      <w:rFonts w:ascii="Cambria" w:eastAsia="Times New Roman" w:hAnsi="Cambria" w:cs="Times New Roman"/>
      <w:b/>
      <w:bCs/>
      <w:i/>
      <w:iCs/>
      <w:sz w:val="28"/>
      <w:szCs w:val="28"/>
      <w:lang w:val="fr-BE"/>
    </w:rPr>
  </w:style>
  <w:style w:type="character" w:customStyle="1" w:styleId="Titre3Car">
    <w:name w:val="Titre 3 Car"/>
    <w:basedOn w:val="Policepardfaut"/>
    <w:link w:val="Titre3"/>
    <w:uiPriority w:val="9"/>
    <w:rsid w:val="0036443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671B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3671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rsid w:val="007F5C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ieddepage">
    <w:name w:val="footer"/>
    <w:basedOn w:val="Normal"/>
    <w:link w:val="PieddepageCar"/>
    <w:uiPriority w:val="99"/>
    <w:rsid w:val="00364437"/>
    <w:pPr>
      <w:tabs>
        <w:tab w:val="center" w:pos="4536"/>
        <w:tab w:val="right" w:pos="9072"/>
      </w:tabs>
    </w:pPr>
    <w:rPr>
      <w:rFonts w:cs="Times New Roman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364437"/>
    <w:rPr>
      <w:rFonts w:ascii="Calibri" w:eastAsia="Times New Roman" w:hAnsi="Calibri" w:cs="Times New Roman"/>
      <w:sz w:val="20"/>
      <w:szCs w:val="20"/>
    </w:rPr>
  </w:style>
  <w:style w:type="character" w:styleId="Lienhypertexte">
    <w:name w:val="Hyperlink"/>
    <w:rsid w:val="0036443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30E3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F4E7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E7A"/>
    <w:rPr>
      <w:rFonts w:ascii="Segoe UI" w:eastAsia="Times New Roman" w:hAnsi="Segoe UI" w:cs="Segoe UI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unhideWhenUsed/>
    <w:rsid w:val="00BE28ED"/>
    <w:pPr>
      <w:spacing w:after="120" w:line="480" w:lineRule="auto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E28ED"/>
    <w:rPr>
      <w:rFonts w:ascii="Calibri" w:eastAsia="Times New Roman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BE28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E28ED"/>
    <w:rPr>
      <w:rFonts w:ascii="Calibri" w:eastAsia="Times New Roman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71B8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customStyle="1" w:styleId="TTTT">
    <w:name w:val="TTTT"/>
    <w:basedOn w:val="Normal"/>
    <w:qFormat/>
    <w:rsid w:val="003671B8"/>
    <w:pPr>
      <w:pBdr>
        <w:bottom w:val="thickThinSmallGap" w:sz="24" w:space="1" w:color="auto"/>
      </w:pBdr>
      <w:jc w:val="center"/>
    </w:pPr>
    <w:rPr>
      <w:rFonts w:ascii="Times New Roman" w:hAnsi="Times New Roman" w:cs="Times New Roman"/>
      <w:b/>
      <w:sz w:val="32"/>
      <w:szCs w:val="40"/>
      <w:lang w:eastAsia="fr-FR"/>
    </w:rPr>
  </w:style>
  <w:style w:type="paragraph" w:customStyle="1" w:styleId="TITRE10">
    <w:name w:val="TITRE1"/>
    <w:basedOn w:val="Normal"/>
    <w:qFormat/>
    <w:rsid w:val="003671B8"/>
    <w:pPr>
      <w:spacing w:line="360" w:lineRule="auto"/>
      <w:ind w:left="1035" w:hanging="495"/>
      <w:jc w:val="both"/>
    </w:pPr>
    <w:rPr>
      <w:rFonts w:ascii="Times New Roman" w:hAnsi="Times New Roman" w:cs="Times New Roman"/>
      <w:b/>
      <w:sz w:val="26"/>
      <w:szCs w:val="26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3671B8"/>
    <w:rPr>
      <w:rFonts w:ascii="Times New Roman" w:hAnsi="Times New Roman" w:cs="Times New Roman"/>
      <w:b/>
      <w:bCs/>
      <w:sz w:val="20"/>
      <w:szCs w:val="20"/>
      <w:lang w:eastAsia="fr-FR"/>
    </w:rPr>
  </w:style>
  <w:style w:type="paragraph" w:styleId="Citation">
    <w:name w:val="Quote"/>
    <w:aliases w:val="Tableau"/>
    <w:basedOn w:val="Normal"/>
    <w:next w:val="Normal"/>
    <w:link w:val="CitationCar"/>
    <w:uiPriority w:val="29"/>
    <w:qFormat/>
    <w:rsid w:val="003671B8"/>
    <w:rPr>
      <w:rFonts w:ascii="Arial" w:eastAsia="Calibri" w:hAnsi="Arial" w:cs="Times New Roman"/>
      <w:iCs/>
      <w:color w:val="FFFFFF"/>
      <w:sz w:val="20"/>
      <w:lang w:val="fr-BE"/>
    </w:rPr>
  </w:style>
  <w:style w:type="character" w:customStyle="1" w:styleId="CitationCar">
    <w:name w:val="Citation Car"/>
    <w:aliases w:val="Tableau Car"/>
    <w:basedOn w:val="Policepardfaut"/>
    <w:link w:val="Citation"/>
    <w:uiPriority w:val="29"/>
    <w:rsid w:val="003671B8"/>
    <w:rPr>
      <w:rFonts w:ascii="Arial" w:eastAsia="Calibri" w:hAnsi="Arial" w:cs="Times New Roman"/>
      <w:iCs/>
      <w:color w:val="FFFFFF"/>
      <w:sz w:val="20"/>
      <w:lang w:val="fr-BE"/>
    </w:rPr>
  </w:style>
  <w:style w:type="paragraph" w:styleId="Tabledesillustrations">
    <w:name w:val="table of figures"/>
    <w:basedOn w:val="Normal"/>
    <w:next w:val="Normal"/>
    <w:uiPriority w:val="99"/>
    <w:unhideWhenUsed/>
    <w:rsid w:val="003671B8"/>
    <w:rPr>
      <w:rFonts w:ascii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rsid w:val="003671B8"/>
    <w:rPr>
      <w:rFonts w:ascii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671B8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uiPriority w:val="99"/>
    <w:semiHidden/>
    <w:rsid w:val="003671B8"/>
    <w:rPr>
      <w:vertAlign w:val="superscript"/>
    </w:rPr>
  </w:style>
  <w:style w:type="table" w:styleId="Grilledutableau">
    <w:name w:val="Table Grid"/>
    <w:basedOn w:val="TableauNormal"/>
    <w:uiPriority w:val="39"/>
    <w:rsid w:val="001A5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qFormat/>
    <w:rsid w:val="005B1AEA"/>
    <w:pPr>
      <w:jc w:val="center"/>
    </w:pPr>
    <w:rPr>
      <w:rFonts w:ascii="Times New Roman" w:hAnsi="Times New Roman" w:cs="Times New Roman"/>
      <w:b/>
      <w:bCs/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rsid w:val="005B1AE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ae@insae.bj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SOU\Documents\Juin%202021\Fichier%20publication%20IHP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SOU\Documents\Juin%202021\Fichier%20publication%20IHP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SOU\Documents\Juin%202021\Fichier%20publication%20IHP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SOU\Documents\Juin%202021\Fichier%20publication%20IHPC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SOU\Documents\Juin%202021\Fichier%20publication%20IHP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909090909091064E-2"/>
          <c:y val="4.1666807952229823E-2"/>
          <c:w val="0.83442050263197665"/>
          <c:h val="0.71224208085100471"/>
        </c:manualLayout>
      </c:layout>
      <c:lineChart>
        <c:grouping val="standard"/>
        <c:varyColors val="0"/>
        <c:ser>
          <c:idx val="0"/>
          <c:order val="0"/>
          <c:tx>
            <c:strRef>
              <c:f>'Evol taux d''inf'!$A$2</c:f>
              <c:strCache>
                <c:ptCount val="1"/>
                <c:pt idx="0">
                  <c:v>Taux d'inflation (en critère de convergence)</c:v>
                </c:pt>
              </c:strCache>
            </c:strRef>
          </c:tx>
          <c:cat>
            <c:numRef>
              <c:f>'Evol taux d''inf'!$B$1:$Z$1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'Evol taux d''inf'!$B$2:$Z$2</c:f>
              <c:numCache>
                <c:formatCode>0.0%</c:formatCode>
                <c:ptCount val="25"/>
                <c:pt idx="0">
                  <c:v>-1.6434280615471586E-3</c:v>
                </c:pt>
                <c:pt idx="1">
                  <c:v>-6.3395884444654715E-3</c:v>
                </c:pt>
                <c:pt idx="2">
                  <c:v>-8.7401092706833605E-3</c:v>
                </c:pt>
                <c:pt idx="3">
                  <c:v>-1.0732861317790054E-2</c:v>
                </c:pt>
                <c:pt idx="4">
                  <c:v>-1.1244557741498573E-2</c:v>
                </c:pt>
                <c:pt idx="5">
                  <c:v>-9.5605523631185907E-3</c:v>
                </c:pt>
                <c:pt idx="6">
                  <c:v>-9.1677761877134722E-3</c:v>
                </c:pt>
                <c:pt idx="7">
                  <c:v>-9.4735340612615015E-3</c:v>
                </c:pt>
                <c:pt idx="8">
                  <c:v>-5.5692576164446672E-3</c:v>
                </c:pt>
                <c:pt idx="9">
                  <c:v>-4.1690264853228021E-3</c:v>
                </c:pt>
                <c:pt idx="10">
                  <c:v>-2.697085265478405E-4</c:v>
                </c:pt>
                <c:pt idx="11">
                  <c:v>2.4228380120114856E-3</c:v>
                </c:pt>
                <c:pt idx="12">
                  <c:v>8.8157100215808804E-3</c:v>
                </c:pt>
                <c:pt idx="13">
                  <c:v>1.4415128700460578E-2</c:v>
                </c:pt>
                <c:pt idx="14">
                  <c:v>1.9689888687677737E-2</c:v>
                </c:pt>
                <c:pt idx="15">
                  <c:v>2.5109728727676917E-2</c:v>
                </c:pt>
                <c:pt idx="16">
                  <c:v>2.9204194580787268E-2</c:v>
                </c:pt>
                <c:pt idx="17">
                  <c:v>2.973384079921737E-2</c:v>
                </c:pt>
                <c:pt idx="18">
                  <c:v>3.0340457710139379E-2</c:v>
                </c:pt>
                <c:pt idx="19">
                  <c:v>2.9402485650161347E-2</c:v>
                </c:pt>
                <c:pt idx="20">
                  <c:v>2.4960882674448293E-2</c:v>
                </c:pt>
                <c:pt idx="21">
                  <c:v>2.2731017741560722E-2</c:v>
                </c:pt>
                <c:pt idx="22">
                  <c:v>2.0472449881975274E-2</c:v>
                </c:pt>
                <c:pt idx="23">
                  <c:v>2.0013003576349941E-2</c:v>
                </c:pt>
                <c:pt idx="24">
                  <c:v>2.0702530647658923E-2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3784896"/>
        <c:axId val="-93781632"/>
      </c:lineChart>
      <c:dateAx>
        <c:axId val="-93784896"/>
        <c:scaling>
          <c:orientation val="minMax"/>
        </c:scaling>
        <c:delete val="0"/>
        <c:axPos val="b"/>
        <c:numFmt formatCode="mmm\-yy" sourceLinked="0"/>
        <c:majorTickMark val="out"/>
        <c:minorTickMark val="none"/>
        <c:tickLblPos val="nextTo"/>
        <c:txPr>
          <a:bodyPr rot="-270000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81632"/>
        <c:crosses val="autoZero"/>
        <c:auto val="1"/>
        <c:lblOffset val="100"/>
        <c:baseTimeUnit val="months"/>
        <c:majorUnit val="1"/>
        <c:majorTimeUnit val="months"/>
      </c:dateAx>
      <c:valAx>
        <c:axId val="-93781632"/>
        <c:scaling>
          <c:orientation val="minMax"/>
        </c:scaling>
        <c:delete val="0"/>
        <c:axPos val="l"/>
        <c:numFmt formatCode="0.0%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848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0669573837516884"/>
          <c:y val="0.80125706508908623"/>
          <c:w val="0.51824817518248179"/>
          <c:h val="0.1569505077688074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6509545895804"/>
          <c:y val="3.7036998282191473E-2"/>
          <c:w val="0.84190266841644801"/>
          <c:h val="0.61309122074026456"/>
        </c:manualLayout>
      </c:layout>
      <c:lineChart>
        <c:grouping val="standard"/>
        <c:varyColors val="0"/>
        <c:ser>
          <c:idx val="0"/>
          <c:order val="0"/>
          <c:tx>
            <c:strRef>
              <c:f>'Indice global et IHPFE'!$A$2</c:f>
              <c:strCache>
                <c:ptCount val="1"/>
                <c:pt idx="0">
                  <c:v>indice global</c:v>
                </c:pt>
              </c:strCache>
            </c:strRef>
          </c:tx>
          <c:marker>
            <c:symbol val="none"/>
          </c:marker>
          <c:cat>
            <c:numRef>
              <c:f>'Indice global et IHPFE'!$B$1:$Z$1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global et IHPFE'!$B$2:$Z$2</c:f>
              <c:numCache>
                <c:formatCode>0</c:formatCode>
                <c:ptCount val="25"/>
                <c:pt idx="0">
                  <c:v>100.54781300000002</c:v>
                </c:pt>
                <c:pt idx="1">
                  <c:v>101.265495</c:v>
                </c:pt>
                <c:pt idx="2">
                  <c:v>100.13558900000001</c:v>
                </c:pt>
                <c:pt idx="3">
                  <c:v>99.654730000000001</c:v>
                </c:pt>
                <c:pt idx="4">
                  <c:v>100.45093699999998</c:v>
                </c:pt>
                <c:pt idx="5">
                  <c:v>102.25340300000002</c:v>
                </c:pt>
                <c:pt idx="6">
                  <c:v>101.45709399999998</c:v>
                </c:pt>
                <c:pt idx="7">
                  <c:v>103.134863</c:v>
                </c:pt>
                <c:pt idx="8">
                  <c:v>104.170368</c:v>
                </c:pt>
                <c:pt idx="9">
                  <c:v>103.70098599999997</c:v>
                </c:pt>
                <c:pt idx="10" formatCode="0.0">
                  <c:v>103.78508400000001</c:v>
                </c:pt>
                <c:pt idx="11" formatCode="0.0">
                  <c:v>104.54825599999999</c:v>
                </c:pt>
                <c:pt idx="12" formatCode="0.0">
                  <c:v>104.40264599999999</c:v>
                </c:pt>
                <c:pt idx="13" formatCode="0.0">
                  <c:v>105.36057199999999</c:v>
                </c:pt>
                <c:pt idx="14" formatCode="0.0">
                  <c:v>104.81240799999999</c:v>
                </c:pt>
                <c:pt idx="15" formatCode="0.0">
                  <c:v>104.49181</c:v>
                </c:pt>
                <c:pt idx="16" formatCode="0.0">
                  <c:v>104.92507599999998</c:v>
                </c:pt>
                <c:pt idx="17" formatCode="0.0">
                  <c:v>104.40885400000002</c:v>
                </c:pt>
                <c:pt idx="18" formatCode="0.0">
                  <c:v>102.621852</c:v>
                </c:pt>
                <c:pt idx="19" formatCode="0.0">
                  <c:v>102.31235800000002</c:v>
                </c:pt>
                <c:pt idx="20" formatCode="0.0">
                  <c:v>102.30344249494976</c:v>
                </c:pt>
                <c:pt idx="21" formatCode="0.0">
                  <c:v>103.15378400000002</c:v>
                </c:pt>
                <c:pt idx="22" formatCode="0.0">
                  <c:v>104.28343799999999</c:v>
                </c:pt>
                <c:pt idx="23" formatCode="0.0">
                  <c:v>106.32774041891049</c:v>
                </c:pt>
                <c:pt idx="24" formatCode="0.0">
                  <c:v>109.1818787837024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'Indice global et IHPFE'!$A$3</c:f>
              <c:strCache>
                <c:ptCount val="1"/>
                <c:pt idx="0">
                  <c:v>Indice hors énergie, hors produits frais</c:v>
                </c:pt>
              </c:strCache>
            </c:strRef>
          </c:tx>
          <c:spPr>
            <a:ln>
              <a:headEnd type="oval"/>
            </a:ln>
          </c:spPr>
          <c:marker>
            <c:symbol val="none"/>
          </c:marker>
          <c:cat>
            <c:numRef>
              <c:f>'Indice global et IHPFE'!$B$1:$Z$1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global et IHPFE'!$B$3:$Z$3</c:f>
              <c:numCache>
                <c:formatCode>0</c:formatCode>
                <c:ptCount val="25"/>
                <c:pt idx="0">
                  <c:v>99.080495771138359</c:v>
                </c:pt>
                <c:pt idx="1">
                  <c:v>100.72</c:v>
                </c:pt>
                <c:pt idx="2">
                  <c:v>98.953448448556742</c:v>
                </c:pt>
                <c:pt idx="3">
                  <c:v>102.7</c:v>
                </c:pt>
                <c:pt idx="4">
                  <c:v>102.48</c:v>
                </c:pt>
                <c:pt idx="5">
                  <c:v>102.44</c:v>
                </c:pt>
                <c:pt idx="6">
                  <c:v>102.51</c:v>
                </c:pt>
                <c:pt idx="7">
                  <c:v>104.23</c:v>
                </c:pt>
                <c:pt idx="8">
                  <c:v>104.74</c:v>
                </c:pt>
                <c:pt idx="9">
                  <c:v>103.97</c:v>
                </c:pt>
                <c:pt idx="10" formatCode="0.0">
                  <c:v>104.09</c:v>
                </c:pt>
                <c:pt idx="11" formatCode="0.0">
                  <c:v>104.21</c:v>
                </c:pt>
                <c:pt idx="12" formatCode="General">
                  <c:v>104.32</c:v>
                </c:pt>
                <c:pt idx="13" formatCode="General">
                  <c:v>105.56</c:v>
                </c:pt>
                <c:pt idx="14" formatCode="0.0">
                  <c:v>105.97</c:v>
                </c:pt>
                <c:pt idx="15" formatCode="0.0">
                  <c:v>106.19</c:v>
                </c:pt>
                <c:pt idx="16" formatCode="General">
                  <c:v>106.12</c:v>
                </c:pt>
                <c:pt idx="17" formatCode="0.0">
                  <c:v>106.26</c:v>
                </c:pt>
                <c:pt idx="18" formatCode="0.0">
                  <c:v>105.33</c:v>
                </c:pt>
                <c:pt idx="19" formatCode="0.0">
                  <c:v>104.8</c:v>
                </c:pt>
                <c:pt idx="20" formatCode="0.0">
                  <c:v>104.56829416562344</c:v>
                </c:pt>
                <c:pt idx="21" formatCode="0.0">
                  <c:v>104.66892691855392</c:v>
                </c:pt>
                <c:pt idx="22" formatCode="0.0">
                  <c:v>105.14007150715071</c:v>
                </c:pt>
                <c:pt idx="23" formatCode="0.0">
                  <c:v>105.6675296591801</c:v>
                </c:pt>
                <c:pt idx="24" formatCode="0.0">
                  <c:v>106.84455909299248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3777824"/>
        <c:axId val="-93774016"/>
      </c:lineChart>
      <c:dateAx>
        <c:axId val="-93777824"/>
        <c:scaling>
          <c:orientation val="minMax"/>
        </c:scaling>
        <c:delete val="0"/>
        <c:axPos val="b"/>
        <c:numFmt formatCode="mmm\-yy" sourceLinked="0"/>
        <c:majorTickMark val="out"/>
        <c:minorTickMark val="none"/>
        <c:tickLblPos val="nextTo"/>
        <c:txPr>
          <a:bodyPr rot="-270000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74016"/>
        <c:crosses val="autoZero"/>
        <c:auto val="1"/>
        <c:lblOffset val="100"/>
        <c:baseTimeUnit val="months"/>
        <c:majorUnit val="1"/>
        <c:majorTimeUnit val="months"/>
        <c:minorUnit val="1"/>
        <c:minorTimeUnit val="months"/>
      </c:dateAx>
      <c:valAx>
        <c:axId val="-93774016"/>
        <c:scaling>
          <c:orientation val="minMax"/>
          <c:min val="98"/>
        </c:scaling>
        <c:delete val="0"/>
        <c:axPos val="l"/>
        <c:numFmt formatCode="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778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0223156571447986"/>
          <c:y val="0.84821736568643202"/>
          <c:w val="0.79791796809246618"/>
          <c:h val="7.6389288548233583E-2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0909090909091064E-2"/>
          <c:y val="4.1666807952229816E-2"/>
          <c:w val="0.83442050263197665"/>
          <c:h val="0.53699180459585405"/>
        </c:manualLayout>
      </c:layout>
      <c:lineChart>
        <c:grouping val="standard"/>
        <c:varyColors val="0"/>
        <c:ser>
          <c:idx val="0"/>
          <c:order val="0"/>
          <c:tx>
            <c:strRef>
              <c:f>'Indice global et produits alime'!$A$2</c:f>
              <c:strCache>
                <c:ptCount val="1"/>
                <c:pt idx="0">
                  <c:v>indice global</c:v>
                </c:pt>
              </c:strCache>
            </c:strRef>
          </c:tx>
          <c:marker>
            <c:symbol val="none"/>
          </c:marker>
          <c:cat>
            <c:numRef>
              <c:f>'Indice global et produits alime'!$B$1:$Z$1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global et produits alime'!$B$2:$Z$2</c:f>
              <c:numCache>
                <c:formatCode>0</c:formatCode>
                <c:ptCount val="25"/>
                <c:pt idx="0">
                  <c:v>100.54781300000002</c:v>
                </c:pt>
                <c:pt idx="1">
                  <c:v>101.265495</c:v>
                </c:pt>
                <c:pt idx="2">
                  <c:v>100.13558900000001</c:v>
                </c:pt>
                <c:pt idx="3">
                  <c:v>99.654730000000001</c:v>
                </c:pt>
                <c:pt idx="4">
                  <c:v>100.45093699999998</c:v>
                </c:pt>
                <c:pt idx="5">
                  <c:v>102.25340300000002</c:v>
                </c:pt>
                <c:pt idx="6">
                  <c:v>101.45709399999998</c:v>
                </c:pt>
                <c:pt idx="7">
                  <c:v>103.134863</c:v>
                </c:pt>
                <c:pt idx="8">
                  <c:v>104.170368</c:v>
                </c:pt>
                <c:pt idx="9">
                  <c:v>103.70098599999997</c:v>
                </c:pt>
                <c:pt idx="10" formatCode="0.00">
                  <c:v>103.78508400000001</c:v>
                </c:pt>
                <c:pt idx="11" formatCode="0.0">
                  <c:v>104.54825599999999</c:v>
                </c:pt>
                <c:pt idx="12" formatCode="0.0">
                  <c:v>104.40264599999999</c:v>
                </c:pt>
                <c:pt idx="13" formatCode="0.0">
                  <c:v>105.36057199999999</c:v>
                </c:pt>
                <c:pt idx="14" formatCode="0.0">
                  <c:v>104.81240799999999</c:v>
                </c:pt>
                <c:pt idx="15" formatCode="0.0">
                  <c:v>104.49181</c:v>
                </c:pt>
                <c:pt idx="16" formatCode="0.0">
                  <c:v>104.92507599999998</c:v>
                </c:pt>
                <c:pt idx="17" formatCode="0.0">
                  <c:v>104.40885400000002</c:v>
                </c:pt>
                <c:pt idx="18" formatCode="0.0">
                  <c:v>102.621852</c:v>
                </c:pt>
                <c:pt idx="19" formatCode="0.0">
                  <c:v>102.31235800000002</c:v>
                </c:pt>
                <c:pt idx="20" formatCode="0.0">
                  <c:v>102.30344249494976</c:v>
                </c:pt>
                <c:pt idx="21" formatCode="0.0">
                  <c:v>103.15378400000002</c:v>
                </c:pt>
                <c:pt idx="22" formatCode="0.0">
                  <c:v>104.28343799999999</c:v>
                </c:pt>
                <c:pt idx="23" formatCode="0.0">
                  <c:v>106.32774041891049</c:v>
                </c:pt>
                <c:pt idx="24" formatCode="0.0">
                  <c:v>109.1818787837024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'Indice global et produits alime'!$A$3</c:f>
              <c:strCache>
                <c:ptCount val="1"/>
                <c:pt idx="0">
                  <c:v>Indice produits alimentaires et boissons non alcoolisées</c:v>
                </c:pt>
              </c:strCache>
            </c:strRef>
          </c:tx>
          <c:spPr>
            <a:ln>
              <a:headEnd type="diamond"/>
            </a:ln>
          </c:spPr>
          <c:marker>
            <c:symbol val="none"/>
          </c:marker>
          <c:cat>
            <c:numRef>
              <c:f>'Indice global et produits alime'!$B$1:$Z$1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global et produits alime'!$B$3:$Z$3</c:f>
              <c:numCache>
                <c:formatCode>0</c:formatCode>
                <c:ptCount val="25"/>
                <c:pt idx="0">
                  <c:v>101.42</c:v>
                </c:pt>
                <c:pt idx="1">
                  <c:v>103.49</c:v>
                </c:pt>
                <c:pt idx="2">
                  <c:v>97.67</c:v>
                </c:pt>
                <c:pt idx="3">
                  <c:v>93.47</c:v>
                </c:pt>
                <c:pt idx="4">
                  <c:v>96.77</c:v>
                </c:pt>
                <c:pt idx="5">
                  <c:v>99.5</c:v>
                </c:pt>
                <c:pt idx="6">
                  <c:v>97</c:v>
                </c:pt>
                <c:pt idx="7">
                  <c:v>101.52</c:v>
                </c:pt>
                <c:pt idx="8">
                  <c:v>103.57</c:v>
                </c:pt>
                <c:pt idx="9">
                  <c:v>102.41</c:v>
                </c:pt>
                <c:pt idx="10" formatCode="0.00">
                  <c:v>103.04</c:v>
                </c:pt>
                <c:pt idx="11" formatCode="0.0">
                  <c:v>105.37</c:v>
                </c:pt>
                <c:pt idx="12" formatCode="General">
                  <c:v>105.24</c:v>
                </c:pt>
                <c:pt idx="13" formatCode="General">
                  <c:v>105.62</c:v>
                </c:pt>
                <c:pt idx="14" formatCode="0.0">
                  <c:v>103.94</c:v>
                </c:pt>
                <c:pt idx="15" formatCode="0.0">
                  <c:v>102.34</c:v>
                </c:pt>
                <c:pt idx="16" formatCode="0.0">
                  <c:v>104.07</c:v>
                </c:pt>
                <c:pt idx="17" formatCode="0.0">
                  <c:v>102.85</c:v>
                </c:pt>
                <c:pt idx="18" formatCode="0.0">
                  <c:v>101.19</c:v>
                </c:pt>
                <c:pt idx="19" formatCode="0.0">
                  <c:v>101.22</c:v>
                </c:pt>
                <c:pt idx="20" formatCode="0.0">
                  <c:v>101.04047365516433</c:v>
                </c:pt>
                <c:pt idx="21" formatCode="0.0">
                  <c:v>103.58</c:v>
                </c:pt>
                <c:pt idx="22" formatCode="0.0">
                  <c:v>106.02</c:v>
                </c:pt>
                <c:pt idx="23" formatCode="0.0">
                  <c:v>110.73483228683401</c:v>
                </c:pt>
                <c:pt idx="24" formatCode="0.0">
                  <c:v>117.779791355133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3780544"/>
        <c:axId val="-93783264"/>
      </c:lineChart>
      <c:dateAx>
        <c:axId val="-93780544"/>
        <c:scaling>
          <c:orientation val="minMax"/>
        </c:scaling>
        <c:delete val="0"/>
        <c:axPos val="b"/>
        <c:numFmt formatCode="mmm\-yy" sourceLinked="0"/>
        <c:majorTickMark val="out"/>
        <c:minorTickMark val="none"/>
        <c:tickLblPos val="nextTo"/>
        <c:txPr>
          <a:bodyPr rot="-270000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83264"/>
        <c:crossesAt val="90"/>
        <c:auto val="1"/>
        <c:lblOffset val="100"/>
        <c:baseTimeUnit val="months"/>
        <c:majorUnit val="1"/>
        <c:majorTimeUnit val="months"/>
      </c:dateAx>
      <c:valAx>
        <c:axId val="-93783264"/>
        <c:scaling>
          <c:orientation val="minMax"/>
          <c:min val="90"/>
        </c:scaling>
        <c:delete val="0"/>
        <c:axPos val="l"/>
        <c:numFmt formatCode="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805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1.6380932350067261E-2"/>
          <c:y val="0.80407038405913545"/>
          <c:w val="0.95869805477400305"/>
          <c:h val="7.6389253426655146E-2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583333333333348E-2"/>
          <c:y val="4.1666666666666664E-2"/>
          <c:w val="0.8125"/>
          <c:h val="0.6180555555555578"/>
        </c:manualLayout>
      </c:layout>
      <c:lineChart>
        <c:grouping val="standard"/>
        <c:varyColors val="0"/>
        <c:ser>
          <c:idx val="0"/>
          <c:order val="0"/>
          <c:tx>
            <c:strRef>
              <c:f>'Indice logement et transport'!$A$2</c:f>
              <c:strCache>
                <c:ptCount val="1"/>
                <c:pt idx="0">
                  <c:v>Indice logement,eau, gaz, électricité et autres combustibles</c:v>
                </c:pt>
              </c:strCache>
            </c:strRef>
          </c:tx>
          <c:marker>
            <c:symbol val="none"/>
          </c:marker>
          <c:cat>
            <c:numRef>
              <c:f>'Indice logement et transport'!$B$1:$Z$1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logement et transport'!$B$2:$Z$2</c:f>
              <c:numCache>
                <c:formatCode>General</c:formatCode>
                <c:ptCount val="25"/>
                <c:pt idx="0">
                  <c:v>97.01</c:v>
                </c:pt>
                <c:pt idx="1">
                  <c:v>97.4</c:v>
                </c:pt>
                <c:pt idx="2" formatCode="0.0">
                  <c:v>100.71</c:v>
                </c:pt>
                <c:pt idx="3">
                  <c:v>99.32</c:v>
                </c:pt>
                <c:pt idx="4" formatCode="0.0">
                  <c:v>99.7</c:v>
                </c:pt>
                <c:pt idx="5" formatCode="0.0">
                  <c:v>104.4</c:v>
                </c:pt>
                <c:pt idx="6">
                  <c:v>103.36</c:v>
                </c:pt>
                <c:pt idx="7" formatCode="0.0">
                  <c:v>103.83</c:v>
                </c:pt>
                <c:pt idx="8">
                  <c:v>103.3</c:v>
                </c:pt>
                <c:pt idx="9" formatCode="0.0">
                  <c:v>104.18</c:v>
                </c:pt>
                <c:pt idx="10">
                  <c:v>103.62</c:v>
                </c:pt>
                <c:pt idx="11">
                  <c:v>103.25</c:v>
                </c:pt>
                <c:pt idx="12">
                  <c:v>103.18</c:v>
                </c:pt>
                <c:pt idx="13" formatCode="0.0">
                  <c:v>103.29</c:v>
                </c:pt>
                <c:pt idx="14" formatCode="0.0">
                  <c:v>103.11</c:v>
                </c:pt>
                <c:pt idx="15" formatCode="0.0">
                  <c:v>105.38</c:v>
                </c:pt>
                <c:pt idx="16">
                  <c:v>101.92</c:v>
                </c:pt>
                <c:pt idx="17" formatCode="0.0">
                  <c:v>100.66</c:v>
                </c:pt>
                <c:pt idx="18" formatCode="0.0">
                  <c:v>97.55</c:v>
                </c:pt>
                <c:pt idx="19" formatCode="0.0">
                  <c:v>98.28</c:v>
                </c:pt>
                <c:pt idx="20" formatCode="0.0">
                  <c:v>97.674804430216724</c:v>
                </c:pt>
                <c:pt idx="21" formatCode="0.0">
                  <c:v>97.35</c:v>
                </c:pt>
                <c:pt idx="22" formatCode="0.0">
                  <c:v>97.99</c:v>
                </c:pt>
                <c:pt idx="23" formatCode="0.0">
                  <c:v>100.857210159301</c:v>
                </c:pt>
                <c:pt idx="24" formatCode="0.0">
                  <c:v>102.324151992797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'Indice logement et transport'!$A$3</c:f>
              <c:strCache>
                <c:ptCount val="1"/>
                <c:pt idx="0">
                  <c:v>Indice transport</c:v>
                </c:pt>
              </c:strCache>
            </c:strRef>
          </c:tx>
          <c:spPr>
            <a:ln>
              <a:headEnd type="oval"/>
            </a:ln>
          </c:spPr>
          <c:marker>
            <c:symbol val="none"/>
          </c:marker>
          <c:cat>
            <c:numRef>
              <c:f>'Indice logement et transport'!$B$1:$Z$1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logement et transport'!$B$3:$Z$3</c:f>
              <c:numCache>
                <c:formatCode>General</c:formatCode>
                <c:ptCount val="25"/>
                <c:pt idx="0">
                  <c:v>96.36</c:v>
                </c:pt>
                <c:pt idx="1">
                  <c:v>97.6</c:v>
                </c:pt>
                <c:pt idx="2" formatCode="0.0">
                  <c:v>100.11</c:v>
                </c:pt>
                <c:pt idx="3">
                  <c:v>110.34</c:v>
                </c:pt>
                <c:pt idx="4" formatCode="0.0">
                  <c:v>106.17</c:v>
                </c:pt>
                <c:pt idx="5" formatCode="0.0">
                  <c:v>108.15</c:v>
                </c:pt>
                <c:pt idx="6">
                  <c:v>110.47</c:v>
                </c:pt>
                <c:pt idx="7" formatCode="0.0">
                  <c:v>108.89</c:v>
                </c:pt>
                <c:pt idx="8">
                  <c:v>110.34</c:v>
                </c:pt>
                <c:pt idx="9" formatCode="0.0">
                  <c:v>108.28</c:v>
                </c:pt>
                <c:pt idx="10">
                  <c:v>107.29</c:v>
                </c:pt>
                <c:pt idx="11">
                  <c:v>106.67</c:v>
                </c:pt>
                <c:pt idx="12">
                  <c:v>105.72</c:v>
                </c:pt>
                <c:pt idx="13" formatCode="0.0">
                  <c:v>112.01</c:v>
                </c:pt>
                <c:pt idx="14" formatCode="0.0">
                  <c:v>111.69</c:v>
                </c:pt>
                <c:pt idx="15" formatCode="0.0">
                  <c:v>111.88</c:v>
                </c:pt>
                <c:pt idx="16">
                  <c:v>111.94</c:v>
                </c:pt>
                <c:pt idx="17" formatCode="0.0">
                  <c:v>111.47</c:v>
                </c:pt>
                <c:pt idx="18" formatCode="0.0">
                  <c:v>107.55</c:v>
                </c:pt>
                <c:pt idx="19" formatCode="0.0">
                  <c:v>104.57</c:v>
                </c:pt>
                <c:pt idx="20" formatCode="0.0">
                  <c:v>105.0558416730935</c:v>
                </c:pt>
                <c:pt idx="21" formatCode="0.0">
                  <c:v>105.04</c:v>
                </c:pt>
                <c:pt idx="22" formatCode="0.0">
                  <c:v>106.11</c:v>
                </c:pt>
                <c:pt idx="23" formatCode="0.0">
                  <c:v>105.568242073059</c:v>
                </c:pt>
                <c:pt idx="24" formatCode="0.0">
                  <c:v>105.739200115203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3775104"/>
        <c:axId val="-93772928"/>
      </c:lineChart>
      <c:dateAx>
        <c:axId val="-93775104"/>
        <c:scaling>
          <c:orientation val="minMax"/>
        </c:scaling>
        <c:delete val="0"/>
        <c:axPos val="b"/>
        <c:numFmt formatCode="mmm\-yy" sourceLinked="0"/>
        <c:majorTickMark val="out"/>
        <c:minorTickMark val="none"/>
        <c:tickLblPos val="nextTo"/>
        <c:txPr>
          <a:bodyPr rot="-270000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72928"/>
        <c:crosses val="autoZero"/>
        <c:auto val="1"/>
        <c:lblOffset val="100"/>
        <c:baseTimeUnit val="months"/>
        <c:majorUnit val="1"/>
        <c:majorTimeUnit val="months"/>
        <c:minorUnit val="1"/>
        <c:minorTimeUnit val="months"/>
      </c:dateAx>
      <c:valAx>
        <c:axId val="-93772928"/>
        <c:scaling>
          <c:orientation val="minMax"/>
          <c:min val="95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751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5000020473259876"/>
          <c:y val="0.81944722127125402"/>
          <c:w val="0.78333479148439789"/>
          <c:h val="0.1527781423155439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0002034509351"/>
          <c:y val="4.1666807952229816E-2"/>
          <c:w val="0.822314085739281"/>
          <c:h val="0.67474971034026154"/>
        </c:manualLayout>
      </c:layout>
      <c:lineChart>
        <c:grouping val="standard"/>
        <c:varyColors val="0"/>
        <c:ser>
          <c:idx val="0"/>
          <c:order val="0"/>
          <c:tx>
            <c:strRef>
              <c:f>'Indice origine'!$A$2</c:f>
              <c:strCache>
                <c:ptCount val="1"/>
                <c:pt idx="0">
                  <c:v>Importés</c:v>
                </c:pt>
              </c:strCache>
            </c:strRef>
          </c:tx>
          <c:marker>
            <c:symbol val="none"/>
          </c:marker>
          <c:cat>
            <c:numRef>
              <c:f>'Indice origine'!$B$1:$Z$1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origine'!$B$2:$Z$2</c:f>
              <c:numCache>
                <c:formatCode>0</c:formatCode>
                <c:ptCount val="25"/>
                <c:pt idx="0">
                  <c:v>98.897146553273799</c:v>
                </c:pt>
                <c:pt idx="1">
                  <c:v>99.321204943557007</c:v>
                </c:pt>
                <c:pt idx="2">
                  <c:v>98.569924508133496</c:v>
                </c:pt>
                <c:pt idx="3">
                  <c:v>101.46</c:v>
                </c:pt>
                <c:pt idx="4">
                  <c:v>101.33</c:v>
                </c:pt>
                <c:pt idx="5">
                  <c:v>101.81</c:v>
                </c:pt>
                <c:pt idx="6">
                  <c:v>101.93</c:v>
                </c:pt>
                <c:pt idx="7">
                  <c:v>101.54</c:v>
                </c:pt>
                <c:pt idx="8">
                  <c:v>102.85</c:v>
                </c:pt>
                <c:pt idx="9">
                  <c:v>102.08</c:v>
                </c:pt>
                <c:pt idx="10" formatCode="General">
                  <c:v>101.62</c:v>
                </c:pt>
                <c:pt idx="11" formatCode="General">
                  <c:v>101.67</c:v>
                </c:pt>
                <c:pt idx="12" formatCode="General">
                  <c:v>101.47</c:v>
                </c:pt>
                <c:pt idx="13" formatCode="General">
                  <c:v>102.11</c:v>
                </c:pt>
                <c:pt idx="14" formatCode="0.0">
                  <c:v>102.53</c:v>
                </c:pt>
                <c:pt idx="15" formatCode="0.0">
                  <c:v>102.28</c:v>
                </c:pt>
                <c:pt idx="16" formatCode="0.0">
                  <c:v>102.37</c:v>
                </c:pt>
                <c:pt idx="17" formatCode="0.0">
                  <c:v>102.22</c:v>
                </c:pt>
                <c:pt idx="18" formatCode="0.0">
                  <c:v>101.4</c:v>
                </c:pt>
                <c:pt idx="19" formatCode="0.0">
                  <c:v>101.33</c:v>
                </c:pt>
                <c:pt idx="20" formatCode="0.0">
                  <c:v>101.14924783602839</c:v>
                </c:pt>
                <c:pt idx="21" formatCode="0.0">
                  <c:v>101.27040490879355</c:v>
                </c:pt>
                <c:pt idx="22" formatCode="0.0">
                  <c:v>101.53138203952606</c:v>
                </c:pt>
                <c:pt idx="23" formatCode="0.0">
                  <c:v>101.41929622882527</c:v>
                </c:pt>
                <c:pt idx="24" formatCode="0.0">
                  <c:v>101.68221461853814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'Indice origine'!$A$3</c:f>
              <c:strCache>
                <c:ptCount val="1"/>
                <c:pt idx="0">
                  <c:v>Locaux</c:v>
                </c:pt>
              </c:strCache>
            </c:strRef>
          </c:tx>
          <c:spPr>
            <a:ln>
              <a:headEnd type="diamond"/>
            </a:ln>
          </c:spPr>
          <c:marker>
            <c:symbol val="none"/>
          </c:marker>
          <c:cat>
            <c:numRef>
              <c:f>'Indice origine'!$B$1:$Z$1</c:f>
              <c:numCache>
                <c:formatCode>mmm\-yy</c:formatCode>
                <c:ptCount val="25"/>
                <c:pt idx="0">
                  <c:v>43617</c:v>
                </c:pt>
                <c:pt idx="1">
                  <c:v>43647</c:v>
                </c:pt>
                <c:pt idx="2">
                  <c:v>43678</c:v>
                </c:pt>
                <c:pt idx="3">
                  <c:v>43709</c:v>
                </c:pt>
                <c:pt idx="4">
                  <c:v>43739</c:v>
                </c:pt>
                <c:pt idx="5">
                  <c:v>43770</c:v>
                </c:pt>
                <c:pt idx="6">
                  <c:v>43800</c:v>
                </c:pt>
                <c:pt idx="7">
                  <c:v>43831</c:v>
                </c:pt>
                <c:pt idx="8">
                  <c:v>43862</c:v>
                </c:pt>
                <c:pt idx="9">
                  <c:v>43891</c:v>
                </c:pt>
                <c:pt idx="10">
                  <c:v>43922</c:v>
                </c:pt>
                <c:pt idx="11">
                  <c:v>43952</c:v>
                </c:pt>
                <c:pt idx="12">
                  <c:v>43983</c:v>
                </c:pt>
                <c:pt idx="13">
                  <c:v>44013</c:v>
                </c:pt>
                <c:pt idx="14">
                  <c:v>44044</c:v>
                </c:pt>
                <c:pt idx="15">
                  <c:v>44075</c:v>
                </c:pt>
                <c:pt idx="16">
                  <c:v>44105</c:v>
                </c:pt>
                <c:pt idx="17">
                  <c:v>44136</c:v>
                </c:pt>
                <c:pt idx="18">
                  <c:v>44166</c:v>
                </c:pt>
                <c:pt idx="19">
                  <c:v>44197</c:v>
                </c:pt>
                <c:pt idx="20">
                  <c:v>44228</c:v>
                </c:pt>
                <c:pt idx="21">
                  <c:v>44256</c:v>
                </c:pt>
                <c:pt idx="22">
                  <c:v>44287</c:v>
                </c:pt>
                <c:pt idx="23">
                  <c:v>44317</c:v>
                </c:pt>
                <c:pt idx="24">
                  <c:v>44348</c:v>
                </c:pt>
              </c:numCache>
            </c:numRef>
          </c:cat>
          <c:val>
            <c:numRef>
              <c:f>'Indice origine'!$B$3:$Z$3</c:f>
              <c:numCache>
                <c:formatCode>0</c:formatCode>
                <c:ptCount val="25"/>
                <c:pt idx="0">
                  <c:v>100.80474672789994</c:v>
                </c:pt>
                <c:pt idx="1">
                  <c:v>102.18585845939411</c:v>
                </c:pt>
                <c:pt idx="2">
                  <c:v>100.72737867909467</c:v>
                </c:pt>
                <c:pt idx="3">
                  <c:v>99.75</c:v>
                </c:pt>
                <c:pt idx="4">
                  <c:v>100.81</c:v>
                </c:pt>
                <c:pt idx="5">
                  <c:v>105.14</c:v>
                </c:pt>
                <c:pt idx="6">
                  <c:v>101.81</c:v>
                </c:pt>
                <c:pt idx="7">
                  <c:v>104.42</c:v>
                </c:pt>
                <c:pt idx="8">
                  <c:v>105.01</c:v>
                </c:pt>
                <c:pt idx="9">
                  <c:v>104.9</c:v>
                </c:pt>
                <c:pt idx="10" formatCode="General">
                  <c:v>105.35</c:v>
                </c:pt>
                <c:pt idx="11" formatCode="General">
                  <c:v>106.59</c:v>
                </c:pt>
                <c:pt idx="12" formatCode="General">
                  <c:v>106.36</c:v>
                </c:pt>
                <c:pt idx="13" formatCode="General">
                  <c:v>107.29</c:v>
                </c:pt>
                <c:pt idx="14" formatCode="0.0">
                  <c:v>106.72</c:v>
                </c:pt>
                <c:pt idx="15" formatCode="0.0">
                  <c:v>106.29</c:v>
                </c:pt>
                <c:pt idx="16" formatCode="0.0">
                  <c:v>106.89</c:v>
                </c:pt>
                <c:pt idx="17" formatCode="0.0">
                  <c:v>107.27</c:v>
                </c:pt>
                <c:pt idx="18" formatCode="0.0">
                  <c:v>103.85</c:v>
                </c:pt>
                <c:pt idx="19" formatCode="0.0">
                  <c:v>103.17</c:v>
                </c:pt>
                <c:pt idx="20" formatCode="0.0">
                  <c:v>102.39003617308856</c:v>
                </c:pt>
                <c:pt idx="21" formatCode="0.0">
                  <c:v>103.78487362236905</c:v>
                </c:pt>
                <c:pt idx="22" formatCode="0.0">
                  <c:v>105.2054774109464</c:v>
                </c:pt>
                <c:pt idx="23" formatCode="0.0">
                  <c:v>108.46099649888423</c:v>
                </c:pt>
                <c:pt idx="24" formatCode="0.0">
                  <c:v>112.75073520760183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3787072"/>
        <c:axId val="-93782720"/>
      </c:lineChart>
      <c:dateAx>
        <c:axId val="-93787072"/>
        <c:scaling>
          <c:orientation val="minMax"/>
        </c:scaling>
        <c:delete val="0"/>
        <c:axPos val="b"/>
        <c:numFmt formatCode="mmm\-yy" sourceLinked="0"/>
        <c:majorTickMark val="out"/>
        <c:minorTickMark val="none"/>
        <c:tickLblPos val="nextTo"/>
        <c:txPr>
          <a:bodyPr rot="-270000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82720"/>
        <c:crosses val="autoZero"/>
        <c:auto val="1"/>
        <c:lblOffset val="100"/>
        <c:baseTimeUnit val="months"/>
        <c:majorUnit val="1"/>
        <c:majorTimeUnit val="months"/>
        <c:minorUnit val="1"/>
        <c:minorTimeUnit val="months"/>
      </c:dateAx>
      <c:valAx>
        <c:axId val="-93782720"/>
        <c:scaling>
          <c:orientation val="minMax"/>
          <c:min val="95"/>
        </c:scaling>
        <c:delete val="0"/>
        <c:axPos val="l"/>
        <c:numFmt formatCode="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-93787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291732283464758"/>
          <c:y val="0.89583624963546227"/>
          <c:w val="0.34791732283464705"/>
          <c:h val="7.6389253426655146E-2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4CF25-DECC-4898-BA6C-17A3B35E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2449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Souliath CHITOU</dc:creator>
  <cp:lastModifiedBy>Utilisateur</cp:lastModifiedBy>
  <cp:revision>42</cp:revision>
  <cp:lastPrinted>2021-07-07T08:12:00Z</cp:lastPrinted>
  <dcterms:created xsi:type="dcterms:W3CDTF">2021-07-06T14:57:00Z</dcterms:created>
  <dcterms:modified xsi:type="dcterms:W3CDTF">2021-07-09T10:20:00Z</dcterms:modified>
</cp:coreProperties>
</file>