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20.png" ContentType="image/png"/>
  <Override PartName="/word/media/rId38.png" ContentType="image/png"/>
  <Override PartName="/word/media/rId28.png" ContentType="image/png"/>
  <Override PartName="/word/media/rId67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Dutch Property Values: A Municipal Analysis</w:t>
      </w:r>
    </w:p>
    <w:p>
      <w:pPr>
        <w:pStyle w:val="Subtitle"/>
      </w:pPr>
      <w:r>
        <w:t xml:space="preserve">Analyzing WOZ Trends Across the Netherlands (2016 - 2024)</w:t>
      </w:r>
    </w:p>
    <w:p>
      <w:pPr>
        <w:pStyle w:val="Author"/>
      </w:pPr>
      <w:r>
        <w:t xml:space="preserve">Reproducible Research Demo</w:t>
      </w:r>
    </w:p>
    <w:p>
      <w:pPr>
        <w:pStyle w:val="Date"/>
      </w:pPr>
      <w:r>
        <w:t xml:space="preserve">2026-01-29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 a real research!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mind the narrative but the data is real.</w:t>
            </w:r>
          </w:p>
          <w:p/>
        </w:tc>
      </w:tr>
    </w:tbl>
    <w:bookmarkStart w:id="2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The Dutch housing market has experienced remarkable changes over the past decade. Property values, as measured by the WOZ (</w:t>
      </w:r>
      <w:r>
        <w:rPr>
          <w:i/>
          <w:iCs/>
        </w:rPr>
        <w:t xml:space="preserve">Waardering Onroerende Zaken</w:t>
      </w:r>
      <w:r>
        <w:t xml:space="preserve">) valuations, serve as a key indicator of real estate market dynamics</w:t>
      </w:r>
      <w:r>
        <w:t xml:space="preserve"> </w:t>
      </w:r>
      <w:r>
        <w:t xml:space="preserve">(Vries et al. 2009)</w:t>
      </w:r>
      <w:r>
        <w:t xml:space="preserve">. These official government valuations are used for property taxation and reflect market conditions across municipalities.</w:t>
      </w:r>
    </w:p>
    <w:p>
      <w:pPr>
        <w:pStyle w:val="BodyText"/>
      </w:pPr>
      <w:r>
        <w:t xml:space="preserve">This analysis examines the evolution of property values across Dutch municipalities using data from Statistics Netherlands (CBS). We address the research question:</w:t>
      </w:r>
    </w:p>
    <w:p>
      <w:pPr>
        <w:pStyle w:val="BlockText"/>
      </w:pPr>
      <w:r>
        <w:rPr>
          <w:b/>
          <w:bCs/>
        </w:rPr>
        <w:t xml:space="preserve">How have property values evolved across Dutch municipalities since 2016, and what spatial patterns emerge?</w:t>
      </w:r>
    </w:p>
    <w:p>
      <w:pPr>
        <w:pStyle w:val="FirstParagraph"/>
      </w:pPr>
      <w:r>
        <w:t xml:space="preserve">Our analysis uses R for data processing, statistical modeling, and visualization, demonstrating Quarto’s capabilities for reproducible research.</w:t>
      </w:r>
    </w:p>
    <w:bookmarkEnd w:id="23"/>
    <w:bookmarkStart w:id="25" w:name="data"/>
    <w:p>
      <w:pPr>
        <w:pStyle w:val="Heading2"/>
      </w:pPr>
      <w:r>
        <w:t xml:space="preserve">2 Data</w:t>
      </w:r>
    </w:p>
    <w:p>
      <w:pPr>
        <w:pStyle w:val="FirstParagraph"/>
      </w:pPr>
      <w:r>
        <w:t xml:space="preserve">We use the CBS</w:t>
      </w:r>
      <w:r>
        <w:t xml:space="preserve"> </w:t>
      </w:r>
      <w:r>
        <w:rPr>
          <w:i/>
          <w:iCs/>
        </w:rPr>
        <w:t xml:space="preserve">Kerncijfers Wijken en Buurten</w:t>
      </w:r>
      <w:r>
        <w:t xml:space="preserve"> </w:t>
      </w:r>
      <w:r>
        <w:t xml:space="preserve">(Key Figures for Neighborhoods and Districts) dataset</w:t>
      </w:r>
      <w:r>
        <w:t xml:space="preserve"> </w:t>
      </w:r>
      <w:r>
        <w:t xml:space="preserve">(Statistics Netherlands (CBS) 2024)</w:t>
      </w:r>
      <w:r>
        <w:t xml:space="preserve">, which provides annual statistics at the municipality (gemeente) level.</w:t>
      </w:r>
    </w:p>
    <w:p>
      <w:pPr>
        <w:pStyle w:val="BodyText"/>
      </w:pPr>
      <w:r>
        <w:t xml:space="preserve">The dataset contains 3,236 observations covering 408 municipalities from 2016 to 2024.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data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Data summary by year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Municipalities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WOZ (€1000)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 WOZ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WOZ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WOZ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222.15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219.50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226.96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237.19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233.00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258.33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277.07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266.00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296.08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284.50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324.37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374.01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363.00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387.80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900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Beyond WOZ values, the dataset includes housing stock composition (see</w:t>
      </w:r>
      <w:r>
        <w:t xml:space="preserve"> </w:t>
      </w:r>
      <w:hyperlink w:anchor="fig-housing-sto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in the</w:t>
      </w:r>
      <w:r>
        <w:t xml:space="preserve"> </w:t>
      </w:r>
      <w:hyperlink w:anchor="sec-appendix">
        <w:r>
          <w:rPr>
            <w:rStyle w:val="Hyperlink"/>
          </w:rPr>
          <w:t xml:space="preserve">Section 8</w:t>
        </w:r>
      </w:hyperlink>
      <w:r>
        <w:t xml:space="preserve">).</w:t>
      </w:r>
    </w:p>
    <w:bookmarkEnd w:id="25"/>
    <w:bookmarkStart w:id="34" w:name="woz-trends"/>
    <w:p>
      <w:pPr>
        <w:pStyle w:val="Heading2"/>
      </w:pPr>
      <w:r>
        <w:t xml:space="preserve">3 WOZ Trends</w:t>
      </w:r>
    </w:p>
    <w:bookmarkStart w:id="27" w:name="growth-rate-methodology"/>
    <w:p>
      <w:pPr>
        <w:pStyle w:val="Heading3"/>
      </w:pPr>
      <w:r>
        <w:t xml:space="preserve">3.1 Growth Rate Methodology</w:t>
      </w:r>
    </w:p>
    <w:p>
      <w:pPr>
        <w:pStyle w:val="FirstParagraph"/>
      </w:pPr>
      <w:r>
        <w:t xml:space="preserve">We calculate the percentage growth in WOZ values for each municipality using the formula:</w:t>
      </w:r>
    </w:p>
    <w:p>
      <w:pPr>
        <w:pStyle w:val="BodyText"/>
      </w:pPr>
      <w:bookmarkStart w:id="26" w:name="eq-growth"/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WOZ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WOZ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WOZ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the total percentage growth for municipality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over the 2016–2024 period.</w:t>
      </w:r>
    </w:p>
    <w:bookmarkEnd w:id="27"/>
    <w:bookmarkStart w:id="33" w:name="major-cities"/>
    <w:p>
      <w:pPr>
        <w:pStyle w:val="Heading3"/>
      </w:pPr>
      <w:r>
        <w:t xml:space="preserve">3.2 Major Cities</w:t>
      </w:r>
    </w:p>
    <w:p>
      <w:pPr>
        <w:pStyle w:val="FirstParagraph"/>
      </w:pPr>
      <w:hyperlink w:anchor="fig-woz-trend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evolution of property values in the 4 largest Dutch cities (G4): Amsterdam, Rotterdam, Den Haag, and Utrecht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woz-trend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woz_analysis_files/figure-docx/fig-woz-trends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WOZ Value Trends in Major Dutch Cities (2016-2024)</w:t>
            </w:r>
          </w:p>
          <w:bookmarkEnd w:id="31"/>
        </w:tc>
      </w:tr>
    </w:tbl>
    <w:p>
      <w:pPr>
        <w:pStyle w:val="BodyText"/>
      </w:pPr>
      <w:r>
        <w:t xml:space="preserve">Amsterdam shows the highest property values throughout the period, with WOZ values reaching €498k in 2024. The gap between Amsterdam and other cities has remained substantial.</w:t>
      </w:r>
    </w:p>
    <w:p>
      <w:pPr>
        <w:pStyle w:val="BodyText"/>
      </w:pPr>
      <w:r>
        <w:t xml:space="preserve">The growth rates for the G4 cities between 2016 and 2024 are: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g4-growt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WOZ Growth in Major Cities (2016-2024)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WOZ 2016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WOZ 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Growth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Rotterdam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Utrecht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Amsterdam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Den Haag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92.6</w:t>
                  </w:r>
                </w:p>
              </w:tc>
            </w:tr>
          </w:tbl>
          <w:bookmarkEnd w:id="32"/>
          <w:p/>
        </w:tc>
      </w:tr>
    </w:tbl>
    <w:bookmarkEnd w:id="33"/>
    <w:bookmarkEnd w:id="34"/>
    <w:bookmarkStart w:id="37" w:name="regression-analysis"/>
    <w:p>
      <w:pPr>
        <w:pStyle w:val="Heading2"/>
      </w:pPr>
      <w:r>
        <w:t xml:space="preserve">4 Regression Analysis</w:t>
      </w:r>
    </w:p>
    <w:p>
      <w:pPr>
        <w:pStyle w:val="FirstParagraph"/>
      </w:pPr>
      <w:r>
        <w:t xml:space="preserve">To estimate the average annual growth rate across municipalities while controlling for municipal fixed effects, we estimate a panel regression model. Similar approaches using hedonic pricing models have been applied to Dutch real estate appraisals</w:t>
      </w:r>
      <w:r>
        <w:t xml:space="preserve"> </w:t>
      </w:r>
      <w:r>
        <w:t xml:space="preserve">(Guliker, Folmer, and Sinderen 2022)</w:t>
      </w:r>
      <w:r>
        <w:t xml:space="preserve">. We estimate:</w:t>
      </w:r>
    </w:p>
    <w:p>
      <w:pPr>
        <w:pStyle w:val="BodyText"/>
      </w:pPr>
      <w:bookmarkStart w:id="35" w:name="eq-regression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WOZ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35"/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nor/>
                <m:sty m:val="p"/>
              </m:rPr>
              <m:t>WOZ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WOZ value for municipality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1"/>
        </w:numPr>
      </w:pPr>
      <m:oMath>
        <m:r>
          <m:t>β</m:t>
        </m:r>
      </m:oMath>
      <w:r>
        <w:t xml:space="preserve"> </w:t>
      </w:r>
      <w:r>
        <w:t xml:space="preserve">captures the average annual growth rate (in log points)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municipality fixed effects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error term</w:t>
      </w:r>
    </w:p>
    <w:p>
      <w:pPr>
        <w:pStyle w:val="FirstParagraph"/>
      </w:pPr>
      <w:r>
        <w:t xml:space="preserve">The regression results indicate an average annual growth rate of</w:t>
      </w:r>
      <w:r>
        <w:t xml:space="preserve"> </w:t>
      </w:r>
      <w:r>
        <w:rPr>
          <w:b/>
          <w:bCs/>
        </w:rPr>
        <w:t xml:space="preserve">7.6%</w:t>
      </w:r>
      <w:r>
        <w:t xml:space="preserve"> </w:t>
      </w:r>
      <w:r>
        <w:t xml:space="preserve">in WOZ values across Dutch municipalities (see</w:t>
      </w:r>
      <w:r>
        <w:t xml:space="preserve"> </w:t>
      </w:r>
      <w:hyperlink w:anchor="eq-regression">
        <w:r>
          <w:rPr>
            <w:rStyle w:val="Hyperlink"/>
          </w:rPr>
          <w:t xml:space="preserve">Equation 2</w:t>
        </w:r>
      </w:hyperlink>
      <w:r>
        <w:t xml:space="preserve">). This estimate is based on 3,233 observations across 408 municipalities.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regress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Panel Regression Results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                     fe_model</w:t>
            </w:r>
            <w:r>
              <w:br/>
            </w:r>
            <w:r>
              <w:rPr>
                <w:rStyle w:val="VerbatimChar"/>
              </w:rPr>
              <w:t xml:space="preserve">Dependent Var.:             log_woz</w:t>
            </w:r>
            <w:r>
              <w:br/>
            </w:r>
            <w:r>
              <w:rPr>
                <w:rStyle w:val="VerbatimChar"/>
              </w:rPr>
              <w:t xml:space="preserve">                                   </w:t>
            </w:r>
            <w:r>
              <w:br/>
            </w:r>
            <w:r>
              <w:rPr>
                <w:rStyle w:val="VerbatimChar"/>
              </w:rPr>
              <w:t xml:space="preserve">Year (from 2016) 0.0733*** (0.0006)</w:t>
            </w:r>
            <w:r>
              <w:br/>
            </w:r>
            <w:r>
              <w:rPr>
                <w:rStyle w:val="VerbatimChar"/>
              </w:rPr>
              <w:t xml:space="preserve">Fixed-Effects:   ------------------</w:t>
            </w:r>
            <w:r>
              <w:br/>
            </w:r>
            <w:r>
              <w:rPr>
                <w:rStyle w:val="VerbatimChar"/>
              </w:rPr>
              <w:t xml:space="preserve">region                          Yes</w:t>
            </w:r>
            <w:r>
              <w:br/>
            </w:r>
            <w:r>
              <w:rPr>
                <w:rStyle w:val="VerbatimChar"/>
              </w:rPr>
              <w:t xml:space="preserve">________________ __________________</w:t>
            </w:r>
            <w:r>
              <w:br/>
            </w:r>
            <w:r>
              <w:rPr>
                <w:rStyle w:val="VerbatimChar"/>
              </w:rPr>
              <w:t xml:space="preserve">S.E.: Clustered          by: region</w:t>
            </w:r>
            <w:r>
              <w:br/>
            </w:r>
            <w:r>
              <w:rPr>
                <w:rStyle w:val="VerbatimChar"/>
              </w:rPr>
              <w:t xml:space="preserve">Observations                  3,233</w:t>
            </w:r>
            <w:r>
              <w:br/>
            </w:r>
            <w:r>
              <w:rPr>
                <w:rStyle w:val="VerbatimChar"/>
              </w:rPr>
              <w:t xml:space="preserve">R2                          0.97703</w:t>
            </w:r>
            <w:r>
              <w:br/>
            </w:r>
            <w:r>
              <w:rPr>
                <w:rStyle w:val="VerbatimChar"/>
              </w:rPr>
              <w:t xml:space="preserve">Within R2                   0.93980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0 '***' 0.001 '**' 0.01 '*' 0.05 '.' 0.1 ' ' 1</w:t>
            </w:r>
          </w:p>
          <w:bookmarkEnd w:id="36"/>
        </w:tc>
      </w:tr>
    </w:tbl>
    <w:bookmarkEnd w:id="37"/>
    <w:bookmarkStart w:id="42" w:name="spatial-distribution"/>
    <w:p>
      <w:pPr>
        <w:pStyle w:val="Heading2"/>
      </w:pPr>
      <w:r>
        <w:t xml:space="preserve">5 Spatial Distribution</w:t>
      </w:r>
    </w:p>
    <w:p>
      <w:pPr>
        <w:pStyle w:val="FirstParagraph"/>
      </w:pPr>
      <w:hyperlink w:anchor="fig-woz-map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geographic distribution of WOZ values across Dutch municipalities in 2024.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woz-map"/>
          <w:p>
            <w:pPr>
              <w:pStyle w:val="Compact"/>
              <w:jc w:val="center"/>
            </w:pPr>
            <w:r>
              <w:drawing>
                <wp:inline>
                  <wp:extent cx="5334000" cy="8534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woz_analysis_files/figure-docx/fig-woz-map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3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WOZ Values by Municipality (2024)</w:t>
            </w:r>
          </w:p>
          <w:bookmarkEnd w:id="41"/>
        </w:tc>
      </w:tr>
    </w:tbl>
    <w:p>
      <w:pPr>
        <w:pStyle w:val="BodyText"/>
      </w:pPr>
      <w:r>
        <w:t xml:space="preserve">The map</w:t>
      </w:r>
      <w:r>
        <w:t xml:space="preserve"> </w:t>
      </w:r>
      <w:hyperlink w:anchor="fig-woz-map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reveals clear spatial patterns: the Randstad region (Amsterdam, Utrecht, The Hague) and areas around Haarlem show the highest property values, while peripheral regions in the north and east have lower valuations</w:t>
      </w:r>
      <w:r>
        <w:t xml:space="preserve"> </w:t>
      </w:r>
      <w:r>
        <w:t xml:space="preserve">(Claassens, Koomen, and Rouwendal 2020)</w:t>
      </w:r>
      <w:r>
        <w:t xml:space="preserve">.</w:t>
      </w:r>
    </w:p>
    <w:bookmarkEnd w:id="42"/>
    <w:bookmarkStart w:id="51" w:name="X8bf42b992f61162018f699bf1121e8f5391541b"/>
    <w:p>
      <w:pPr>
        <w:pStyle w:val="Heading2"/>
      </w:pPr>
      <w:r>
        <w:t xml:space="preserve">6 Compound Annual Growth Rate (CAGR) Analysis</w:t>
      </w:r>
    </w:p>
    <w:p>
      <w:pPr>
        <w:pStyle w:val="FirstParagraph"/>
      </w:pPr>
      <w:r>
        <w:t xml:space="preserve">Beyond simple growth rates, we can calculate the Compound Annual Growth Rate [CAGR;</w:t>
      </w:r>
      <w:r>
        <w:t xml:space="preserve"> </w:t>
      </w:r>
      <w:r>
        <w:t xml:space="preserve">Cipra (2010)</w:t>
      </w:r>
      <w:r>
        <w:t xml:space="preserve">], which provides a smoothed annual rate of return: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CAGR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WOZ</m:t>
                          </m:r>
                        </m:e>
                        <m:sub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WOZ</m:t>
                          </m:r>
                        </m:e>
                        <m:sub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8 years.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following figure is embedded from a separate analysis document using Quarto’s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embed</w:t>
              </w:r>
            </w:hyperlink>
            <w:r>
              <w:t xml:space="preserve"> </w:t>
            </w:r>
            <w:r>
              <w:t xml:space="preserve">shortcode, demonstrating modular workflows: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agr-distribution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woz_analysis_files/figure-docx/summary-fig-cagr-distribution-output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Distribution of Compound Annual Growth Rates</w:t>
            </w:r>
          </w:p>
          <w:bookmarkEnd w:id="50"/>
        </w:tc>
      </w:tr>
    </w:tbl>
    <w:bookmarkEnd w:id="51"/>
    <w:bookmarkStart w:id="52" w:name="conclusion"/>
    <w:p>
      <w:pPr>
        <w:pStyle w:val="Heading2"/>
      </w:pPr>
      <w:r>
        <w:t xml:space="preserve">7 Conclusion</w:t>
      </w:r>
    </w:p>
    <w:p>
      <w:pPr>
        <w:pStyle w:val="FirstParagraph"/>
      </w:pPr>
      <w:r>
        <w:t xml:space="preserve">This analysis of Dutch property values reveals several key findings: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Substantial growth</w:t>
      </w:r>
      <w:r>
        <w:t xml:space="preserve">: WOZ values increased by an average of 7.6% annually between 2016 and 2024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Urban premium</w:t>
      </w:r>
      <w:r>
        <w:t xml:space="preserve">: Major cities, particularly Amsterdam, maintain significantly higher property values</w:t>
      </w:r>
      <w:r>
        <w:t xml:space="preserve"> </w:t>
      </w:r>
      <w:r>
        <w:t xml:space="preserve">(Musterd, Hochstenbach, and Boterman 2020)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Spatial patterns</w:t>
      </w:r>
      <w:r>
        <w:t xml:space="preserve">: Clear geographic clustering with highest values in the Randstad region</w:t>
      </w:r>
    </w:p>
    <w:p>
      <w:pPr>
        <w:pStyle w:val="FirstParagraph"/>
      </w:pPr>
      <w:r>
        <w:t xml:space="preserve">These insights have implications for policymakers, urban planners, and real estate stakeholders in understanding market dynamics and guiding future development.</w:t>
      </w:r>
    </w:p>
    <w:bookmarkEnd w:id="52"/>
    <w:bookmarkStart w:id="66" w:name="references"/>
    <w:p>
      <w:pPr>
        <w:pStyle w:val="Heading2"/>
      </w:pPr>
      <w:r>
        <w:t xml:space="preserve">References</w:t>
      </w:r>
    </w:p>
    <w:bookmarkStart w:id="65" w:name="refs"/>
    <w:bookmarkStart w:id="54" w:name="ref-cipra_2010"/>
    <w:p>
      <w:pPr>
        <w:pStyle w:val="Bibliography"/>
      </w:pPr>
      <w:r>
        <w:t xml:space="preserve">Cipra, Tomas. 2010.</w:t>
      </w:r>
      <w:r>
        <w:t xml:space="preserve"> </w:t>
      </w:r>
      <w:r>
        <w:rPr>
          <w:i/>
          <w:iCs/>
        </w:rPr>
        <w:t xml:space="preserve">Financial and Insurance Formulas</w:t>
      </w:r>
      <w:r>
        <w:t xml:space="preserve">. Physica-Verlag HD.</w:t>
      </w:r>
      <w:r>
        <w:t xml:space="preserve"> </w:t>
      </w:r>
      <w:hyperlink r:id="rId53">
        <w:r>
          <w:rPr>
            <w:rStyle w:val="Hyperlink"/>
          </w:rPr>
          <w:t xml:space="preserve">https://doi.org/10.1007/978-3-7908-2593-0</w:t>
        </w:r>
      </w:hyperlink>
      <w:r>
        <w:t xml:space="preserve">.</w:t>
      </w:r>
    </w:p>
    <w:bookmarkEnd w:id="54"/>
    <w:bookmarkStart w:id="56" w:name="ref-claassens_2020"/>
    <w:p>
      <w:pPr>
        <w:pStyle w:val="Bibliography"/>
      </w:pPr>
      <w:r>
        <w:t xml:space="preserve">Claassens, Jip, Eric Koomen, and Jan Rouwendal. 2020.</w:t>
      </w:r>
      <w:r>
        <w:t xml:space="preserve"> </w:t>
      </w:r>
      <w:r>
        <w:t xml:space="preserve">“Urban Density and Spatial Planning: The Unforeseen Impacts of Dutch Devolution.”</w:t>
      </w:r>
      <w:r>
        <w:t xml:space="preserve"> </w:t>
      </w:r>
      <w:r>
        <w:t xml:space="preserve">Edited by Eda Ustaoglu.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15 (10): e0240738.</w:t>
      </w:r>
      <w:r>
        <w:t xml:space="preserve"> </w:t>
      </w:r>
      <w:hyperlink r:id="rId55">
        <w:r>
          <w:rPr>
            <w:rStyle w:val="Hyperlink"/>
          </w:rPr>
          <w:t xml:space="preserve">https://doi.org/10.1371/journal.pone.0240738</w:t>
        </w:r>
      </w:hyperlink>
      <w:r>
        <w:t xml:space="preserve">.</w:t>
      </w:r>
    </w:p>
    <w:bookmarkEnd w:id="56"/>
    <w:bookmarkStart w:id="58" w:name="ref-guliker_etal_2022"/>
    <w:p>
      <w:pPr>
        <w:pStyle w:val="Bibliography"/>
      </w:pPr>
      <w:r>
        <w:t xml:space="preserve">Guliker, Evert, Erwin Folmer, and Marten van Sinderen. 2022.</w:t>
      </w:r>
      <w:r>
        <w:t xml:space="preserve"> </w:t>
      </w:r>
      <w:r>
        <w:t xml:space="preserve">“Spatial Determinants of Real Estate Appraisals in the Netherlands: A Machine Learning Approach.”</w:t>
      </w:r>
      <w:r>
        <w:t xml:space="preserve"> </w:t>
      </w:r>
      <w:r>
        <w:rPr>
          <w:i/>
          <w:iCs/>
        </w:rPr>
        <w:t xml:space="preserve">ISPRS International Journal of Geo-Information</w:t>
      </w:r>
      <w:r>
        <w:t xml:space="preserve"> </w:t>
      </w:r>
      <w:r>
        <w:t xml:space="preserve">11 (2): 125.</w:t>
      </w:r>
      <w:r>
        <w:t xml:space="preserve"> </w:t>
      </w:r>
      <w:hyperlink r:id="rId57">
        <w:r>
          <w:rPr>
            <w:rStyle w:val="Hyperlink"/>
          </w:rPr>
          <w:t xml:space="preserve">https://doi.org/10.3390/ijgi11020125</w:t>
        </w:r>
      </w:hyperlink>
      <w:r>
        <w:t xml:space="preserve">.</w:t>
      </w:r>
    </w:p>
    <w:bookmarkEnd w:id="58"/>
    <w:bookmarkStart w:id="60" w:name="ref-musterd_2020"/>
    <w:p>
      <w:pPr>
        <w:pStyle w:val="Bibliography"/>
      </w:pPr>
      <w:r>
        <w:t xml:space="preserve">Musterd, Sako, Cody Hochstenbach, and Willem Boterman. 2020.</w:t>
      </w:r>
      <w:r>
        <w:t xml:space="preserve"> </w:t>
      </w:r>
      <w:r>
        <w:t xml:space="preserve">“Ripples of Structural Economic Transformation: The Changing Social Geographies of Dutch Metropolitan Regions.”</w:t>
      </w:r>
      <w:r>
        <w:t xml:space="preserve"> </w:t>
      </w:r>
      <w:r>
        <w:rPr>
          <w:i/>
          <w:iCs/>
        </w:rPr>
        <w:t xml:space="preserve">Applied Geography</w:t>
      </w:r>
      <w:r>
        <w:t xml:space="preserve"> </w:t>
      </w:r>
      <w:r>
        <w:t xml:space="preserve">116 (March): 102151.</w:t>
      </w:r>
      <w:r>
        <w:t xml:space="preserve"> </w:t>
      </w:r>
      <w:hyperlink r:id="rId59">
        <w:r>
          <w:rPr>
            <w:rStyle w:val="Hyperlink"/>
          </w:rPr>
          <w:t xml:space="preserve">https://doi.org/10.1016/j.apgeog.2020.102151</w:t>
        </w:r>
      </w:hyperlink>
      <w:r>
        <w:t xml:space="preserve">.</w:t>
      </w:r>
    </w:p>
    <w:bookmarkEnd w:id="60"/>
    <w:bookmarkStart w:id="62" w:name="ref-cbs_kwb_2024"/>
    <w:p>
      <w:pPr>
        <w:pStyle w:val="Bibliography"/>
      </w:pPr>
      <w:r>
        <w:t xml:space="preserve">Statistics Netherlands (CBS). 2024.</w:t>
      </w:r>
      <w:r>
        <w:t xml:space="preserve"> </w:t>
      </w:r>
      <w:r>
        <w:t xml:space="preserve">“Kerncijfers Wijken En Buurten.”</w:t>
      </w:r>
      <w:r>
        <w:t xml:space="preserve"> </w:t>
      </w:r>
      <w:hyperlink r:id="rId61">
        <w:r>
          <w:rPr>
            <w:rStyle w:val="Hyperlink"/>
          </w:rPr>
          <w:t xml:space="preserve">https://www.cbs.nl/nl-nl/reeksen/kerncijfers-wijken-en-buurten</w:t>
        </w:r>
      </w:hyperlink>
      <w:r>
        <w:t xml:space="preserve">.</w:t>
      </w:r>
    </w:p>
    <w:bookmarkEnd w:id="62"/>
    <w:bookmarkStart w:id="64" w:name="ref-devries_2009"/>
    <w:p>
      <w:pPr>
        <w:pStyle w:val="Bibliography"/>
      </w:pPr>
      <w:r>
        <w:t xml:space="preserve">Vries, Paul de, Jan de Haan, Erna van der Wal, and Gust Mariën. 2009.</w:t>
      </w:r>
      <w:r>
        <w:t xml:space="preserve"> </w:t>
      </w:r>
      <w:r>
        <w:t xml:space="preserve">“A House Price Index Based on the SPAR Method.”</w:t>
      </w:r>
      <w:r>
        <w:t xml:space="preserve"> </w:t>
      </w:r>
      <w:r>
        <w:rPr>
          <w:i/>
          <w:iCs/>
        </w:rPr>
        <w:t xml:space="preserve">Journal of Housing Economics</w:t>
      </w:r>
      <w:r>
        <w:t xml:space="preserve"> </w:t>
      </w:r>
      <w:r>
        <w:t xml:space="preserve">18 (3): 214–23.</w:t>
      </w:r>
      <w:r>
        <w:t xml:space="preserve"> </w:t>
      </w:r>
      <w:hyperlink r:id="rId63">
        <w:r>
          <w:rPr>
            <w:rStyle w:val="Hyperlink"/>
          </w:rPr>
          <w:t xml:space="preserve">https://doi.org/10.1016/j.jhe.2009.07.002</w:t>
        </w:r>
      </w:hyperlink>
      <w:r>
        <w:t xml:space="preserve">.</w:t>
      </w:r>
    </w:p>
    <w:bookmarkEnd w:id="64"/>
    <w:bookmarkEnd w:id="65"/>
    <w:bookmarkEnd w:id="66"/>
    <w:bookmarkStart w:id="74" w:name="sec-appendix"/>
    <w:p>
      <w:pPr>
        <w:pStyle w:val="Heading2"/>
      </w:pPr>
      <w:r>
        <w:t xml:space="preserve">8 Appendix</w:t>
      </w:r>
    </w:p>
    <w:bookmarkStart w:id="73" w:name="housing-stock-trends"/>
    <w:p>
      <w:pPr>
        <w:pStyle w:val="Heading3"/>
      </w:pPr>
      <w:r>
        <w:t xml:space="preserve">8.1 Housing Stock Trends</w:t>
      </w:r>
    </w:p>
    <w:p>
      <w:pPr>
        <w:pStyle w:val="FirstParagraph"/>
      </w:pPr>
      <w:hyperlink w:anchor="fig-housing-sto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trends in housing stock composition for the G4 cities.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housing-stock"/>
          <w:p>
            <w:pPr>
              <w:pStyle w:val="Compact"/>
              <w:jc w:val="center"/>
            </w:pPr>
            <w:r>
              <w:drawing>
                <wp:inline>
                  <wp:extent cx="5334000" cy="176541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woz_analysis_files/figure-docx/housing_stock-fig-housing-stock-outpu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65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Housing Stock Trends in Major Dutch Cities</w:t>
            </w:r>
          </w:p>
          <w:bookmarkEnd w:id="7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w:anchor="fig-housing-stock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 </w:t>
            </w:r>
            <w:r>
              <w:t xml:space="preserve">is produced using Python and embedded via Quarto’s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  <w:r>
              <w:t xml:space="preserve"> </w:t>
            </w:r>
            <w:r>
              <w:t xml:space="preserve">shortcode—demonstrating multi-language workflows.</w:t>
            </w:r>
          </w:p>
          <w:p/>
        </w:tc>
      </w:tr>
    </w:tbl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image" Id="rId67" Target="media/rId67.png" /><Relationship Type="http://schemas.openxmlformats.org/officeDocument/2006/relationships/image" Id="rId47" Target="media/rId47.png" /><Relationship Type="http://schemas.openxmlformats.org/officeDocument/2006/relationships/hyperlink" Id="rId53" Target="https://doi.org/10.1007/978-3-7908-2593-0" TargetMode="External" /><Relationship Type="http://schemas.openxmlformats.org/officeDocument/2006/relationships/hyperlink" Id="rId59" Target="https://doi.org/10.1016/j.apgeog.2020.102151" TargetMode="External" /><Relationship Type="http://schemas.openxmlformats.org/officeDocument/2006/relationships/hyperlink" Id="rId63" Target="https://doi.org/10.1016/j.jhe.2009.07.002" TargetMode="External" /><Relationship Type="http://schemas.openxmlformats.org/officeDocument/2006/relationships/hyperlink" Id="rId55" Target="https://doi.org/10.1371/journal.pone.0240738" TargetMode="External" /><Relationship Type="http://schemas.openxmlformats.org/officeDocument/2006/relationships/hyperlink" Id="rId57" Target="https://doi.org/10.3390/ijgi11020125" TargetMode="External" /><Relationship Type="http://schemas.openxmlformats.org/officeDocument/2006/relationships/hyperlink" Id="rId46" Target="https://quarto.org/docs/authoring/notebook-embed.html" TargetMode="External" /><Relationship Type="http://schemas.openxmlformats.org/officeDocument/2006/relationships/hyperlink" Id="rId61" Target="https://www.cbs.nl/nl-nl/reeksen/kerncijfers-wijken-en-buurt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i.org/10.1007/978-3-7908-2593-0" TargetMode="External" /><Relationship Type="http://schemas.openxmlformats.org/officeDocument/2006/relationships/hyperlink" Id="rId59" Target="https://doi.org/10.1016/j.apgeog.2020.102151" TargetMode="External" /><Relationship Type="http://schemas.openxmlformats.org/officeDocument/2006/relationships/hyperlink" Id="rId63" Target="https://doi.org/10.1016/j.jhe.2009.07.002" TargetMode="External" /><Relationship Type="http://schemas.openxmlformats.org/officeDocument/2006/relationships/hyperlink" Id="rId55" Target="https://doi.org/10.1371/journal.pone.0240738" TargetMode="External" /><Relationship Type="http://schemas.openxmlformats.org/officeDocument/2006/relationships/hyperlink" Id="rId57" Target="https://doi.org/10.3390/ijgi11020125" TargetMode="External" /><Relationship Type="http://schemas.openxmlformats.org/officeDocument/2006/relationships/hyperlink" Id="rId46" Target="https://quarto.org/docs/authoring/notebook-embed.html" TargetMode="External" /><Relationship Type="http://schemas.openxmlformats.org/officeDocument/2006/relationships/hyperlink" Id="rId61" Target="https://www.cbs.nl/nl-nl/reeksen/kerncijfers-wijken-en-buurt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Dutch Property Values: A Municipal Analysis</dc:title>
  <dc:creator>Reproducible Research Demo</dc:creator>
  <cp:keywords/>
  <dcterms:created xsi:type="dcterms:W3CDTF">2026-01-29T12:16:55Z</dcterms:created>
  <dcterms:modified xsi:type="dcterms:W3CDTF">2026-01-29T12:16:55Z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date">
    <vt:lpwstr>2026-01-29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Analyzing WOZ Trends Across the Netherlands (2016 - 2024)</vt:lpwstr>
  </property>
  <property fmtid="{D5CDD505-2E9C-101B-9397-08002B2CF9AE}" pid="14" name="toc-title">
    <vt:lpwstr>Table of contents</vt:lpwstr>
  </property>
</Properties>
</file>