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rPr>
          <w:lang w:val="en-US"/>
        </w:rPr>
        <w:t>The Feed Is Watching: Reflection</w:t>
      </w:r>
    </w:p>
    <w:p>
      <w:pPr>
        <w:pStyle w:val="6"/>
        <w:rPr>
          <w:rFonts w:hint="default"/>
          <w:lang w:val="en-IN"/>
        </w:rPr>
      </w:pPr>
      <w:r>
        <w:rPr>
          <w:lang w:val="en-US"/>
        </w:rPr>
        <w:t xml:space="preserve">Name: </w:t>
      </w:r>
      <w:r>
        <w:rPr>
          <w:rFonts w:hint="default"/>
          <w:lang w:val="en-IN"/>
        </w:rPr>
        <w:t>Aneek</w:t>
      </w:r>
    </w:p>
    <w:p>
      <w:pPr>
        <w:pStyle w:val="6"/>
      </w:pPr>
      <w:r>
        <w:rPr>
          <w:lang w:val="en-US"/>
        </w:rPr>
        <w:t>Course: Professional Ethics</w:t>
      </w:r>
    </w:p>
    <w:p>
      <w:pPr>
        <w:pStyle w:val="6"/>
        <w:rPr>
          <w:rFonts w:hint="default"/>
          <w:lang w:val="en-IN"/>
        </w:rPr>
      </w:pPr>
      <w:r>
        <w:rPr>
          <w:lang w:val="en-US"/>
        </w:rPr>
        <w:t xml:space="preserve">Date: </w:t>
      </w:r>
      <w:r>
        <w:rPr>
          <w:rFonts w:hint="default"/>
          <w:lang w:val="en-IN"/>
        </w:rPr>
        <w:t>13-08-2026</w:t>
      </w:r>
      <w:bookmarkStart w:id="0" w:name="_GoBack"/>
      <w:bookmarkEnd w:id="0"/>
    </w:p>
    <w:p>
      <w:pPr>
        <w:pStyle w:val="7"/>
      </w:pPr>
      <w:r>
        <w:rPr>
          <w:lang w:val="en-US"/>
        </w:rPr>
        <w:t>Reflection body word count: 500</w:t>
      </w:r>
    </w:p>
    <w:p>
      <w:pPr>
        <w:pStyle w:val="4"/>
      </w:pPr>
      <w:r>
        <w:rPr>
          <w:lang w:val="en-US"/>
        </w:rPr>
        <w:t>I selected an interactive website because recommendation algorithms are difficult to understand when described only through definitions. A simulated social feed lets visitors experience the relationship between an action, a data signal, an inferred interest, and a reordered recommendation. The warm notebook and comic inspired appearance makes a serious topic less intimidating, while the imperfect lines suggest that technological systems are created by people rather than appearing naturally or operating without human choices. I deliberately avoided copying an existing platform so the campaign critiques a pattern of design instead of attacking one company. Free exploration also respects different levels of prior knowledge: visitors may experiment first, examine their rights, or begin with the engineer’s responsibilities.</w:t>
      </w:r>
    </w:p>
    <w:p>
      <w:pPr>
        <w:pStyle w:val="4"/>
      </w:pPr>
      <w:r>
        <w:rPr>
          <w:lang w:val="en-US"/>
        </w:rPr>
        <w:t>The campaign was guided by respect for autonomy, beneficence, prevention of harm, fairness, privacy, transparency, accountability, inclusion, and sustainability. Autonomy shaped the off by default consent controls and the equally visible option to continue without optional data. Privacy influenced data minimization, session only processing, and deletion controls. Transparency appears through the “Why this?” explanations and visible topic scores. Fairness and prevention of harm guided discussions of discrimination, manipulation, misinformation, vulnerable users, and compulsive design. Accountability connects every system outcome to decisions made by engineers and managers. These principles also required balance. Personalized feeds can improve accessibility, discovery, relevance, moderation, and opportunities for smaller creators, but useful outcomes do not excuse hidden surveillance or avoidable harm. Responsible innovation must pursue benefits while testing its social costs.</w:t>
      </w:r>
    </w:p>
    <w:p>
      <w:pPr>
        <w:pStyle w:val="4"/>
      </w:pPr>
      <w:r>
        <w:rPr>
          <w:lang w:val="en-US"/>
        </w:rPr>
        <w:t>The website improves public understanding by turning an invisible process into visible cause and effect. When a visitor likes, shares, or rejects a post, the data shadow explains how that signal can alter a profile. The diversity indicator demonstrates how repeated choices may narrow a feed, while stating that it is an educational metaphor rather than a scientific diagnosis. Visitors can inspect explanations, correct an inference, disable personalization, review consent, and erase the simulation. These actions transform abstract rights into controls. The ethics notebook then connects the activity to explanations of feedback loops, privacy, research integrity, safeguards, and public trust. After exploring, users should be able to explain basic ranking, recognize benefits and risks, distinguish meaningful consent from dark patterns, and ask better questions about systems that personalize their attention.</w:t>
      </w:r>
    </w:p>
    <w:p>
      <w:pPr>
        <w:pStyle w:val="4"/>
      </w:pPr>
      <w:r>
        <w:rPr>
          <w:lang w:val="en-US"/>
        </w:rPr>
        <w:t>Computer engineers have responsibilities that continue throughout research, design, deployment, and maintenance. Before release, they should define a public benefit, collect only necessary data, involve communities, test security and accessibility, and evaluate performance across populations. Research must use representative evidence, reproducible methods, honest metrics, disclosed conflicts, and reporting of limitations or failures. After launch, engineers must monitor impacts, investigate incidents, support appeals, correct errors, and communicate changes. They must protect children and vulnerable people with safer defaults and resist business goals that reward engagement at the expense of well being. When danger remains, integrity may require documenting objections, reporting concerns, refusing approval, or stopping deployment. Public trust is earned when engineers accept responsibility, invite independent review, provide remedies, and treat human welfare as more important than speed, profit, or novelty.</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Georgia">
    <w:altName w:val="Adwaita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2FFC94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sz w:val="22"/>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0"/>
    <w:pPr>
      <w:spacing w:after="220" w:line="276" w:lineRule="auto"/>
      <w:jc w:val="both"/>
    </w:pPr>
  </w:style>
  <w:style w:type="paragraph" w:styleId="5">
    <w:name w:val="Title"/>
    <w:basedOn w:val="1"/>
    <w:qFormat/>
    <w:uiPriority w:val="0"/>
    <w:pPr>
      <w:spacing w:after="300"/>
      <w:jc w:val="center"/>
    </w:pPr>
    <w:rPr>
      <w:rFonts w:ascii="Georgia" w:hAnsi="Georgia"/>
      <w:b/>
      <w:color w:val="762C25"/>
      <w:sz w:val="34"/>
    </w:rPr>
  </w:style>
  <w:style w:type="paragraph" w:customStyle="1" w:styleId="6">
    <w:name w:val="Metadata"/>
    <w:basedOn w:val="1"/>
    <w:qFormat/>
    <w:uiPriority w:val="0"/>
    <w:pPr>
      <w:spacing w:after="80"/>
    </w:pPr>
    <w:rPr>
      <w:sz w:val="20"/>
    </w:rPr>
  </w:style>
  <w:style w:type="paragraph" w:customStyle="1" w:styleId="7">
    <w:name w:val="Word Count"/>
    <w:basedOn w:val="1"/>
    <w:qFormat/>
    <w:uiPriority w:val="0"/>
    <w:pPr>
      <w:spacing w:before="120" w:after="240"/>
    </w:pPr>
    <w:rPr>
      <w:i/>
      <w:color w:val="696057"/>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2026-08-13T18:21:00Z</dcterms:created>
  <dc:creator>Student</dc:creator>
  <cp:lastModifiedBy>eye9444</cp:lastModifiedBy>
  <dcterms:modified xsi:type="dcterms:W3CDTF">2026-08-14T08:39:48Z</dcterms:modified>
  <dc:subject>Professional Ethics</dc:subject>
  <dc:title>The Feed Is Watching: Reflection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