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jc w:val="center"/>
      </w:pPr>
      <w:r>
        <w:t>ERIK YEGHINYAN</w:t>
      </w:r>
    </w:p>
    <w:p>
      <w:pPr>
        <w:jc w:val="center"/>
      </w:pPr>
      <w:r>
        <w:t>TELLER  |  MEMBER SERVICE  |  CASH CONTROLS</w:t>
      </w:r>
    </w:p>
    <w:p>
      <w:pPr>
        <w:jc w:val="center"/>
      </w:pPr>
      <w:r>
        <w:t>Hyannis, MA  •  Relocating to Los Angeles, CA  •  508-815-9050  •  eyeghinyane@gmail.com</w:t>
      </w:r>
    </w:p>
    <w:p>
      <w:pPr>
        <w:jc w:val="center"/>
      </w:pPr>
      <w:r>
        <w:t>linkedin.com/in/erik-yeghinyan</w:t>
      </w:r>
    </w:p>
    <w:p>
      <w:pPr>
        <w:pStyle w:val="Section"/>
      </w:pPr>
      <w:r>
        <w:t>PROFESSIONAL SUMMARY</w:t>
      </w:r>
    </w:p>
    <w:p>
      <w:r>
        <w:t>Banking teller and relationship banker experienced in high-volume, face-to-face service, cash handling, account assistance, and needs-based product referrals. Processed 40+ daily transactions at Santander while verifying identity and authorization, addressing mobile banking questions, and earning 10/10 customer survey ratings. Earlier fraud and compliance experience adds strong BSA awareness and attention to unusual account activity.</w:t>
      </w:r>
    </w:p>
    <w:p>
      <w:pPr>
        <w:pStyle w:val="Section"/>
      </w:pPr>
      <w:r>
        <w:t>CORE SKILLS</w:t>
      </w:r>
    </w:p>
    <w:p>
      <w:r>
        <w:t>Member and customer service • Deposits and withdrawals • Transfers and payments • Cash controls and balancing • Account assistance • Needs-based referrals • Mobile banking support • Identity verification • BSA/KYC procedures • Fraud alert documentation • Issue resolution</w:t>
      </w:r>
    </w:p>
    <w:p>
      <w:pPr>
        <w:pStyle w:val="Section"/>
      </w:pPr>
      <w:r>
        <w:t>PROFESSIONAL EXPERIENCE</w:t>
      </w:r>
    </w:p>
    <w:p>
      <w:pPr>
        <w:pStyle w:val="Job"/>
      </w:pPr>
      <w:r>
        <w:t>Santander Bank USA  |  Teller and Relationship Banker  |  Hyannis, MA  |  May 2026 – Sep 2026</w:t>
      </w:r>
    </w:p>
    <w:p>
      <w:pPr>
        <w:ind w:left="259" w:hanging="202"/>
      </w:pPr>
      <w:r>
        <w:t>•  Processed 40+ daily deposits, withdrawals, transfers, and credit card, loan, and mortgage payments; verified identity, authorization, and transaction details before posting.</w:t>
      </w:r>
    </w:p>
    <w:p>
      <w:pPr>
        <w:ind w:left="259" w:hanging="202"/>
      </w:pPr>
      <w:r>
        <w:t>•  Resolved account and payment questions face to face, showed customers how to use the mobile app, and earned 10/10 customer survey ratings.</w:t>
      </w:r>
    </w:p>
    <w:p>
      <w:pPr>
        <w:ind w:left="259" w:hanging="202"/>
      </w:pPr>
      <w:r>
        <w:t>•  Identified customer needs during service conversations and referred relevant accounts and credit cards; recorded unusual account behavior in bank systems and escalated concerns under fraud and BSA procedures.</w:t>
      </w:r>
    </w:p>
    <w:p>
      <w:pPr>
        <w:pStyle w:val="Job"/>
      </w:pPr>
      <w:r>
        <w:t>Guidehouse  |  AML Compliance Analyst, Green Dot Bank engagement  |  Vilnius, Lithuania  |  Sep 2024 – May 2025</w:t>
      </w:r>
    </w:p>
    <w:p>
      <w:pPr>
        <w:ind w:left="259" w:hanging="202"/>
      </w:pPr>
      <w:r>
        <w:t>•  Reviewed 30+ daily account and transaction alerts, including ACH, P2P, and possible account takeover activity, to distinguish routine transactions from activity requiring escalation.</w:t>
      </w:r>
    </w:p>
    <w:p>
      <w:pPr>
        <w:ind w:left="259" w:hanging="202"/>
      </w:pPr>
      <w:r>
        <w:t>•  Checked customer profiles and KYC records, documented decisions clearly, and referred higher-risk cases for compliance review within deadlines.</w:t>
      </w:r>
    </w:p>
    <w:p>
      <w:pPr>
        <w:ind w:left="259" w:hanging="202"/>
      </w:pPr>
      <w:r>
        <w:t>•  Identified recurring alert patterns that contributed to 25% greater review efficiency and 30% fewer false-positive escalations.</w:t>
      </w:r>
    </w:p>
    <w:p>
      <w:pPr>
        <w:pStyle w:val="Job"/>
      </w:pPr>
      <w:r>
        <w:t>ID Bank  |  Compliance Operations Specialist  |  Yerevan, Armenia, remote  |  Sep 2023 – Sep 2024</w:t>
      </w:r>
    </w:p>
    <w:p>
      <w:pPr>
        <w:ind w:left="259" w:hanging="202"/>
      </w:pPr>
      <w:r>
        <w:t>•  Verified identity documents and account information during onboarding, resolved incomplete records, and updated customer risk profiles.</w:t>
      </w:r>
    </w:p>
    <w:p>
      <w:pPr>
        <w:ind w:left="259" w:hanging="202"/>
      </w:pPr>
      <w:r>
        <w:t>•  Investigated unusual payment and account information, documented findings, and escalated exceptions for further review.</w:t>
      </w:r>
    </w:p>
    <w:p>
      <w:pPr>
        <w:ind w:left="259" w:hanging="202"/>
      </w:pPr>
      <w:r>
        <w:t>•  Coordinated with operations colleagues to complete account reviews accurately while protecting sensitive customer information.</w:t>
      </w:r>
    </w:p>
    <w:p>
      <w:pPr>
        <w:pStyle w:val="Section"/>
      </w:pPr>
      <w:r>
        <w:t>EDUCATION</w:t>
      </w:r>
    </w:p>
    <w:p>
      <w:r>
        <w:t>BA, Contemporary Communication  |  LCC International University, Lithuania  |  2024</w:t>
      </w:r>
    </w:p>
    <w:p>
      <w:pPr>
        <w:pStyle w:val="Section"/>
      </w:pPr>
      <w:r>
        <w:t>CERTIFICATIONS AND TRAINING</w:t>
      </w:r>
    </w:p>
    <w:p>
      <w:r>
        <w:t>Operational Analysis of Suspicious Transaction Reports — Basel Institute on Governance, 2026</w:t>
      </w:r>
    </w:p>
    <w:p>
      <w:r>
        <w:t>Enhancing Financial Inclusion with a Risk-Based Approach — ACAMS  •  Foundations in AML and KYC</w:t>
      </w:r>
    </w:p>
    <w:p>
      <w:pPr>
        <w:pStyle w:val="Section"/>
      </w:pPr>
      <w:r>
        <w:t>LANGUAGES</w:t>
      </w:r>
    </w:p>
    <w:p>
      <w:r>
        <w:t>Armenian (native)  •  English (fluent)  •  Russian (advanced)</w:t>
      </w:r>
    </w:p>
    <w:sectPr w:rsidR="00FC693F" w:rsidRPr="0006063C" w:rsidSect="00034616">
      <w:pgSz w:w="12240" w:h="15840"/>
      <w:pgMar w:top="648" w:right="936" w:bottom="61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pPr>
      <w:spacing w:before="40" w:after="20"/>
    </w:pPr>
    <w:rPr>
      <w:rFonts w:ascii="Aptos" w:hAnsi="Aptos"/>
      <w:b/>
      <w:color w:val="14253C"/>
      <w:sz w:val="34"/>
    </w:rPr>
  </w:style>
  <w:style w:type="paragraph" w:customStyle="1" w:styleId="Section">
    <w:name w:val="Section"/>
    <w:pPr>
      <w:spacing w:before="100" w:after="20"/>
    </w:pPr>
    <w:rPr>
      <w:rFonts w:ascii="Aptos" w:hAnsi="Aptos"/>
      <w:b/>
      <w:color w:val="14253C"/>
      <w:sz w:val="19"/>
    </w:rPr>
  </w:style>
  <w:style w:type="paragraph" w:customStyle="1" w:styleId="Job">
    <w:name w:val="Job"/>
    <w:pPr>
      <w:spacing w:before="40" w:after="20"/>
    </w:pPr>
    <w:rPr>
      <w:rFonts w:ascii="Aptos" w:hAnsi="Aptos"/>
      <w:b/>
      <w:color w:val="14253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