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Title"/>
        <w:spacing w:after="20"/>
        <w:jc w:val="center"/>
      </w:pPr>
      <w:r>
        <w:rPr>
          <w:rFonts w:ascii="Arial" w:hAnsi="Arial"/>
          <w:b/>
          <w:color w:val="000000"/>
          <w:sz w:val="38"/>
        </w:rPr>
        <w:t>ERIK YEGHINYAN</w:t>
      </w:r>
    </w:p>
    <w:p>
      <w:pPr>
        <w:spacing w:after="40"/>
        <w:jc w:val="center"/>
      </w:pPr>
      <w:r>
        <w:rPr>
          <w:rFonts w:ascii="Arial" w:hAnsi="Arial"/>
          <w:b/>
          <w:color w:val="991B1E"/>
          <w:sz w:val="21"/>
        </w:rPr>
        <w:t>GRADUATE AND INTERNATIONAL CREDENTIALS ANALYST</w:t>
      </w:r>
    </w:p>
    <w:p>
      <w:pPr>
        <w:spacing w:after="0"/>
        <w:jc w:val="center"/>
      </w:pPr>
      <w:r>
        <w:rPr>
          <w:rFonts w:ascii="Arial" w:hAnsi="Arial"/>
          <w:b w:val="0"/>
          <w:color w:val="4B4B4B"/>
          <w:sz w:val="17"/>
        </w:rPr>
        <w:t>Los Angeles, CA  |  508-815-9050  |  eyeghinyan@gmail.com  |  linkedin.com/in/erik-yeghinyan</w:t>
      </w:r>
    </w:p>
    <w:p>
      <w:pPr>
        <w:spacing w:after="60"/>
        <w:jc w:val="center"/>
      </w:pPr>
      <w:r>
        <w:rPr>
          <w:rFonts w:ascii="Arial" w:hAnsi="Arial"/>
          <w:b w:val="0"/>
          <w:color w:val="4B4B4B"/>
          <w:sz w:val="16"/>
        </w:rPr>
        <w:t>Authorized to work in the United States without sponsorship</w:t>
      </w:r>
    </w:p>
    <w:p>
      <w:pPr>
        <w:spacing w:before="100" w:after="50"/>
      </w:pPr>
      <w:r>
        <w:rPr>
          <w:rFonts w:ascii="Arial" w:hAnsi="Arial"/>
          <w:b/>
          <w:color w:val="000000"/>
          <w:sz w:val="19"/>
        </w:rPr>
        <w:t>PROFESSIONAL PROFILE</w:t>
      </w:r>
    </w:p>
    <w:p>
      <w:pPr>
        <w:spacing w:after="40"/>
      </w:pPr>
      <w:r>
        <w:rPr>
          <w:rFonts w:ascii="Arial" w:hAnsi="Arial"/>
          <w:b w:val="0"/>
          <w:color w:val="000000"/>
          <w:sz w:val="18"/>
        </w:rPr>
        <w:t>Internationally educated higher-education research, records, and compliance professional with direct experience supporting a university-focused digital credential platform. Skilled in researching institutions and education systems, validating complex records, interpreting written requirements, resolving discrepancies, documenting defensible decisions, and communicating clearly with people from diverse cultural and linguistic backgrounds. Prepared to support graduate and international credential review, policy application, applicant guidance, academic-department coordination, and outreach with accuracy, sound judgment, and respect for confidentiality.</w:t>
      </w:r>
    </w:p>
    <w:p>
      <w:pPr>
        <w:spacing w:before="100" w:after="50"/>
      </w:pPr>
      <w:r>
        <w:rPr>
          <w:rFonts w:ascii="Arial" w:hAnsi="Arial"/>
          <w:b/>
          <w:color w:val="000000"/>
          <w:sz w:val="19"/>
        </w:rPr>
        <w:t>USC ROLE ALIGNMENT</w:t>
      </w:r>
    </w:p>
    <w:p>
      <w:pPr>
        <w:spacing w:after="40"/>
      </w:pPr>
      <w:r>
        <w:rPr>
          <w:rFonts w:ascii="Arial" w:hAnsi="Arial"/>
          <w:b w:val="0"/>
          <w:color w:val="000000"/>
          <w:sz w:val="17"/>
        </w:rPr>
        <w:t>International Credential Research  •  Academic Record and Document Review  •  Domestic and Foreign Institution Research  •  Qualitative Record Assessment  •  Policy and Procedure Interpretation  •  Data Validation and Integrity  •  Discrepancy Resolution  •  Confidential Records  •  Applicant and Student Communication  •  Cross-Cultural Advising  •  Academic Department Coordination  •  Outreach and Follow-Up  •  CRM and Reporting  •  Microsoft Office and Excel</w:t>
      </w:r>
    </w:p>
    <w:p>
      <w:pPr>
        <w:spacing w:before="100" w:after="50"/>
      </w:pPr>
      <w:r>
        <w:rPr>
          <w:rFonts w:ascii="Arial" w:hAnsi="Arial"/>
          <w:b/>
          <w:color w:val="000000"/>
          <w:sz w:val="19"/>
        </w:rPr>
        <w:t>CREDENTIALS AND RECORDS EXPERIENCE</w:t>
      </w:r>
    </w:p>
    <w:p>
      <w:pPr>
        <w:spacing w:before="70" w:after="0"/>
      </w:pPr>
      <w:r>
        <w:rPr>
          <w:rFonts w:ascii="Arial" w:hAnsi="Arial"/>
          <w:b/>
          <w:color w:val="000000"/>
          <w:sz w:val="19"/>
        </w:rPr>
        <w:t>Lead Research Specialist</w:t>
      </w:r>
      <w:r>
        <w:rPr>
          <w:rFonts w:ascii="Arial" w:hAnsi="Arial"/>
          <w:b/>
          <w:color w:val="991B1E"/>
          <w:sz w:val="19"/>
        </w:rPr>
        <w:t xml:space="preserve">  |  DiplomaSafe</w:t>
      </w:r>
      <w:r>
        <w:rPr>
          <w:rFonts w:ascii="Arial" w:hAnsi="Arial"/>
          <w:b/>
          <w:color w:val="4B4B4B"/>
          <w:sz w:val="18"/>
        </w:rPr>
        <w:t xml:space="preserve">  |  Oct 2023 – May 2024</w:t>
      </w:r>
    </w:p>
    <w:p>
      <w:pPr>
        <w:spacing w:after="16"/>
      </w:pPr>
      <w:r>
        <w:rPr>
          <w:rFonts w:ascii="Arial" w:hAnsi="Arial"/>
          <w:b w:val="0"/>
          <w:color w:val="4B4B4B"/>
          <w:sz w:val="17"/>
        </w:rPr>
        <w:t>Lithuania | Remote</w:t>
      </w:r>
    </w:p>
    <w:p>
      <w:pPr>
        <w:spacing w:after="34"/>
        <w:ind w:left="259" w:hanging="202"/>
      </w:pPr>
      <w:r>
        <w:rPr>
          <w:rFonts w:ascii="Arial" w:hAnsi="Arial"/>
          <w:b w:val="0"/>
          <w:color w:val="000000"/>
          <w:sz w:val="18"/>
        </w:rPr>
        <w:t>•  Researched universities, colleges, credential-issuing institutions, academic departments, and education-system information for a platform supporting secure, verifiable digital diplomas, certificates, and badges.</w:t>
      </w:r>
    </w:p>
    <w:p>
      <w:pPr>
        <w:spacing w:after="34"/>
        <w:ind w:left="259" w:hanging="202"/>
      </w:pPr>
      <w:r>
        <w:rPr>
          <w:rFonts w:ascii="Arial" w:hAnsi="Arial"/>
          <w:b w:val="0"/>
          <w:color w:val="000000"/>
          <w:sz w:val="18"/>
        </w:rPr>
        <w:t>•  Validated institution names, locations, official websites, contacts, programs, and credential-related information before creating or updating records in CRM and research systems.</w:t>
      </w:r>
    </w:p>
    <w:p>
      <w:pPr>
        <w:spacing w:after="34"/>
        <w:ind w:left="259" w:hanging="202"/>
      </w:pPr>
      <w:r>
        <w:rPr>
          <w:rFonts w:ascii="Arial" w:hAnsi="Arial"/>
          <w:b w:val="0"/>
          <w:color w:val="000000"/>
          <w:sz w:val="18"/>
        </w:rPr>
        <w:t>•  Compared authoritative sources to resolve incomplete or inconsistent institutional information and maintained traceable documentation supporting accurate internal decisions.</w:t>
      </w:r>
    </w:p>
    <w:p>
      <w:pPr>
        <w:spacing w:after="34"/>
        <w:ind w:left="259" w:hanging="202"/>
      </w:pPr>
      <w:r>
        <w:rPr>
          <w:rFonts w:ascii="Arial" w:hAnsi="Arial"/>
          <w:b w:val="0"/>
          <w:color w:val="000000"/>
          <w:sz w:val="18"/>
        </w:rPr>
        <w:t>•  Prepared structured reports on credential practices and institutional needs, enabling outreach teams to prioritize universities and communicate with the appropriate departments.</w:t>
      </w:r>
    </w:p>
    <w:p>
      <w:pPr>
        <w:spacing w:before="70" w:after="0"/>
      </w:pPr>
      <w:r>
        <w:rPr>
          <w:rFonts w:ascii="Arial" w:hAnsi="Arial"/>
          <w:b/>
          <w:color w:val="000000"/>
          <w:sz w:val="19"/>
        </w:rPr>
        <w:t>Research Assistant</w:t>
      </w:r>
      <w:r>
        <w:rPr>
          <w:rFonts w:ascii="Arial" w:hAnsi="Arial"/>
          <w:b/>
          <w:color w:val="991B1E"/>
          <w:sz w:val="19"/>
        </w:rPr>
        <w:t xml:space="preserve">  |  Gausus Gyvenimas</w:t>
      </w:r>
      <w:r>
        <w:rPr>
          <w:rFonts w:ascii="Arial" w:hAnsi="Arial"/>
          <w:b/>
          <w:color w:val="4B4B4B"/>
          <w:sz w:val="18"/>
        </w:rPr>
        <w:t xml:space="preserve">  |  Sep 2022 – Apr 2023</w:t>
      </w:r>
    </w:p>
    <w:p>
      <w:pPr>
        <w:spacing w:after="16"/>
      </w:pPr>
      <w:r>
        <w:rPr>
          <w:rFonts w:ascii="Arial" w:hAnsi="Arial"/>
          <w:b w:val="0"/>
          <w:color w:val="4B4B4B"/>
          <w:sz w:val="17"/>
        </w:rPr>
        <w:t>Klaipėda, Lithuania | Hybrid</w:t>
      </w:r>
    </w:p>
    <w:p>
      <w:pPr>
        <w:spacing w:after="34"/>
        <w:ind w:left="259" w:hanging="202"/>
      </w:pPr>
      <w:r>
        <w:rPr>
          <w:rFonts w:ascii="Arial" w:hAnsi="Arial"/>
          <w:b w:val="0"/>
          <w:color w:val="000000"/>
          <w:sz w:val="18"/>
        </w:rPr>
        <w:t>•  Interpreted European education, Erasmus+, youth-development, and funding requirements and converted complex source material into clear application and project documentation.</w:t>
      </w:r>
    </w:p>
    <w:p>
      <w:pPr>
        <w:spacing w:after="34"/>
        <w:ind w:left="259" w:hanging="202"/>
      </w:pPr>
      <w:r>
        <w:rPr>
          <w:rFonts w:ascii="Arial" w:hAnsi="Arial"/>
          <w:b w:val="0"/>
          <w:color w:val="000000"/>
          <w:sz w:val="18"/>
        </w:rPr>
        <w:t>•  Prepared and quality-checked proposals, eligibility information, and supporting records, contributing to two funded projects and five international initiatives.</w:t>
      </w:r>
    </w:p>
    <w:p>
      <w:pPr>
        <w:spacing w:after="34"/>
        <w:ind w:left="259" w:hanging="202"/>
      </w:pPr>
      <w:r>
        <w:rPr>
          <w:rFonts w:ascii="Arial" w:hAnsi="Arial"/>
          <w:b w:val="0"/>
          <w:color w:val="000000"/>
          <w:sz w:val="18"/>
        </w:rPr>
        <w:t>•  Coordinated requirements, deadlines, records, and follow-up across international partners while maintaining accurate written documentation.</w:t>
      </w:r>
    </w:p>
    <w:p>
      <w:pPr>
        <w:spacing w:before="70" w:after="0"/>
      </w:pPr>
      <w:r>
        <w:rPr>
          <w:rFonts w:ascii="Arial" w:hAnsi="Arial"/>
          <w:b/>
          <w:color w:val="000000"/>
          <w:sz w:val="19"/>
        </w:rPr>
        <w:t>Compliance Analyst</w:t>
      </w:r>
      <w:r>
        <w:rPr>
          <w:rFonts w:ascii="Arial" w:hAnsi="Arial"/>
          <w:b/>
          <w:color w:val="991B1E"/>
          <w:sz w:val="19"/>
        </w:rPr>
        <w:t xml:space="preserve">  |  Guidehouse supporting Green Dot Bank</w:t>
      </w:r>
      <w:r>
        <w:rPr>
          <w:rFonts w:ascii="Arial" w:hAnsi="Arial"/>
          <w:b/>
          <w:color w:val="4B4B4B"/>
          <w:sz w:val="18"/>
        </w:rPr>
        <w:t xml:space="preserve">  |  Sep 2024 – May 2025</w:t>
      </w:r>
    </w:p>
    <w:p>
      <w:pPr>
        <w:spacing w:after="16"/>
      </w:pPr>
      <w:r>
        <w:rPr>
          <w:rFonts w:ascii="Arial" w:hAnsi="Arial"/>
          <w:b w:val="0"/>
          <w:color w:val="4B4B4B"/>
          <w:sz w:val="17"/>
        </w:rPr>
        <w:t>Vilnius, Lithuania | Hybrid</w:t>
      </w:r>
    </w:p>
    <w:p>
      <w:pPr>
        <w:spacing w:after="34"/>
        <w:ind w:left="259" w:hanging="202"/>
      </w:pPr>
      <w:r>
        <w:rPr>
          <w:rFonts w:ascii="Arial" w:hAnsi="Arial"/>
          <w:b w:val="0"/>
          <w:color w:val="000000"/>
          <w:sz w:val="18"/>
        </w:rPr>
        <w:t>•  Reviewed 30 or more customer accounts, identity information, payment activity, and supporting records daily for completeness, consistency, and policy-based compliance concerns.</w:t>
      </w:r>
    </w:p>
    <w:p>
      <w:pPr>
        <w:spacing w:after="34"/>
        <w:ind w:left="259" w:hanging="202"/>
      </w:pPr>
      <w:r>
        <w:rPr>
          <w:rFonts w:ascii="Arial" w:hAnsi="Arial"/>
          <w:b w:val="0"/>
          <w:color w:val="000000"/>
          <w:sz w:val="18"/>
        </w:rPr>
        <w:t>•  Analyzed information against customer profiles and written requirements, documented clear review outcomes, and escalated discrepancies or higher-risk matters for additional assessment.</w:t>
      </w:r>
    </w:p>
    <w:p>
      <w:pPr>
        <w:spacing w:after="34"/>
        <w:ind w:left="259" w:hanging="202"/>
      </w:pPr>
      <w:r>
        <w:rPr>
          <w:rFonts w:ascii="Arial" w:hAnsi="Arial"/>
          <w:b w:val="0"/>
          <w:color w:val="000000"/>
          <w:sz w:val="18"/>
        </w:rPr>
        <w:t>•  Used Unit21, World-Check, OSINT, and Excel while meeting service and quality expectations and maintaining confidential, audit-ready case documentation.</w:t>
      </w:r>
    </w:p>
    <w:p>
      <w:r>
        <w:br w:type="page"/>
      </w:r>
    </w:p>
    <w:p>
      <w:pPr>
        <w:spacing w:after="0"/>
        <w:jc w:val="center"/>
      </w:pPr>
      <w:r>
        <w:rPr>
          <w:rFonts w:ascii="Arial" w:hAnsi="Arial"/>
          <w:b/>
          <w:color w:val="000000"/>
          <w:sz w:val="24"/>
        </w:rPr>
        <w:t>ERIK YEGHINYAN</w:t>
      </w:r>
    </w:p>
    <w:p>
      <w:pPr>
        <w:spacing w:after="60"/>
        <w:jc w:val="center"/>
      </w:pPr>
      <w:r>
        <w:rPr>
          <w:rFonts w:ascii="Arial" w:hAnsi="Arial"/>
          <w:b/>
          <w:color w:val="991B1E"/>
          <w:sz w:val="19"/>
        </w:rPr>
        <w:t>GRADUATE AND INTERNATIONAL CREDENTIALS ANALYST</w:t>
      </w:r>
    </w:p>
    <w:p>
      <w:pPr>
        <w:spacing w:before="100" w:after="50"/>
      </w:pPr>
      <w:r>
        <w:rPr>
          <w:rFonts w:ascii="Arial" w:hAnsi="Arial"/>
          <w:b/>
          <w:color w:val="000000"/>
          <w:sz w:val="19"/>
        </w:rPr>
        <w:t>ADDITIONAL RELEVANT EXPERIENCE</w:t>
      </w:r>
    </w:p>
    <w:p>
      <w:pPr>
        <w:spacing w:before="70" w:after="0"/>
      </w:pPr>
      <w:r>
        <w:rPr>
          <w:rFonts w:ascii="Arial" w:hAnsi="Arial"/>
          <w:b/>
          <w:color w:val="000000"/>
          <w:sz w:val="19"/>
        </w:rPr>
        <w:t>Compliance Operations Specialist</w:t>
      </w:r>
      <w:r>
        <w:rPr>
          <w:rFonts w:ascii="Arial" w:hAnsi="Arial"/>
          <w:b/>
          <w:color w:val="991B1E"/>
          <w:sz w:val="19"/>
        </w:rPr>
        <w:t xml:space="preserve">  |  IDBank</w:t>
      </w:r>
      <w:r>
        <w:rPr>
          <w:rFonts w:ascii="Arial" w:hAnsi="Arial"/>
          <w:b/>
          <w:color w:val="4B4B4B"/>
          <w:sz w:val="18"/>
        </w:rPr>
        <w:t xml:space="preserve">  |  Sep 2023 – Sep 2024</w:t>
      </w:r>
    </w:p>
    <w:p>
      <w:pPr>
        <w:spacing w:after="16"/>
      </w:pPr>
      <w:r>
        <w:rPr>
          <w:rFonts w:ascii="Arial" w:hAnsi="Arial"/>
          <w:b w:val="0"/>
          <w:color w:val="4B4B4B"/>
          <w:sz w:val="17"/>
        </w:rPr>
        <w:t>Yerevan, Armenia | Remote</w:t>
      </w:r>
    </w:p>
    <w:p>
      <w:pPr>
        <w:spacing w:after="34"/>
        <w:ind w:left="259" w:hanging="202"/>
      </w:pPr>
      <w:r>
        <w:rPr>
          <w:rFonts w:ascii="Arial" w:hAnsi="Arial"/>
          <w:b w:val="0"/>
          <w:color w:val="000000"/>
          <w:sz w:val="18"/>
        </w:rPr>
        <w:t>•  Reviewed identity and supporting documents for completeness, consistency, and alignment with established onboarding and verification requirements.</w:t>
      </w:r>
    </w:p>
    <w:p>
      <w:pPr>
        <w:spacing w:after="34"/>
        <w:ind w:left="259" w:hanging="202"/>
      </w:pPr>
      <w:r>
        <w:rPr>
          <w:rFonts w:ascii="Arial" w:hAnsi="Arial"/>
          <w:b w:val="0"/>
          <w:color w:val="000000"/>
          <w:sz w:val="18"/>
        </w:rPr>
        <w:t>•  Resolved documentation discrepancies, updated customer profiles, and maintained accurate electronic records across multiple internal systems.</w:t>
      </w:r>
    </w:p>
    <w:p>
      <w:pPr>
        <w:spacing w:after="34"/>
        <w:ind w:left="259" w:hanging="202"/>
      </w:pPr>
      <w:r>
        <w:rPr>
          <w:rFonts w:ascii="Arial" w:hAnsi="Arial"/>
          <w:b w:val="0"/>
          <w:color w:val="000000"/>
          <w:sz w:val="18"/>
        </w:rPr>
        <w:t>•  Applied written procedures consistently, documented decisions, and coordinated cases requiring clarification or additional review.</w:t>
      </w:r>
    </w:p>
    <w:p>
      <w:pPr>
        <w:spacing w:before="70" w:after="0"/>
      </w:pPr>
      <w:r>
        <w:rPr>
          <w:rFonts w:ascii="Arial" w:hAnsi="Arial"/>
          <w:b/>
          <w:color w:val="000000"/>
          <w:sz w:val="19"/>
        </w:rPr>
        <w:t>Multilingual Customer Service Representative and Interpreter</w:t>
      </w:r>
      <w:r>
        <w:rPr>
          <w:rFonts w:ascii="Arial" w:hAnsi="Arial"/>
          <w:b/>
          <w:color w:val="991B1E"/>
          <w:sz w:val="19"/>
        </w:rPr>
        <w:t xml:space="preserve">  |  Teleperformance</w:t>
      </w:r>
      <w:r>
        <w:rPr>
          <w:rFonts w:ascii="Arial" w:hAnsi="Arial"/>
          <w:b/>
          <w:color w:val="4B4B4B"/>
          <w:sz w:val="18"/>
        </w:rPr>
        <w:t xml:space="preserve">  |  Sep 2023 – Sep 2024</w:t>
      </w:r>
    </w:p>
    <w:p>
      <w:pPr>
        <w:spacing w:after="16"/>
      </w:pPr>
      <w:r>
        <w:rPr>
          <w:rFonts w:ascii="Arial" w:hAnsi="Arial"/>
          <w:b w:val="0"/>
          <w:color w:val="4B4B4B"/>
          <w:sz w:val="17"/>
        </w:rPr>
        <w:t>Lithuania | Remote</w:t>
      </w:r>
    </w:p>
    <w:p>
      <w:pPr>
        <w:spacing w:after="34"/>
        <w:ind w:left="259" w:hanging="202"/>
      </w:pPr>
      <w:r>
        <w:rPr>
          <w:rFonts w:ascii="Arial" w:hAnsi="Arial"/>
          <w:b w:val="0"/>
          <w:color w:val="000000"/>
          <w:sz w:val="18"/>
        </w:rPr>
        <w:t>•  Interpreted complex information in English, Armenian, and Russian for people from diverse backgrounds in healthcare, legal, and government settings.</w:t>
      </w:r>
    </w:p>
    <w:p>
      <w:pPr>
        <w:spacing w:after="34"/>
        <w:ind w:left="259" w:hanging="202"/>
      </w:pPr>
      <w:r>
        <w:rPr>
          <w:rFonts w:ascii="Arial" w:hAnsi="Arial"/>
          <w:b w:val="0"/>
          <w:color w:val="000000"/>
          <w:sz w:val="18"/>
        </w:rPr>
        <w:t>•  Used careful listening and clarifying questions to explain requirements, processes, and next steps accurately and respectfully.</w:t>
      </w:r>
    </w:p>
    <w:p>
      <w:pPr>
        <w:spacing w:after="34"/>
        <w:ind w:left="259" w:hanging="202"/>
      </w:pPr>
      <w:r>
        <w:rPr>
          <w:rFonts w:ascii="Arial" w:hAnsi="Arial"/>
          <w:b w:val="0"/>
          <w:color w:val="000000"/>
          <w:sz w:val="18"/>
        </w:rPr>
        <w:t>•  Protected confidential information, documented interactions, and escalated matters when records or circumstances required specialized review.</w:t>
      </w:r>
    </w:p>
    <w:p>
      <w:pPr>
        <w:spacing w:before="70" w:after="0"/>
      </w:pPr>
      <w:r>
        <w:rPr>
          <w:rFonts w:ascii="Arial" w:hAnsi="Arial"/>
          <w:b/>
          <w:color w:val="000000"/>
          <w:sz w:val="19"/>
        </w:rPr>
        <w:t>Bank Teller and Relationship Banker</w:t>
      </w:r>
      <w:r>
        <w:rPr>
          <w:rFonts w:ascii="Arial" w:hAnsi="Arial"/>
          <w:b/>
          <w:color w:val="991B1E"/>
          <w:sz w:val="19"/>
        </w:rPr>
        <w:t xml:space="preserve">  |  Santander Bank USA</w:t>
      </w:r>
      <w:r>
        <w:rPr>
          <w:rFonts w:ascii="Arial" w:hAnsi="Arial"/>
          <w:b/>
          <w:color w:val="4B4B4B"/>
          <w:sz w:val="18"/>
        </w:rPr>
        <w:t xml:space="preserve">  |  May 2026 – Sep 2026</w:t>
      </w:r>
    </w:p>
    <w:p>
      <w:pPr>
        <w:spacing w:after="16"/>
      </w:pPr>
      <w:r>
        <w:rPr>
          <w:rFonts w:ascii="Arial" w:hAnsi="Arial"/>
          <w:b w:val="0"/>
          <w:color w:val="4B4B4B"/>
          <w:sz w:val="17"/>
        </w:rPr>
        <w:t>Hyannis, Massachusetts</w:t>
      </w:r>
    </w:p>
    <w:p>
      <w:pPr>
        <w:spacing w:after="34"/>
        <w:ind w:left="259" w:hanging="202"/>
      </w:pPr>
      <w:r>
        <w:rPr>
          <w:rFonts w:ascii="Arial" w:hAnsi="Arial"/>
          <w:b w:val="0"/>
          <w:color w:val="000000"/>
          <w:sz w:val="18"/>
        </w:rPr>
        <w:t>•  Processed up to 40 daily deposits, withdrawals, transfers, payments, check-cashing requests, and account-service transactions accurately across branch systems.</w:t>
      </w:r>
    </w:p>
    <w:p>
      <w:pPr>
        <w:spacing w:after="34"/>
        <w:ind w:left="259" w:hanging="202"/>
      </w:pPr>
      <w:r>
        <w:rPr>
          <w:rFonts w:ascii="Arial" w:hAnsi="Arial"/>
          <w:b w:val="0"/>
          <w:color w:val="000000"/>
          <w:sz w:val="18"/>
        </w:rPr>
        <w:t>•  Verified identities and transaction documentation, balanced cash, followed bank controls, and escalated fraud, KYC, BSA, and unusual-activity concerns.</w:t>
      </w:r>
    </w:p>
    <w:p>
      <w:pPr>
        <w:spacing w:after="34"/>
        <w:ind w:left="259" w:hanging="202"/>
      </w:pPr>
      <w:r>
        <w:rPr>
          <w:rFonts w:ascii="Arial" w:hAnsi="Arial"/>
          <w:b w:val="0"/>
          <w:color w:val="000000"/>
          <w:sz w:val="18"/>
        </w:rPr>
        <w:t>•  Explained account information and next steps to customers from diverse backgrounds, resolved routine concerns, and earned 10 out of 10 survey results and district recognition.</w:t>
      </w:r>
    </w:p>
    <w:p>
      <w:pPr>
        <w:spacing w:before="100" w:after="50"/>
      </w:pPr>
      <w:r>
        <w:rPr>
          <w:rFonts w:ascii="Arial" w:hAnsi="Arial"/>
          <w:b/>
          <w:color w:val="000000"/>
          <w:sz w:val="19"/>
        </w:rPr>
        <w:t>EDUCATION AND INTERNATIONAL ENGAGEMENT</w:t>
      </w:r>
    </w:p>
    <w:p>
      <w:pPr>
        <w:spacing w:after="20"/>
      </w:pPr>
      <w:r>
        <w:rPr>
          <w:rFonts w:ascii="Arial" w:hAnsi="Arial"/>
          <w:b/>
          <w:color w:val="000000"/>
          <w:sz w:val="18"/>
        </w:rPr>
        <w:t>Bachelor of Arts in Contemporary Communication</w:t>
      </w:r>
      <w:r>
        <w:rPr>
          <w:rFonts w:ascii="Arial" w:hAnsi="Arial"/>
          <w:b w:val="0"/>
          <w:color w:val="4B4B4B"/>
          <w:sz w:val="18"/>
        </w:rPr>
        <w:t xml:space="preserve">  |  LCC International University, Lithuania  |  2024</w:t>
      </w:r>
    </w:p>
    <w:p>
      <w:pPr>
        <w:spacing w:after="34"/>
        <w:ind w:left="259" w:hanging="202"/>
      </w:pPr>
      <w:r>
        <w:rPr>
          <w:rFonts w:ascii="Arial" w:hAnsi="Arial"/>
          <w:b w:val="0"/>
          <w:color w:val="000000"/>
          <w:sz w:val="18"/>
        </w:rPr>
        <w:t>•  Completed an English-language degree in an international university environment; GPA 8.57 out of 10.</w:t>
      </w:r>
    </w:p>
    <w:p>
      <w:pPr>
        <w:spacing w:after="34"/>
        <w:ind w:left="259" w:hanging="202"/>
      </w:pPr>
      <w:r>
        <w:rPr>
          <w:rFonts w:ascii="Arial" w:hAnsi="Arial"/>
          <w:b w:val="0"/>
          <w:color w:val="000000"/>
          <w:sz w:val="18"/>
        </w:rPr>
        <w:t>•  Participated in and led more than 20 Erasmus+ exchanges involving European institutions, education programs, cultures, and international participants.</w:t>
      </w:r>
    </w:p>
    <w:p>
      <w:pPr>
        <w:spacing w:before="100" w:after="50"/>
      </w:pPr>
      <w:r>
        <w:rPr>
          <w:rFonts w:ascii="Arial" w:hAnsi="Arial"/>
          <w:b/>
          <w:color w:val="000000"/>
          <w:sz w:val="19"/>
        </w:rPr>
        <w:t>LANGUAGES AND SYSTEMS</w:t>
      </w:r>
    </w:p>
    <w:p>
      <w:pPr>
        <w:spacing w:after="20"/>
      </w:pPr>
      <w:r>
        <w:rPr>
          <w:rFonts w:ascii="Arial" w:hAnsi="Arial"/>
          <w:b/>
          <w:color w:val="000000"/>
          <w:sz w:val="18"/>
        </w:rPr>
        <w:t xml:space="preserve">Languages: </w:t>
      </w:r>
      <w:r>
        <w:rPr>
          <w:rFonts w:ascii="Arial" w:hAnsi="Arial"/>
          <w:b w:val="0"/>
          <w:color w:val="000000"/>
          <w:sz w:val="18"/>
        </w:rPr>
        <w:t>Armenian (Native), English (Fluent/C2), Russian (Advanced)</w:t>
      </w:r>
    </w:p>
    <w:p>
      <w:pPr>
        <w:spacing w:after="0"/>
      </w:pPr>
      <w:r>
        <w:rPr>
          <w:rFonts w:ascii="Arial" w:hAnsi="Arial"/>
          <w:b/>
          <w:color w:val="000000"/>
          <w:sz w:val="18"/>
        </w:rPr>
        <w:t xml:space="preserve">Systems: </w:t>
      </w:r>
      <w:r>
        <w:rPr>
          <w:rFonts w:ascii="Arial" w:hAnsi="Arial"/>
          <w:b w:val="0"/>
          <w:color w:val="000000"/>
          <w:sz w:val="18"/>
        </w:rPr>
        <w:t>Microsoft Office, Excel, Google Workspace, CRM systems, Salesforce, HubSpot, Unit21, World-Check, OSINT, online research, data validation, and reporting</w:t>
      </w:r>
    </w:p>
    <w:sectPr w:rsidR="00FC693F" w:rsidRPr="0006063C" w:rsidSect="00034616">
      <w:pgSz w:w="12240" w:h="15840"/>
      <w:pgMar w:top="749"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2" w:line="240"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Title">
    <w:name w:val="Resume Title"/>
    <w:pPr>
      <w:spacing w:after="20"/>
    </w:pPr>
    <w:rPr>
      <w:rFonts w:ascii="Arial" w:hAnsi="Arial"/>
      <w:b/>
      <w:color w:val="000000"/>
      <w:sz w:val="3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Erik Yeghinyan USC Graduate and International Credentials Analyst Resume</dc:title>
  <dc:subject>USC Graduate and International Credentials Analyst Application</dc:subject>
  <dc:creator>Erik Yeghinyan</dc:creator>
  <cp:keywords>USC, graduate admission, international credentials, academic records, credential evaluation, higher education, university research, DiplomaSafe, document review, student communication</cp:keywords>
  <dc:description>generated by python-docx</dc:description>
  <cp:lastModifiedBy/>
  <cp:revision>1</cp:revision>
  <dcterms:created xsi:type="dcterms:W3CDTF">2013-12-23T23:15:00Z</dcterms:created>
  <dcterms:modified xsi:type="dcterms:W3CDTF">2013-12-23T23:15:00Z</dcterms:modified>
  <cp:category/>
</cp:coreProperties>
</file>