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ERIK YEGHINYAN</w:t>
      </w:r>
    </w:p>
    <w:p>
      <w:pPr>
        <w:jc w:val="center"/>
      </w:pPr>
      <w:r>
        <w:t>FINANCIAL CRIMES  |  AML INVESTIGATIONS  |  FRAUD OPERATIONS</w:t>
      </w:r>
    </w:p>
    <w:p>
      <w:pPr>
        <w:jc w:val="center"/>
      </w:pPr>
      <w:r>
        <w:t>Los Angeles, CA  •  508-815-9050  •  eyeghinyane@gmail.com  •  linkedin.com/in/erik-yeghinyan</w:t>
      </w:r>
    </w:p>
    <w:p>
      <w:pPr>
        <w:pStyle w:val="SectionResume"/>
      </w:pPr>
      <w:r>
        <w:t>PROFESSIONAL SUMMARY</w:t>
      </w:r>
    </w:p>
    <w:p>
      <w:pPr/>
      <w:r/>
      <w:r>
        <w:t>Financial crimes analyst who brings transaction monitoring, customer due diligence and frontline banking experience to financial services teams. On Guidehouse’s Green Dot Bank engagement, reviewed 30+ accounts daily and identified alert patterns associated with 25% faster reviews and 30% fewer false-positive escalations. Connects transaction behavior, KYC records and external research into documented risk decisions.</w:t>
      </w:r>
    </w:p>
    <w:p>
      <w:pPr>
        <w:pStyle w:val="SectionResume"/>
      </w:pPr>
      <w:r>
        <w:t>FINANCIAL CRIMES SKILLS</w:t>
      </w:r>
    </w:p>
    <w:p>
      <w:pPr/>
      <w:r/>
      <w:r>
        <w:t>BSA/AML transaction monitoring • ACH and P2P investigations • Fraud and account takeover review • KYC/CDD and customer risk assessment • Alert triage and process improvement • Suspicious activity escalation and SAR support • Case narratives and documentation • Unit21 • World-Check • OSINT • Excel and Google Sheets</w:t>
      </w:r>
    </w:p>
    <w:p>
      <w:pPr>
        <w:pStyle w:val="SectionResume"/>
      </w:pPr>
      <w:r>
        <w:t>RELEVANT FINANCIAL CRIMES EXPERIENCE</w:t>
      </w:r>
    </w:p>
    <w:p>
      <w:pPr>
        <w:pStyle w:val="RoleResume"/>
      </w:pPr>
      <w:r>
        <w:t>Guidehouse  |  AML Compliance Analyst, Green Dot Bank engagement  |  Vilnius, Lithuania  |  Sep 2024 – Sep 2025</w:t>
      </w:r>
    </w:p>
    <w:p>
      <w:pPr>
        <w:ind w:left="230" w:hanging="187"/>
      </w:pPr>
      <w:r/>
      <w:r>
        <w:t>•  Improved review efficiency by 25% and reduced false-positive escalations by 30% by recognizing recurring alert patterns and improving investigative triage.</w:t>
      </w:r>
    </w:p>
    <w:p>
      <w:pPr>
        <w:ind w:left="230" w:hanging="187"/>
      </w:pPr>
      <w:r/>
      <w:r>
        <w:t>•  Reviewed 30+ accounts daily across ACH, P2P and potential account takeover alerts, separating activity consistent with customer behavior from findings requiring escalation.</w:t>
      </w:r>
    </w:p>
    <w:p>
      <w:pPr>
        <w:ind w:left="230" w:hanging="187"/>
      </w:pPr>
      <w:r/>
      <w:r>
        <w:t>•  Made risk decisions traceable through case narratives that connected transaction history, KYC records, World-Check findings and open-source research in Unit21.</w:t>
      </w:r>
    </w:p>
    <w:p>
      <w:pPr>
        <w:pStyle w:val="RoleResume"/>
      </w:pPr>
      <w:r>
        <w:t>ID Bank  |  Compliance Operations Specialist  |  Yerevan, Armenia (remote)  |  Sep 2023 – Sep 2024</w:t>
      </w:r>
    </w:p>
    <w:p>
      <w:pPr>
        <w:ind w:left="230" w:hanging="187"/>
      </w:pPr>
      <w:r/>
      <w:r>
        <w:t>•  Resolved missing identity and customer information before onboarding decisions by verifying documents and updating risk profiles.</w:t>
      </w:r>
    </w:p>
    <w:p>
      <w:pPr>
        <w:ind w:left="230" w:hanging="187"/>
      </w:pPr>
      <w:r/>
      <w:r>
        <w:t>•  Brought unusual payment and account activity to further fraud and suspicious activity review with documented findings and supporting evidence.</w:t>
      </w:r>
    </w:p>
    <w:p>
      <w:pPr>
        <w:ind w:left="230" w:hanging="187"/>
      </w:pPr>
      <w:r/>
      <w:r>
        <w:t>•  Preserved a clear record of exceptions and follow-up across operations handoffs through confidential case documentation.</w:t>
      </w:r>
    </w:p>
    <w:p>
      <w:pPr>
        <w:pStyle w:val="SectionResume"/>
      </w:pPr>
      <w:r>
        <w:t>ADDITIONAL BANKING EXPERIENCE</w:t>
      </w:r>
    </w:p>
    <w:p>
      <w:pPr>
        <w:pStyle w:val="RoleResume"/>
      </w:pPr>
      <w:r>
        <w:t>Santander Bank  |  Teller and Relationship Banker  |  Hyannis, MA  |  May 2026 – Sep 2026</w:t>
      </w:r>
    </w:p>
    <w:p>
      <w:pPr>
        <w:ind w:left="230" w:hanging="187"/>
      </w:pPr>
      <w:r/>
      <w:r>
        <w:t>•  Applied identity and authorization checks across 40+ daily deposits, withdrawals, transfers and payments to support accurate processing.</w:t>
      </w:r>
    </w:p>
    <w:p>
      <w:pPr>
        <w:ind w:left="230" w:hanging="187"/>
      </w:pPr>
      <w:r/>
      <w:r>
        <w:t>•  Earned 10/10 customer survey ratings while resolving account and digital banking issues under customer verification and cash controls.</w:t>
      </w:r>
    </w:p>
    <w:p>
      <w:pPr>
        <w:ind w:left="230" w:hanging="187"/>
      </w:pPr>
      <w:r/>
      <w:r>
        <w:t>•  Brought unusual account behavior to branch review by documenting concerns and escalating them under fraud and BSA procedures.</w:t>
      </w:r>
    </w:p>
    <w:p>
      <w:pPr>
        <w:pStyle w:val="SectionResume"/>
      </w:pPr>
      <w:r>
        <w:t>EDUCATION</w:t>
      </w:r>
    </w:p>
    <w:p>
      <w:pPr/>
      <w:r>
        <w:t>BA, Contemporary Communication  |  LCC International University, Lithuania  |  2024</w:t>
      </w:r>
    </w:p>
    <w:p>
      <w:pPr>
        <w:pStyle w:val="SectionResume"/>
      </w:pPr>
      <w:r>
        <w:t>CERTIFICATIONS AND TRAINING</w:t>
      </w:r>
    </w:p>
    <w:p>
      <w:pPr/>
      <w:r>
        <w:t>Operational Analysis of Suspicious Transaction Reports — Basel Institute on Governance, 2026  •  Enhancing Financial Inclusion with a Risk-Based Approach — ACAMS  •  Foundations in AML and KYC</w:t>
      </w:r>
    </w:p>
    <w:p>
      <w:pPr>
        <w:pStyle w:val="SectionResume"/>
      </w:pPr>
      <w:r>
        <w:t>LANGUAGES AND WORK AUTHORIZATION</w:t>
      </w:r>
    </w:p>
    <w:p>
      <w:pPr/>
      <w:r>
        <w:t>Armenian (native)  •  English (fluent)  •  Russian (advanced)  •  Authorized to work in the United States without sponsorship</w:t>
      </w:r>
    </w:p>
    <w:sectPr w:rsidR="00FC693F" w:rsidRPr="0006063C" w:rsidSect="00034616">
      <w:pgSz w:w="12240" w:h="15840"/>
      <w:pgMar w:top="691" w:right="1123" w:bottom="64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 w:before="60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Resume">
    <w:name w:val="Section Resume"/>
    <w:pPr>
      <w:spacing w:before="100" w:after="60"/>
    </w:pPr>
    <w:rPr>
      <w:rFonts w:ascii="Aptos Display" w:hAnsi="Aptos Display"/>
      <w:b/>
      <w:color w:val="182D46"/>
      <w:sz w:val="18"/>
    </w:rPr>
  </w:style>
  <w:style w:type="paragraph" w:customStyle="1" w:styleId="RoleResume">
    <w:name w:val="Role Resume"/>
    <w:pPr>
      <w:spacing w:before="60" w:after="20"/>
    </w:pPr>
    <w:rPr>
      <w:rFonts w:ascii="Aptos" w:hAnsi="Aptos"/>
      <w:b/>
      <w:color w:val="14274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