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ERIK YEGHINYAN</w:t>
      </w:r>
    </w:p>
    <w:p>
      <w:pPr>
        <w:jc w:val="center"/>
      </w:pPr>
      <w:r>
        <w:t>508-815-9050  •  eyeghinyane@gmail.com  •  Authorized to work in the United States without sponsorship</w:t>
      </w:r>
    </w:p>
    <w:p>
      <w:pPr>
        <w:jc w:val="center"/>
      </w:pPr>
      <w:r>
        <w:t>FINCRIME ESCALATIONS  •  AML INVESTIGATIONS  •  TRANSACTION MONITORING</w:t>
      </w:r>
    </w:p>
    <w:p>
      <w:pPr>
        <w:pStyle w:val="ResumeSection"/>
      </w:pPr>
      <w:r>
        <w:t>PROFESSIONAL SUMMARY</w:t>
      </w:r>
    </w:p>
    <w:p>
      <w:r>
        <w:t>AML analyst who reviewed 30+ accounts daily on Guidehouse’s Green Dot Bank engagement, connecting ACH and P2P activity, customer histories, KYC/CDD, and screening results to documented closure or escalation decisions. Identified emerging patterns and improved triage, contributing to 25% faster reviews and 30% fewer false-positive escalations.</w:t>
      </w:r>
    </w:p>
    <w:p>
      <w:pPr>
        <w:pStyle w:val="ResumeSection"/>
      </w:pPr>
      <w:r>
        <w:t>CORE SKILLS</w:t>
      </w:r>
    </w:p>
    <w:p>
      <w:r>
        <w:t>AML and BSA transaction monitoring • FinCrime case escalations • Suspicious activity referral support • Sanctions screening research • Positive-hit investigation support • ACH and P2P payments • Digital fraud and account takeover indicators • KYC/CDD • Risk rationale and investigation summaries • Unit21 • World-Check • Open-source research • Excel and Google Sheets</w:t>
      </w:r>
    </w:p>
    <w:p>
      <w:pPr>
        <w:pStyle w:val="ResumeSection"/>
      </w:pPr>
      <w:r>
        <w:t>WORK EXPERIENCE</w:t>
      </w:r>
    </w:p>
    <w:p>
      <w:pPr>
        <w:pStyle w:val="ResumeRole"/>
      </w:pPr>
      <w:r>
        <w:t>Santander Bank | Teller and Relationship Banker | Hyannis, MA | May 2026 – Sep 2026</w:t>
      </w:r>
    </w:p>
    <w:p>
      <w:pPr>
        <w:spacing w:after="20"/>
        <w:ind w:left="245" w:hanging="202"/>
      </w:pPr>
      <w:r>
        <w:t>•  Protected the accuracy of 40+ daily deposits, withdrawals, transfers, and payments through identity, authorization, and cash-control checks.</w:t>
      </w:r>
    </w:p>
    <w:p>
      <w:pPr>
        <w:spacing w:after="20"/>
        <w:ind w:left="245" w:hanging="202"/>
      </w:pPr>
      <w:r>
        <w:t>•  Escalated unusual account behavior and cash exceptions for branch review with transaction details under fraud and BSA procedures.</w:t>
      </w:r>
    </w:p>
    <w:p>
      <w:pPr>
        <w:spacing w:after="20"/>
        <w:ind w:left="245" w:hanging="202"/>
      </w:pPr>
      <w:r>
        <w:t>•  Earned 10/10 customer survey ratings while resolving account and digital banking questions within verification and privacy requirements.</w:t>
      </w:r>
    </w:p>
    <w:p>
      <w:pPr>
        <w:pStyle w:val="ResumeRole"/>
      </w:pPr>
      <w:r>
        <w:t>Guidehouse | AML Compliance Analyst, Green Dot Bank engagement | Vilnius, Lithuania | Sep 2024 – Sep 2025</w:t>
      </w:r>
    </w:p>
    <w:p>
      <w:pPr>
        <w:spacing w:after="20"/>
        <w:ind w:left="245" w:hanging="202"/>
      </w:pPr>
      <w:r>
        <w:t>•  Improved review speed by 25% and reduced false-positive escalations by 30% by identifying recurring alert patterns across 30+ daily account reviews.</w:t>
      </w:r>
    </w:p>
    <w:p>
      <w:pPr>
        <w:spacing w:after="20"/>
        <w:ind w:left="245" w:hanging="202"/>
      </w:pPr>
      <w:r>
        <w:t>•  Identified emerging AML patterns by comparing ACH and P2P activity, counterparties, customer histories, and possible account takeover indicators.</w:t>
      </w:r>
    </w:p>
    <w:p>
      <w:pPr>
        <w:spacing w:after="20"/>
        <w:ind w:left="245" w:hanging="202"/>
      </w:pPr>
      <w:r>
        <w:t>•  Documented closure or suspicious activity referral decisions in Unit21 by connecting KYC/CDD records, World-Check screening, open-source research, and transaction evidence to case narratives.</w:t>
      </w:r>
    </w:p>
    <w:p>
      <w:pPr>
        <w:pStyle w:val="ResumeRole"/>
      </w:pPr>
      <w:r>
        <w:t>Swedbank Lithuania | AML Compliance Analyst, Transaction Monitoring | May 2023 – May 2024</w:t>
      </w:r>
    </w:p>
    <w:p>
      <w:pPr>
        <w:spacing w:after="20"/>
        <w:ind w:left="245" w:hanging="202"/>
      </w:pPr>
      <w:r>
        <w:t>•  Surfaced unusual digital payments for investigation by comparing transaction amounts, frequency, counterparties, and prior account behavior.</w:t>
      </w:r>
    </w:p>
    <w:p>
      <w:pPr>
        <w:spacing w:after="20"/>
        <w:ind w:left="245" w:hanging="202"/>
      </w:pPr>
      <w:r>
        <w:t>•  Documented supported alert dispositions by testing risk indicators against KYC records, earlier activity, and relevant customer context.</w:t>
      </w:r>
    </w:p>
    <w:p>
      <w:pPr>
        <w:spacing w:after="20"/>
        <w:ind w:left="245" w:hanging="202"/>
      </w:pPr>
      <w:r>
        <w:t>•  Escalated higher-risk cases with transaction timelines, unresolved questions, and clear reasons for fraud or compliance review.</w:t>
      </w:r>
    </w:p>
    <w:p>
      <w:pPr>
        <w:pStyle w:val="ResumeRole"/>
      </w:pPr>
      <w:r>
        <w:t>ID Bank | Compliance Operations Specialist | Jan 2022 – May 2023</w:t>
      </w:r>
    </w:p>
    <w:p>
      <w:pPr>
        <w:spacing w:after="20"/>
        <w:ind w:left="245" w:hanging="202"/>
      </w:pPr>
      <w:r>
        <w:t>•  Resolved identity discrepancies before onboarding decisions by verifying customer documents, account information, and risk profiles.</w:t>
      </w:r>
    </w:p>
    <w:p>
      <w:pPr>
        <w:spacing w:after="20"/>
        <w:ind w:left="245" w:hanging="202"/>
      </w:pPr>
      <w:r>
        <w:t>•  Referred unusual payments and account behavior for fraud or suspicious activity review with specific indicators and supporting evidence.</w:t>
      </w:r>
    </w:p>
    <w:p>
      <w:pPr>
        <w:spacing w:after="20"/>
        <w:ind w:left="245" w:hanging="202"/>
      </w:pPr>
      <w:r>
        <w:t>•  Preserved decision context across operations handoffs by recording exceptions, follow-up actions, and outstanding questions.</w:t>
      </w:r>
    </w:p>
    <w:p>
      <w:pPr>
        <w:pStyle w:val="ResumeSection"/>
      </w:pPr>
      <w:r>
        <w:t>EDUCATION</w:t>
      </w:r>
    </w:p>
    <w:p>
      <w:r>
        <w:t>Bachelor of Arts in Contemporary Communication | LCC International University, Lithuania | 2024</w:t>
      </w:r>
    </w:p>
    <w:p>
      <w:pPr>
        <w:pStyle w:val="ResumeSection"/>
      </w:pPr>
      <w:r>
        <w:t>CERTIFICATIONS AND TRAINING</w:t>
      </w:r>
    </w:p>
    <w:p>
      <w:r>
        <w:t>Operational Analysis of Suspicious Transaction Reports — Basel Institute on Governance, 2026 • Enhancing Financial Inclusion with a Risk-Based Approach — ACAMS • Foundations in AML and KYC</w:t>
      </w:r>
    </w:p>
    <w:p>
      <w:pPr>
        <w:pStyle w:val="ResumeSection"/>
      </w:pPr>
      <w:r>
        <w:t>LANGUAGES</w:t>
      </w:r>
    </w:p>
    <w:p>
      <w:r>
        <w:t>Armenian (native) • English (fluent) • Russian (advanced)</w:t>
      </w:r>
    </w:p>
    <w:sectPr w:rsidR="00FC693F" w:rsidRPr="0006063C" w:rsidSect="00034616">
      <w:pgSz w:w="12240" w:h="15840"/>
      <w:pgMar w:top="576" w:right="1037" w:bottom="57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ptos" w:hAnsi="Aptos"/>
      <w:color w:val="141C2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40" w:lineRule="auto" w:before="40"/>
      <w:contextualSpacing/>
      <w:pBdr>
        <w:bottom w:val="nil"/>
      </w:pBdr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80" w:after="20"/>
    </w:pPr>
    <w:rPr>
      <w:rFonts w:ascii="Aptos" w:hAnsi="Aptos"/>
      <w:b/>
      <w:color w:val="000000"/>
      <w:sz w:val="18"/>
    </w:rPr>
  </w:style>
  <w:style w:type="paragraph" w:customStyle="1" w:styleId="ResumeRole">
    <w:name w:val="Resume Role"/>
    <w:pPr>
      <w:spacing w:before="40" w:after="20"/>
    </w:pPr>
    <w:rPr>
      <w:rFonts w:ascii="Aptos" w:hAnsi="Aptos"/>
      <w:b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