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ERIK YEGHINYAN</w:t>
      </w:r>
    </w:p>
    <w:p>
      <w:r>
        <w:t>BSA Specialist | AML Investigations | Transaction Monitoring</w:t>
      </w:r>
    </w:p>
    <w:p>
      <w:r>
        <w:t>Hyannis, MA | Relocating to Southern California | 508-815-9050 | eyeghinyane@gmail.com</w:t>
      </w:r>
    </w:p>
    <w:p>
      <w:r>
        <w:t>linkedin.com/in/erik-yeghinyan</w:t>
      </w:r>
    </w:p>
    <w:p>
      <w:pPr>
        <w:pStyle w:val="Section"/>
      </w:pPr>
      <w:r>
        <w:t>PROFESSIONAL SUMMARY</w:t>
      </w:r>
    </w:p>
    <w:p>
      <w:r>
        <w:t>BSA/AML investigator with transaction monitoring, CTR and SAR filing, OFAC alert decisions and enhanced due diligence experience. Reviewed 30+ accounts daily at Guidehouse and identified trends associated with 25% faster reviews and 30% fewer false-positive escalations.</w:t>
      </w:r>
    </w:p>
    <w:p>
      <w:pPr>
        <w:pStyle w:val="Section"/>
      </w:pPr>
      <w:r>
        <w:t>RELEVANT SKILLS</w:t>
      </w:r>
    </w:p>
    <w:p>
      <w:r>
        <w:t>BSA, USA PATRIOT Act and OFAC • AML, CIP, KYC, CDD and EDD • Reports, logs and transaction data • CTRs and aggregated cash • SAR investigation reports • OFAC true or false matches • Structuring, fraud and illegal MSB activity • High-risk accounts and entities • Unit21, World-Check, Symitar and SanAlert • Exempt-customer list • Audits and examinations • Metrics and ratios</w:t>
      </w:r>
    </w:p>
    <w:p>
      <w:pPr>
        <w:pStyle w:val="Section"/>
      </w:pPr>
      <w:r>
        <w:t>PROFESSIONAL EXPERIENCE</w:t>
      </w:r>
    </w:p>
    <w:p>
      <w:pPr>
        <w:pStyle w:val="Job"/>
      </w:pPr>
      <w:r>
        <w:t>Guidehouse | AML Compliance Analyst, Green Dot Bank engagement | Vilnius, Lithuania | Sep 2024 – Sep 2025</w:t>
      </w:r>
    </w:p>
    <w:p>
      <w:pPr>
        <w:ind w:left="245" w:hanging="202"/>
      </w:pPr>
      <w:r>
        <w:t>•  Improved review efficiency by 25% and reduced false-positive escalations by 30% by analyzing daily reports, alert logs and transaction trends with internal reporting metrics.</w:t>
      </w:r>
    </w:p>
    <w:p>
      <w:pPr>
        <w:ind w:left="245" w:hanging="202"/>
      </w:pPr>
      <w:r>
        <w:t>•  Reached documented closure or escalation decisions on 30+ accounts daily by researching ACH, P2P and large day-to-day account activity for suspicious transactions, structuring and fraud indicators.</w:t>
      </w:r>
    </w:p>
    <w:p>
      <w:pPr>
        <w:ind w:left="245" w:hanging="202"/>
      </w:pPr>
      <w:r>
        <w:t>•  Filed timely CTRs after aggregating ATM and multiple-branch cash deposits and withdrawals; prepared and filed SARs using interviews, transaction timelines, investigative notes and supporting evidence.</w:t>
      </w:r>
    </w:p>
    <w:p>
      <w:pPr>
        <w:ind w:left="245" w:hanging="202"/>
      </w:pPr>
      <w:r>
        <w:t>•  Determined actual versus false OFAC matches using identifying details and World-Check research; maintained currency-reporting exemption records and assembled BSA documentation for audits and regulatory examinations.</w:t>
      </w:r>
    </w:p>
    <w:p>
      <w:pPr>
        <w:ind w:left="245" w:hanging="202"/>
      </w:pPr>
      <w:r>
        <w:t>•  Resolved BSA and OFAC questions from branch and operations teams by researching current requirements in regulatory publications, reviewing case facts and explaining reporting or escalation steps.</w:t>
      </w:r>
    </w:p>
    <w:p>
      <w:pPr>
        <w:pStyle w:val="Job"/>
      </w:pPr>
      <w:r>
        <w:t>Swedbank Lithuania | AML Compliance Analyst, Transaction Monitoring | Lithuania | 2024 – 2025</w:t>
      </w:r>
    </w:p>
    <w:p>
      <w:pPr>
        <w:ind w:left="245" w:hanging="202"/>
      </w:pPr>
      <w:r>
        <w:t>•  Identified unusual digital payment and account activity by analyzing transaction amounts, frequency, counterparties, reports and established customer behavior.</w:t>
      </w:r>
    </w:p>
    <w:p>
      <w:pPr>
        <w:ind w:left="245" w:hanging="202"/>
      </w:pPr>
      <w:r>
        <w:t>•  Documented investigations of possible money laundering, terrorist financing, internal or external fraud, structuring and illegal money service business activity with transaction timelines and reasons for escalation.</w:t>
      </w:r>
    </w:p>
    <w:p>
      <w:pPr>
        <w:ind w:left="245" w:hanging="202"/>
      </w:pPr>
      <w:r>
        <w:t>•  Clarified higher-risk account decisions by researching KYC/CDD records, entity information and mitigating evidence before documenting alert dispositions.</w:t>
      </w:r>
    </w:p>
    <w:p>
      <w:pPr>
        <w:pStyle w:val="Job"/>
      </w:pPr>
      <w:r>
        <w:t>ID Bank | Compliance Operations Specialist | Yerevan, Armenia, remote | Sep 2023 – Sep 2024</w:t>
      </w:r>
    </w:p>
    <w:p>
      <w:pPr>
        <w:ind w:left="245" w:hanging="202"/>
      </w:pPr>
      <w:r>
        <w:t>•  Kept unresolved identity discrepancies out of onboarding decisions by checking customer documents against account information and updating risk profiles.</w:t>
      </w:r>
    </w:p>
    <w:p>
      <w:pPr>
        <w:ind w:left="245" w:hanging="202"/>
      </w:pPr>
      <w:r>
        <w:t>•  Gave fraud and compliance reviewers usable evidence on unusual payments by recording indicators, supporting details and reasons for escalation.</w:t>
      </w:r>
    </w:p>
    <w:p>
      <w:pPr>
        <w:ind w:left="245" w:hanging="202"/>
      </w:pPr>
      <w:r>
        <w:t>•  Completed higher-risk customer reviews by comparing identity records, payment activity and expected account use, then updating risk profiles and routing exceptions.</w:t>
      </w:r>
    </w:p>
    <w:p>
      <w:pPr>
        <w:pStyle w:val="Job"/>
      </w:pPr>
      <w:r>
        <w:t>Santander Bank USA | Teller and Relationship Banker | Hyannis, MA | May 2026 – Sep 2026</w:t>
      </w:r>
    </w:p>
    <w:p>
      <w:pPr>
        <w:ind w:left="245" w:hanging="202"/>
      </w:pPr>
      <w:r>
        <w:t>•  Processed 40+ daily deposits, withdrawals, transfers and payments while checking customer identity, account authority and transaction details; escalated exceptions that required further review.</w:t>
      </w:r>
    </w:p>
    <w:p>
      <w:pPr>
        <w:ind w:left="245" w:hanging="202"/>
      </w:pPr>
      <w:r>
        <w:t>•  Reviewed business checks against account information and transaction history, questioned unusual check or account activity and escalated exceptions with the specific issue recorded for follow-up.</w:t>
      </w:r>
    </w:p>
    <w:p>
      <w:pPr>
        <w:ind w:left="245" w:hanging="202"/>
      </w:pPr>
      <w:r>
        <w:t>•  Opened cases for unusual account activity by examining recent transactions and customer behavior, recording the alert trigger, transaction details and reason the activity warranted BSA review.</w:t>
      </w:r>
    </w:p>
    <w:p>
      <w:pPr>
        <w:ind w:left="245" w:hanging="202"/>
      </w:pPr>
      <w:r>
        <w:t>•  Flagged cash transactions for CTR review through SanAlert and sent unusual-activity cases with supporting transaction details to the BSA team.</w:t>
      </w:r>
    </w:p>
    <w:p>
      <w:pPr>
        <w:pStyle w:val="Section"/>
      </w:pPr>
      <w:r>
        <w:t>EDUCATION AND TRAINING</w:t>
      </w:r>
    </w:p>
    <w:p>
      <w:r>
        <w:t>BA, Contemporary Communication | LCC International University, Lithuania | 2024</w:t>
      </w:r>
    </w:p>
    <w:p>
      <w:r>
        <w:t>Operational Analysis of Suspicious Transaction Reports | Basel Institute on Governance | 2026</w:t>
      </w:r>
    </w:p>
    <w:p>
      <w:r>
        <w:t>Enhancing Financial Inclusion with a Risk-Based Approach | ACAMS</w:t>
      </w:r>
    </w:p>
    <w:p>
      <w:r>
        <w:t>Languages: Armenian (native), English (fluent), Russian (advanced) | U.S. work authorized without sponsorship</w:t>
      </w:r>
    </w:p>
    <w:sectPr w:rsidR="00FC693F" w:rsidRPr="0006063C" w:rsidSect="00034616">
      <w:pgSz w:w="12240" w:h="15840"/>
      <w:pgMar w:top="634" w:right="922" w:bottom="619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/>
    </w:pPr>
    <w:rPr>
      <w:rFonts w:ascii="Aptos" w:hAnsi="Aptos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">
    <w:name w:val="Section"/>
    <w:pPr>
      <w:spacing w:before="80" w:after="40"/>
    </w:pPr>
    <w:rPr>
      <w:rFonts w:ascii="Aptos" w:hAnsi="Aptos"/>
      <w:b/>
      <w:color w:val="000000"/>
      <w:sz w:val="19"/>
    </w:rPr>
  </w:style>
  <w:style w:type="paragraph" w:customStyle="1" w:styleId="Job">
    <w:name w:val="Job"/>
    <w:pPr>
      <w:spacing w:before="40" w:after="0"/>
    </w:pPr>
    <w:rPr>
      <w:rFonts w:ascii="Aptos" w:hAnsi="Aptos"/>
      <w:b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