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t>ERIK YEGHINYAN</w:t>
      </w:r>
    </w:p>
    <w:p>
      <w:pPr>
        <w:jc w:val="center"/>
      </w:pPr>
      <w:r>
        <w:t>BSA SPECIALIST  |  AML INVESTIGATIONS  |  TRANSACTION MONITORING</w:t>
      </w:r>
    </w:p>
    <w:p>
      <w:pPr>
        <w:jc w:val="center"/>
      </w:pPr>
      <w:r>
        <w:t>508-815-9050  •  eyeghinyane@gmail.com  •  linkedin.com/in/erik-yeghinyan</w:t>
      </w:r>
    </w:p>
    <w:p>
      <w:pPr>
        <w:pStyle w:val="Section"/>
      </w:pPr>
      <w:r>
        <w:t>PROFESSIONAL SUMMARY</w:t>
      </w:r>
    </w:p>
    <w:p>
      <w:r>
        <w:t>BSA/AML analyst who helps investigators spend time on the alerts that warrant it. On Guidehouse’s Green Dot Bank engagement, reviewed 30+ accounts daily and identified patterns associated with 25% faster reviews and 30% fewer false-positive escalations. Combines transaction history, customer due diligence and screening research into documented decisions; also brings branch cash-control experience.</w:t>
      </w:r>
    </w:p>
    <w:p>
      <w:pPr>
        <w:pStyle w:val="Section"/>
      </w:pPr>
      <w:r>
        <w:t>BSA AND INVESTIGATIONS SKILLS</w:t>
      </w:r>
    </w:p>
    <w:p>
      <w:r>
        <w:t>Bank Secrecy Act (BSA) and anti-money laundering (AML) • Transaction monitoring and alert investigation • Suspicious activity identification and SAR referral support • ACH and P2P activity review • Customer identity verification, KYC and customer due diligence (CDD) • Customer risk profiles • Fraud and account takeover review • Investigative case notes and audit-ready evidence • Branch cash transaction controls • World-Check • Unit21 • OSINT • Excel and Google Sheets</w:t>
      </w:r>
    </w:p>
    <w:p>
      <w:pPr>
        <w:pStyle w:val="Section"/>
      </w:pPr>
      <w:r>
        <w:t>PROFESSIONAL EXPERIENCE</w:t>
      </w:r>
    </w:p>
    <w:p>
      <w:pPr>
        <w:pStyle w:val="Role"/>
      </w:pPr>
      <w:r>
        <w:t>Guidehouse  |  AML Compliance Analyst, Green Dot Bank engagement  |  Vilnius, Lithuania  |  Sep 2024 – Sep 2025</w:t>
      </w:r>
    </w:p>
    <w:p>
      <w:pPr>
        <w:spacing w:after="20"/>
        <w:ind w:left="259" w:hanging="187"/>
      </w:pPr>
      <w:r>
        <w:t>•  Improved review efficiency by 25% and reduced false-positive escalations by 30% by recognizing recurring alert patterns and refining triage, leaving fewer low-value cases for follow-up.</w:t>
      </w:r>
    </w:p>
    <w:p>
      <w:pPr>
        <w:spacing w:after="20"/>
        <w:ind w:left="259" w:hanging="187"/>
      </w:pPr>
      <w:r>
        <w:t>•  Kept 30+ daily account reviews moving toward defensible closure or escalation by checking ACH and P2P activity and account takeover indicators against customer profiles, history and counterparties.</w:t>
      </w:r>
    </w:p>
    <w:p>
      <w:pPr>
        <w:spacing w:after="20"/>
        <w:ind w:left="259" w:hanging="187"/>
      </w:pPr>
      <w:r>
        <w:t>•  Preserved the evidence behind risk decisions in Unit21 by connecting KYC/CDD records, World-Check screening and open-source research to case narratives and suspicious activity referrals.</w:t>
      </w:r>
    </w:p>
    <w:p>
      <w:pPr>
        <w:pStyle w:val="Role"/>
      </w:pPr>
      <w:r>
        <w:t>ID Bank  |  Compliance Operations Specialist  |  Yerevan, Armenia (remote)  |  Sep 2023 – Sep 2024</w:t>
      </w:r>
    </w:p>
    <w:p>
      <w:pPr>
        <w:spacing w:after="20"/>
        <w:ind w:left="259" w:hanging="187"/>
      </w:pPr>
      <w:r>
        <w:t>•  Prevented unresolved identity discrepancies from reaching onboarding decisions by checking customer documents against account information and updating risk profiles.</w:t>
      </w:r>
    </w:p>
    <w:p>
      <w:pPr>
        <w:spacing w:after="20"/>
        <w:ind w:left="259" w:hanging="187"/>
      </w:pPr>
      <w:r>
        <w:t>•  Put unusual payments and account behavior in front of fraud reviewers by recording the indicators and evidence behind each escalation.</w:t>
      </w:r>
    </w:p>
    <w:p>
      <w:pPr>
        <w:spacing w:after="20"/>
        <w:ind w:left="259" w:hanging="187"/>
      </w:pPr>
      <w:r>
        <w:t>•  Kept exception handoffs usable for the next reviewer by documenting open questions and follow-up in customer records.</w:t>
      </w:r>
    </w:p>
    <w:p>
      <w:pPr>
        <w:pStyle w:val="Section"/>
      </w:pPr>
      <w:r>
        <w:t>ADDITIONAL BANKING EXPERIENCE</w:t>
      </w:r>
    </w:p>
    <w:p>
      <w:pPr>
        <w:pStyle w:val="Role"/>
      </w:pPr>
      <w:r>
        <w:t>Santander Bank  |  Teller and Relationship Banker  |  Hyannis, MA  |  May 2026 – Sep 2026</w:t>
      </w:r>
    </w:p>
    <w:p>
      <w:pPr>
        <w:spacing w:after="20"/>
        <w:ind w:left="259" w:hanging="187"/>
      </w:pPr>
      <w:r>
        <w:t>•  Protected the accuracy of 40+ daily deposits, withdrawals, transfers and payments through customer identity, authorization and cash-control checks.</w:t>
      </w:r>
    </w:p>
    <w:p>
      <w:pPr>
        <w:spacing w:after="20"/>
        <w:ind w:left="259" w:hanging="187"/>
      </w:pPr>
      <w:r>
        <w:t>•  Brought unusual account behavior and cash-related exceptions to branch review by preserving transaction details and escalating concerns under fraud and BSA procedures.</w:t>
      </w:r>
    </w:p>
    <w:p>
      <w:pPr>
        <w:spacing w:after="20"/>
        <w:ind w:left="259" w:hanging="187"/>
      </w:pPr>
      <w:r>
        <w:t>•  Earned 10/10 customer survey ratings while resolving account and digital banking issues within verification and privacy requirements.</w:t>
      </w:r>
    </w:p>
    <w:p>
      <w:pPr>
        <w:pStyle w:val="Section"/>
      </w:pPr>
      <w:r>
        <w:t>EDUCATION</w:t>
      </w:r>
    </w:p>
    <w:p>
      <w:r>
        <w:t>Bachelor of Arts in Contemporary Communication  |  LCC International University, Lithuania  |  2024</w:t>
      </w:r>
    </w:p>
    <w:p>
      <w:pPr>
        <w:pStyle w:val="Section"/>
      </w:pPr>
      <w:r>
        <w:t>CERTIFICATIONS AND TRAINING</w:t>
      </w:r>
    </w:p>
    <w:p>
      <w:r>
        <w:t>Operational Analysis of Suspicious Transaction Reports — Basel Institute on Governance, 2026 • Enhancing Financial Inclusion with a Risk-Based Approach — ACAMS • Foundations in AML and KYC</w:t>
      </w:r>
    </w:p>
    <w:p>
      <w:pPr>
        <w:pStyle w:val="Section"/>
      </w:pPr>
      <w:r>
        <w:t>LANGUAGES AND WORK AUTHORIZATION</w:t>
      </w:r>
    </w:p>
    <w:p>
      <w:r>
        <w:t>Armenian (native) • English (fluent) • Russian (advanced) • Authorized to work in the United States without sponsorship</w:t>
      </w:r>
    </w:p>
    <w:sectPr w:rsidR="00FC693F" w:rsidRPr="0006063C" w:rsidSect="00034616">
      <w:pgSz w:w="12240" w:h="15840"/>
      <w:pgMar w:top="691" w:right="1037" w:bottom="61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keepNext/>
      <w:spacing w:before="0" w:after="60"/>
    </w:pPr>
    <w:rPr>
      <w:rFonts w:ascii="Aptos" w:hAnsi="Aptos"/>
      <w:b/>
      <w:color w:val="000000"/>
      <w:sz w:val="34"/>
    </w:rPr>
  </w:style>
  <w:style w:type="paragraph" w:customStyle="1" w:styleId="Section">
    <w:name w:val="Section"/>
    <w:pPr>
      <w:keepNext/>
      <w:spacing w:before="100" w:after="60"/>
    </w:pPr>
    <w:rPr>
      <w:rFonts w:ascii="Aptos" w:hAnsi="Aptos"/>
      <w:b/>
      <w:color w:val="000000"/>
      <w:sz w:val="18"/>
    </w:rPr>
  </w:style>
  <w:style w:type="paragraph" w:customStyle="1" w:styleId="Role">
    <w:name w:val="Role"/>
    <w:pPr>
      <w:keepNext/>
      <w:spacing w:before="40" w:after="20"/>
    </w:pPr>
    <w:rPr>
      <w:rFonts w:ascii="Aptos" w:hAnsi="Aptos"/>
      <w:b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