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00" w:before="240" w:line="288" w:lineRule="auto"/>
        <w:rPr>
          <w:b w:val="1"/>
          <w:color w:val="333333"/>
          <w:sz w:val="46"/>
          <w:szCs w:val="46"/>
        </w:rPr>
      </w:pPr>
      <w:bookmarkStart w:colFirst="0" w:colLast="0" w:name="_d3fw0lo7ycf2" w:id="0"/>
      <w:bookmarkEnd w:id="0"/>
      <w:r w:rsidDel="00000000" w:rsidR="00000000" w:rsidRPr="00000000">
        <w:rPr>
          <w:b w:val="1"/>
          <w:color w:val="333333"/>
          <w:sz w:val="46"/>
          <w:szCs w:val="46"/>
          <w:rtl w:val="0"/>
        </w:rPr>
        <w:t xml:space="preserve">Safeguarding policy and procedures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Introduction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Safeguarding policy is the rule and regulation that makes rights and responsibilities balanced.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ensures everyone’s safety.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Vulnerability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Without safeguarding, abuses are favourable. So women and children who are more vulnerable will suffer.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Key Principles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is no negotiation with any abuser, and it does harm to anyone.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should be training to make the community.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should be an appropriate recruitment process.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Vulnerable persons should be protected.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Responsibilities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Everyone should respect all rules and regulations.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safeguarding officer is responsible for ensuring safety.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staff should adhere to the code of conduct.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Context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Abuse can be physical, sexual, exploitation, and neglect.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Associated Policies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Every organization’s safeguarding should match with the international laws and regulations. 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