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 diritti</w:t>
      </w:r>
      <w:r>
        <w:t xml:space="preserve"> </w:t>
      </w:r>
      <w:r>
        <w:t xml:space="preserve">fondamentali dell’UE e dall’art. 13 della CEDU. In base alla legge di</w:t>
      </w:r>
      <w:r>
        <w:t xml:space="preserve"> </w:t>
      </w:r>
      <w:r>
        <w:t xml:space="preserve">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</w:t>
      </w:r>
      <w:r>
        <w:t xml:space="preserve"> </w:t>
      </w:r>
      <w:r>
        <w:t xml:space="preserve">ordinarie, quindi notificato all’amministrazione e a tutte le altre</w:t>
      </w:r>
      <w:r>
        <w:t xml:space="preserve"> </w:t>
      </w:r>
      <w:r>
        <w:t xml:space="preserve">parti del giudizio di merito. Il ricorrente deve depositare una copia</w:t>
      </w:r>
      <w:r>
        <w:t xml:space="preserve"> </w:t>
      </w:r>
      <w:r>
        <w:t xml:space="preserve">autentica della sentenza di cui si chiede l’esecuzione, con l’eventuale</w:t>
      </w:r>
      <w:r>
        <w:t xml:space="preserve"> </w:t>
      </w:r>
      <w:r>
        <w:t xml:space="preserve">prova del passaggio in giudicato</w:t>
      </w:r>
      <w:r>
        <w:rPr>
          <w:rStyle w:val="FootnoteReference"/>
        </w:rPr>
        <w:footnoteReference w:id="32"/>
      </w:r>
      <w:r>
        <w:t xml:space="preserve">. In</w:t>
      </w:r>
      <w:r>
        <w:t xml:space="preserve"> </w:t>
      </w:r>
      <w:r>
        <w:t xml:space="preserve">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 In generale, la stessa giurisprudenza che ha orientato</w:t>
      </w:r>
      <w:r>
        <w:t xml:space="preserve"> </w:t>
      </w:r>
      <w:r>
        <w:t xml:space="preserve">anche la redazione del codice del processo amministrativo equipara la</w:t>
      </w:r>
      <w:r>
        <w:t xml:space="preserve"> </w:t>
      </w:r>
      <w:r>
        <w:t xml:space="preserve">sentenza esecutiva alla sentenza passata in giudicato ai fini</w:t>
      </w:r>
      <w:r>
        <w:t xml:space="preserve"> </w:t>
      </w:r>
      <w:r>
        <w:t xml:space="preserve">dell’ammissibilità del giudizio di ottemperanza, ma precisa che il</w:t>
      </w:r>
      <w:r>
        <w:t xml:space="preserve"> </w:t>
      </w:r>
      <w:r>
        <w:t xml:space="preserve">giudice dell’ottemperanza, se la sentenza non sia passata in giudicato,</w:t>
      </w:r>
      <w:r>
        <w:t xml:space="preserve"> </w:t>
      </w:r>
      <w:r>
        <w:t xml:space="preserve">ne determina le modalità esecutive</w:t>
      </w:r>
      <w:r>
        <w:rPr>
          <w:rStyle w:val="FootnoteReference"/>
        </w:rPr>
        <w:footnoteReference w:id="35"/>
      </w:r>
      <w:r>
        <w:t xml:space="preserve">,</w:t>
      </w:r>
      <w:r>
        <w:t xml:space="preserve"> </w:t>
      </w:r>
      <w:r>
        <w:t xml:space="preserve">motivo per cui sembra riconosciuta la necessità che l’esecuzione di tale</w:t>
      </w:r>
      <w:r>
        <w:t xml:space="preserve"> </w:t>
      </w:r>
      <w:r>
        <w:t xml:space="preserve">sentenza non pregiudichi le ragioni di un eventuale appello. In base</w:t>
      </w:r>
      <w:r>
        <w:t xml:space="preserve"> </w:t>
      </w:r>
      <w:r>
        <w:t xml:space="preserve">all’art. 114, 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</w:t>
      </w:r>
      <w:r>
        <w:t xml:space="preserve"> </w:t>
      </w:r>
      <w:r>
        <w:t xml:space="preserve">l’ottemperanza è esperibile anche per l’esecuzione delle sentenze</w:t>
      </w:r>
      <w:r>
        <w:t xml:space="preserve"> </w:t>
      </w:r>
      <w:r>
        <w:t xml:space="preserve">passate in giudicato del giudice ordinario e dei giudici speciali avanti</w:t>
      </w:r>
      <w:r>
        <w:t xml:space="preserve"> </w:t>
      </w:r>
      <w:r>
        <w:t xml:space="preserve">ai quali non sia previsto un giudizio di ottemperanza, nonché per</w:t>
      </w:r>
      <w:r>
        <w:t xml:space="preserve"> </w:t>
      </w:r>
      <w:r>
        <w:t xml:space="preserve">l’esecuzione dei lodi arbitrali esecutivi divenuti inoppugnabili. In</w:t>
      </w:r>
      <w:r>
        <w:t xml:space="preserve"> </w:t>
      </w:r>
      <w:r>
        <w:t xml:space="preserve">questi casi però il giudizio di ottemperanza si caratterizza sul piano</w:t>
      </w:r>
      <w:r>
        <w:t xml:space="preserve"> </w:t>
      </w:r>
      <w:r>
        <w:t xml:space="preserve">soggettivo come strumento di esecuzione specifica nei confronti di</w:t>
      </w:r>
      <w:r>
        <w:t xml:space="preserve"> </w:t>
      </w:r>
      <w:r>
        <w:t xml:space="preserve">un’amministrazione, 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 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</w:t>
      </w:r>
      <w:r>
        <w:rPr>
          <w:iCs/>
          <w:i/>
        </w:rPr>
        <w:t xml:space="preserve"> </w:t>
      </w:r>
      <w:r>
        <w:rPr>
          <w:iCs/>
          <w:i/>
        </w:rPr>
        <w:t xml:space="preserve">delegato dal giudice amministrativo, ha il potere di emanare i necessari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amministrativi anche in deroga alle vigenti competenze.</w:t>
      </w:r>
      <w:r>
        <w:rPr>
          <w:iCs/>
          <w:i/>
        </w:rPr>
        <w:t xml:space="preserve"> </w:t>
      </w:r>
      <w:r>
        <w:rPr>
          <w:iCs/>
          <w:i/>
        </w:rPr>
        <w:t xml:space="preserve">Allo stesso è altresì demandato l’onere di porre in essere ogni attività</w:t>
      </w:r>
      <w:r>
        <w:rPr>
          <w:iCs/>
          <w:i/>
        </w:rPr>
        <w:t xml:space="preserve"> </w:t>
      </w:r>
      <w:r>
        <w:rPr>
          <w:iCs/>
          <w:i/>
        </w:rPr>
        <w:t xml:space="preserve">idonea a dare esecuzione alla 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 Una ormai risalente pronuncia della Corte</w:t>
      </w:r>
      <w:r>
        <w:t xml:space="preserve"> </w:t>
      </w:r>
      <w:r>
        <w:t xml:space="preserve">costituzionale configura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</w:t>
      </w:r>
      <w:r>
        <w:t xml:space="preserve"> </w:t>
      </w:r>
      <w:r>
        <w:t xml:space="preserve">del giudice e riconduce i suoi atti all’esercizio della giurisdizione</w:t>
      </w:r>
      <w:r>
        <w:t xml:space="preserve"> </w:t>
      </w:r>
      <w:r>
        <w:t xml:space="preserve">esecutiva del giudice dell’ottemperanza</w:t>
      </w:r>
      <w:r>
        <w:rPr>
          <w:rStyle w:val="FootnoteReference"/>
        </w:rPr>
        <w:footnoteReference w:id="41"/>
      </w:r>
      <w:r>
        <w:t xml:space="preserve">. Autorevole</w:t>
      </w:r>
      <w:r>
        <w:t xml:space="preserve"> </w:t>
      </w:r>
      <w:r>
        <w:t xml:space="preserve">dottrina ha sostanzialmente qualificato l’attività commissariale come</w:t>
      </w:r>
      <w:r>
        <w:t xml:space="preserve"> </w:t>
      </w:r>
      <w:r>
        <w:rPr>
          <w:iCs/>
          <w:i/>
        </w:rPr>
        <w:t xml:space="preserve">“proiezione nel mondo esterno di un comando del giudice e,</w:t>
      </w:r>
      <w:r>
        <w:rPr>
          <w:iCs/>
          <w:i/>
        </w:rPr>
        <w:t xml:space="preserve"> </w:t>
      </w:r>
      <w:r>
        <w:rPr>
          <w:iCs/>
          <w:i/>
        </w:rPr>
        <w:t xml:space="preserve">quindi, della traduzione nel concreto della attribuzione della</w:t>
      </w:r>
      <w:r>
        <w:t xml:space="preserve"> </w:t>
      </w:r>
      <w:r>
        <w:t xml:space="preserve">potestas</w:t>
      </w:r>
      <w:r>
        <w:t xml:space="preserve"> </w:t>
      </w:r>
      <w:r>
        <w:t xml:space="preserve">decidendi</w:t>
      </w:r>
      <w:r>
        <w:t xml:space="preserve"> </w:t>
      </w:r>
      <w:r>
        <w:rPr>
          <w:iCs/>
          <w:i/>
        </w:rPr>
        <w:t xml:space="preserve">che non sempre ha o può avere contenuti rigidamente</w:t>
      </w:r>
      <w:r>
        <w:rPr>
          <w:iCs/>
          <w:i/>
        </w:rPr>
        <w:t xml:space="preserve"> </w:t>
      </w:r>
      <w:r>
        <w:rPr>
          <w:iCs/>
          <w:i/>
        </w:rPr>
        <w:t xml:space="preserve">predeterminati</w:t>
      </w:r>
      <w:r>
        <w:t xml:space="preserve">, tali da consentire al giudice di portarli direttamente</w:t>
      </w:r>
      <w:r>
        <w:t xml:space="preserve"> </w:t>
      </w:r>
      <w:r>
        <w:t xml:space="preserve">ad attuazione</w:t>
      </w:r>
      <w:r>
        <w:rPr>
          <w:rStyle w:val="FootnoteReference"/>
        </w:rPr>
        <w:footnoteReference w:id="42"/>
      </w:r>
      <w:r>
        <w:t xml:space="preserve">. L’ampiezza dei</w:t>
      </w:r>
      <w:r>
        <w:t xml:space="preserve"> </w:t>
      </w:r>
      <w:r>
        <w:t xml:space="preserve">poteri commissariali dipenderà dal contenuto del giudicato inadempiuto:</w:t>
      </w:r>
      <w:r>
        <w:t xml:space="preserve"> </w:t>
      </w:r>
      <w:r>
        <w:t xml:space="preserve">essi potranno estrinsecarsi, a seconda delle situazioni dedotte in</w:t>
      </w:r>
      <w:r>
        <w:t xml:space="preserve"> </w:t>
      </w:r>
      <w:r>
        <w:t xml:space="preserve">giudizio, in attività sia vincolata, come ad esempio la restituzione di</w:t>
      </w:r>
      <w:r>
        <w:t xml:space="preserve"> </w:t>
      </w:r>
      <w:r>
        <w:t xml:space="preserve">beni illegittimamente espropriati, sia discrezionale, quindi comportante</w:t>
      </w:r>
      <w:r>
        <w:t xml:space="preserve"> </w:t>
      </w:r>
      <w:r>
        <w:t xml:space="preserve">un potere di scelta</w:t>
      </w:r>
      <w:r>
        <w:rPr>
          <w:rStyle w:val="FootnoteReference"/>
        </w:rPr>
        <w:footnoteReference w:id="43"/>
      </w:r>
      <w:r>
        <w:t xml:space="preserve">. Una volta</w:t>
      </w:r>
      <w:r>
        <w:t xml:space="preserve"> </w:t>
      </w:r>
      <w:r>
        <w:t xml:space="preserve">nominato il commissario, il giudice mantiene comunque un incisivo potere</w:t>
      </w:r>
      <w:r>
        <w:t xml:space="preserve"> </w:t>
      </w:r>
      <w:r>
        <w:t xml:space="preserve">di vigilanza sul suo operato, nonché il potere di risolvere eventuali</w:t>
      </w:r>
      <w:r>
        <w:t xml:space="preserve"> </w:t>
      </w:r>
      <w:r>
        <w:t xml:space="preserve">contestazioni, dal momento che le determinazioni del commissario,</w:t>
      </w:r>
      <w:r>
        <w:t xml:space="preserve"> </w:t>
      </w:r>
      <w:r>
        <w:t xml:space="preserve">laddove esorbitanti dalle specifiche indicazioni del giudice, possono</w:t>
      </w:r>
      <w:r>
        <w:t xml:space="preserve"> </w:t>
      </w:r>
      <w:r>
        <w:t xml:space="preserve">essere oggetto di un ricorso dinanzi allo stesso giudice, esperibile</w:t>
      </w:r>
      <w:r>
        <w:t xml:space="preserve"> </w:t>
      </w:r>
      <w:r>
        <w:t xml:space="preserve">anche dall’amministrazione sostituita</w:t>
      </w:r>
      <w:r>
        <w:rPr>
          <w:rStyle w:val="FootnoteReference"/>
        </w:rPr>
        <w:footnoteReference w:id="44"/>
      </w:r>
      <w:r>
        <w:t xml:space="preserve">. Da</w:t>
      </w:r>
      <w:r>
        <w:t xml:space="preserve"> </w:t>
      </w:r>
      <w:r>
        <w:t xml:space="preserve">tempo, sia in dottrina che in giurisprudenza, si dibatte sulla questione</w:t>
      </w:r>
      <w:r>
        <w:t xml:space="preserve"> </w:t>
      </w:r>
      <w:r>
        <w:t xml:space="preserve">riguardante la misura del potere di adempiere che conserverebbe</w:t>
      </w:r>
      <w:r>
        <w:t xml:space="preserve"> </w:t>
      </w:r>
      <w:r>
        <w:t xml:space="preserve">l’amministrazione, una volta che sia stato nominato il commissario o sia</w:t>
      </w:r>
      <w:r>
        <w:t xml:space="preserve"> </w:t>
      </w:r>
      <w:r>
        <w:t xml:space="preserve">scaduto il nuovo termine imposto alla stessa amministrazione. La</w:t>
      </w:r>
      <w:r>
        <w:t xml:space="preserve"> </w:t>
      </w:r>
      <w:r>
        <w:t xml:space="preserve">giurisprudenza ritiene, per lo più, che l’amministrazione verrebbe</w:t>
      </w:r>
      <w:r>
        <w:t xml:space="preserve"> </w:t>
      </w:r>
      <w:r>
        <w:t xml:space="preserve">privata del suo potere nel momento in cui viene assunta direttamente dal</w:t>
      </w:r>
      <w:r>
        <w:t xml:space="preserve"> </w:t>
      </w:r>
      <w:r>
        <w:t xml:space="preserve">giudice la decisione contenente il provvedimento concreto reso in</w:t>
      </w:r>
      <w:r>
        <w:t xml:space="preserve"> </w:t>
      </w:r>
      <w:r>
        <w:t xml:space="preserve">ottemperanza al giudicato, ovvero in quello in cui viene nominato il</w:t>
      </w:r>
      <w:r>
        <w:t xml:space="preserve"> </w:t>
      </w:r>
      <w:r>
        <w:t xml:space="preserve">commissario</w:t>
      </w:r>
      <w:r>
        <w:rPr>
          <w:rStyle w:val="FootnoteReference"/>
        </w:rPr>
        <w:footnoteReference w:id="45"/>
      </w:r>
      <w:r>
        <w:t xml:space="preserve">. Ove invece venga fissato all’amministrazione un</w:t>
      </w:r>
      <w:r>
        <w:t xml:space="preserve"> </w:t>
      </w:r>
      <w:r>
        <w:t xml:space="preserve">termine per adempiere, questo assume carattere perentorio, risultando</w:t>
      </w:r>
      <w:r>
        <w:t xml:space="preserve"> </w:t>
      </w:r>
      <w:r>
        <w:t xml:space="preserve">evidente nel caso in cui la prefissione del termine sia accompagnata</w:t>
      </w:r>
      <w:r>
        <w:t xml:space="preserve"> </w:t>
      </w:r>
      <w:r>
        <w:t xml:space="preserve">dalla nomina del commissario, poiché, una volta scaduto il termine, il</w:t>
      </w:r>
      <w:r>
        <w:t xml:space="preserve"> </w:t>
      </w:r>
      <w:r>
        <w:t xml:space="preserve">potere provvedimentale si trasferirebbe in automatico a tale soggetto,</w:t>
      </w:r>
      <w:r>
        <w:t xml:space="preserve"> </w:t>
      </w:r>
      <w:r>
        <w:t xml:space="preserve">ancorché il contenuto degli atti, eventualmente adottati</w:t>
      </w:r>
      <w:r>
        <w:t xml:space="preserve"> </w:t>
      </w:r>
      <w:r>
        <w:t xml:space="preserve">dall’amministrazione dopo tale scadenza e sadisfattivi del giudicato,</w:t>
      </w:r>
      <w:r>
        <w:t xml:space="preserve"> </w:t>
      </w:r>
      <w:r>
        <w:t xml:space="preserve">potrebbe essere confermato dal giudice dell’ottemperanza, il quale in</w:t>
      </w:r>
      <w:r>
        <w:t xml:space="preserve"> </w:t>
      </w:r>
      <w:r>
        <w:t xml:space="preserve">tal modo avvalorerebbe una legittimazione a provvedere tardivamente in</w:t>
      </w:r>
      <w:r>
        <w:t xml:space="preserve"> </w:t>
      </w:r>
      <w:r>
        <w:t xml:space="preserve">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 tenuta distinta</w:t>
      </w:r>
      <w:r>
        <w:t xml:space="preserve"> </w:t>
      </w:r>
      <w:r>
        <w:t xml:space="preserve">quella in cui, già al momento della pronuncia di annullamento, risulta</w:t>
      </w:r>
      <w:r>
        <w:t xml:space="preserve"> </w:t>
      </w:r>
      <w:r>
        <w:t xml:space="preserve">chiaramente che non è più utile per il ricorrente la rinnovazione del</w:t>
      </w:r>
      <w:r>
        <w:t xml:space="preserve"> </w:t>
      </w:r>
      <w:r>
        <w:t xml:space="preserve">potere conformemente alla regola concreta dedotta in sentenza, potendo</w:t>
      </w:r>
      <w:r>
        <w:t xml:space="preserve"> </w:t>
      </w:r>
      <w:r>
        <w:t xml:space="preserve">il giudice amministrativo in tal caso accogliere immediatamente la</w:t>
      </w:r>
      <w:r>
        <w:t xml:space="preserve"> </w:t>
      </w:r>
      <w:r>
        <w:t xml:space="preserve">domanda di risarcimento del danno per equivalente. In molti altri casi,</w:t>
      </w:r>
      <w:r>
        <w:t xml:space="preserve"> </w:t>
      </w:r>
      <w:r>
        <w:t xml:space="preserve">invece, il giudice della cognizione non è in grado di prevedere già</w:t>
      </w:r>
      <w:r>
        <w:t xml:space="preserve"> </w:t>
      </w:r>
      <w:r>
        <w:t xml:space="preserve">all’atto dell’annullamento se ed in quale misura l’ottemperanza potrà</w:t>
      </w:r>
      <w:r>
        <w:t xml:space="preserve"> </w:t>
      </w:r>
      <w:r>
        <w:t xml:space="preserve">effettivamente ripristinare la situazione soggettiva lesa. In</w:t>
      </w:r>
      <w:r>
        <w:t xml:space="preserve"> </w:t>
      </w:r>
      <w:r>
        <w:t xml:space="preserve">particolare, in tutti quei casi in cui la domanda del privato è diretta</w:t>
      </w:r>
      <w:r>
        <w:t xml:space="preserve"> </w:t>
      </w:r>
      <w:r>
        <w:t xml:space="preserve">a conseguire il bene della vita, molto spesso la possibilità e i limiti</w:t>
      </w:r>
      <w:r>
        <w:t xml:space="preserve"> </w:t>
      </w:r>
      <w:r>
        <w:t xml:space="preserve">entro cui attribuire il bene dipendono dal momento in cui</w:t>
      </w:r>
      <w:r>
        <w:t xml:space="preserve"> </w:t>
      </w:r>
      <w:r>
        <w:t xml:space="preserve">l’amministrazione esegue il giudicato. Ad esempio, in materia di</w:t>
      </w:r>
      <w:r>
        <w:t xml:space="preserve"> </w:t>
      </w:r>
      <w:r>
        <w:t xml:space="preserve">appalti, se l’annullamento dell’aggiudicazione in sede giurisdizionale</w:t>
      </w:r>
      <w:r>
        <w:t xml:space="preserve"> </w:t>
      </w:r>
      <w:r>
        <w:t xml:space="preserve">interviene nell’immediatezza dei fatti, consente al ricorrente di</w:t>
      </w:r>
      <w:r>
        <w:t xml:space="preserve"> </w:t>
      </w:r>
      <w:r>
        <w:t xml:space="preserve">stipulare il contratto con l’amministrazione; al contrario, se</w:t>
      </w:r>
      <w:r>
        <w:t xml:space="preserve"> </w:t>
      </w:r>
      <w:r>
        <w:t xml:space="preserve">interviene quando il contratto con l’originale aggiudicatario è già</w:t>
      </w:r>
      <w:r>
        <w:t xml:space="preserve"> </w:t>
      </w:r>
      <w:r>
        <w:t xml:space="preserve">stato non solo stipulato, ma anche parzialmente eseguito, l’esecuzione</w:t>
      </w:r>
      <w:r>
        <w:t xml:space="preserve"> </w:t>
      </w:r>
      <w:r>
        <w:t xml:space="preserve">della pronuncia e quindi l’attribuzione del bene della vita, cioè</w:t>
      </w:r>
      <w:r>
        <w:t xml:space="preserve"> </w:t>
      </w:r>
      <w:r>
        <w:t xml:space="preserve">l’appalto, è possibile solo parzialmente per la parte residua non</w:t>
      </w:r>
      <w:r>
        <w:t xml:space="preserve"> </w:t>
      </w:r>
      <w:r>
        <w:t xml:space="preserve">eseguita, mentre per la prima parte la tutela può avvenire solo</w:t>
      </w:r>
      <w:r>
        <w:t xml:space="preserve"> </w:t>
      </w:r>
      <w:r>
        <w:t xml:space="preserve">attraverso il risarcimento, sempre per equivalente. Spesso, quindi, solo</w:t>
      </w:r>
      <w:r>
        <w:t xml:space="preserve"> </w:t>
      </w:r>
      <w:r>
        <w:t xml:space="preserve">all’esito dell’ottemperanza di un giudicato di annullamento è possibile</w:t>
      </w:r>
      <w:r>
        <w:t xml:space="preserve"> </w:t>
      </w:r>
      <w:r>
        <w:t xml:space="preserve">accertare e quantificare il danno risarcibile per equivalente. Laddove</w:t>
      </w:r>
      <w:r>
        <w:t xml:space="preserve"> </w:t>
      </w:r>
      <w:r>
        <w:t xml:space="preserve">non risulta più satisfattiva la pronuncia di annullamento, supplisce la</w:t>
      </w:r>
      <w:r>
        <w:t xml:space="preserve"> </w:t>
      </w:r>
      <w:r>
        <w:t xml:space="preserve">tutela risarcitoria e il momento in cui emerge con chiarezza lo spazio</w:t>
      </w:r>
      <w:r>
        <w:t xml:space="preserve"> </w:t>
      </w:r>
      <w:r>
        <w:t xml:space="preserve">per l’esecuzione del giudicato e per il risarcimento del danno è proprio</w:t>
      </w:r>
      <w:r>
        <w:t xml:space="preserve"> </w:t>
      </w:r>
      <w:r>
        <w:t xml:space="preserve">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</w:t>
      </w:r>
      <w:r>
        <w:t xml:space="preserve"> </w:t>
      </w:r>
      <w:r>
        <w:t xml:space="preserve">nella seconda la pretesa risarcitoria sarà duplice e riguarderà un danno</w:t>
      </w:r>
      <w:r>
        <w:t xml:space="preserve"> </w:t>
      </w:r>
      <w:r>
        <w:t xml:space="preserve">scomponibile in una prima voce, relativa al ritardo antecedente alla</w:t>
      </w:r>
      <w:r>
        <w:t xml:space="preserve"> </w:t>
      </w:r>
      <w:r>
        <w:t xml:space="preserve">formazione del giudicato e commisurato al pregiudizio patito dal</w:t>
      </w:r>
      <w:r>
        <w:t xml:space="preserve"> </w:t>
      </w:r>
      <w:r>
        <w:t xml:space="preserve">ricorrente, qualora l’amministrazione si fosse spontaneamente conformata</w:t>
      </w:r>
      <w:r>
        <w:t xml:space="preserve"> </w:t>
      </w:r>
      <w:r>
        <w:t xml:space="preserve">al giudicato, e una seconda voce di danno, propriamente da inadempimento</w:t>
      </w:r>
      <w:r>
        <w:t xml:space="preserve"> </w:t>
      </w:r>
      <w:r>
        <w:t xml:space="preserve">dell’obbligo conformativo scaturente dalla pronuncia del giudice</w:t>
      </w:r>
      <w:r>
        <w:t xml:space="preserve"> </w:t>
      </w:r>
      <w:r>
        <w:t xml:space="preserve">amministrativo, volta a coprire il segmento temporale intercorrente fra</w:t>
      </w:r>
      <w:r>
        <w:t xml:space="preserve"> </w:t>
      </w:r>
      <w:r>
        <w:t xml:space="preserve">il giudicato e la sua concreta attuazione. In entrambe le ipotesi, il</w:t>
      </w:r>
      <w:r>
        <w:t xml:space="preserve"> </w:t>
      </w:r>
      <w:r>
        <w:t xml:space="preserve">danno c.d. da ritardo potrà essere compiutamente apprezzato soltanto a</w:t>
      </w:r>
      <w:r>
        <w:t xml:space="preserve"> </w:t>
      </w:r>
      <w:r>
        <w:t xml:space="preserve">posteriori, ovvero una volta che il privato abbia effettivamente</w:t>
      </w:r>
      <w:r>
        <w:t xml:space="preserve"> </w:t>
      </w:r>
      <w:r>
        <w:t xml:space="preserve">ottenuto il bene della vita cui aspirava con l’istanza a suo tempo</w:t>
      </w:r>
      <w:r>
        <w:t xml:space="preserve"> </w:t>
      </w:r>
      <w:r>
        <w:t xml:space="preserve">illegittimamente rigettata dall’amministrazione, a meno che non si</w:t>
      </w:r>
      <w:r>
        <w:t xml:space="preserve"> </w:t>
      </w:r>
      <w:r>
        <w:t xml:space="preserve">tratti di potere amministrativo vincolato, per cui la spettanza del bene</w:t>
      </w:r>
      <w:r>
        <w:t xml:space="preserve"> </w:t>
      </w:r>
      <w:r>
        <w:t xml:space="preserve">si cristallizza già in esito al giudizio di cognizione</w:t>
      </w:r>
      <w:r>
        <w:rPr>
          <w:rStyle w:val="FootnoteReference"/>
        </w:rPr>
        <w:footnoteReference w:id="51"/>
      </w:r>
      <w:r>
        <w:t xml:space="preserve">. In giurisprudenza</w:t>
      </w:r>
      <w:r>
        <w:t xml:space="preserve"> </w:t>
      </w:r>
      <w:r>
        <w:t xml:space="preserve">ricorre il principio secondo cui, essendo l’oggetto del giudizio di</w:t>
      </w:r>
      <w:r>
        <w:t xml:space="preserve"> </w:t>
      </w:r>
      <w:r>
        <w:t xml:space="preserve">ottemperanza costituito dalla verifica se l’amministrazione abbia o meno</w:t>
      </w:r>
      <w:r>
        <w:t xml:space="preserve"> </w:t>
      </w:r>
      <w:r>
        <w:t xml:space="preserve">adempiuto all’obbligo nascente dal giudicato, ovvero abbia o meno</w:t>
      </w:r>
      <w:r>
        <w:t xml:space="preserve"> </w:t>
      </w:r>
      <w:r>
        <w:t xml:space="preserve">attribuito all’interessato quell’utilità concreta che la sentenza ha</w:t>
      </w:r>
      <w:r>
        <w:t xml:space="preserve"> </w:t>
      </w:r>
      <w:r>
        <w:t xml:space="preserve">riconosciuto come dovuta, a prescindere dal fatto che residuino o meno</w:t>
      </w:r>
      <w:r>
        <w:t xml:space="preserve"> </w:t>
      </w:r>
      <w:r>
        <w:t xml:space="preserve">in capo all’amministrazione stessa poteri discrezionali, l’esecuzione</w:t>
      </w:r>
      <w:r>
        <w:t xml:space="preserve"> </w:t>
      </w:r>
      <w:r>
        <w:t xml:space="preserve">deve essere esatta, al pari di quanto avviene nell’obbligazione civile,</w:t>
      </w:r>
      <w:r>
        <w:t xml:space="preserve"> </w:t>
      </w:r>
      <w:r>
        <w:t xml:space="preserve">il cui inesatto adempimento viene sanzionato con la condanna al</w:t>
      </w:r>
      <w:r>
        <w:t xml:space="preserve"> </w:t>
      </w:r>
      <w:r>
        <w:t xml:space="preserve">risarcimento del danno</w:t>
      </w:r>
      <w:r>
        <w:rPr>
          <w:rStyle w:val="FootnoteReference"/>
        </w:rPr>
        <w:footnoteReference w:id="52"/>
      </w:r>
      <w:r>
        <w:t xml:space="preserve">. L’utilità concreta potrà</w:t>
      </w:r>
      <w:r>
        <w:t xml:space="preserve"> </w:t>
      </w:r>
      <w:r>
        <w:t xml:space="preserve">consistere</w:t>
      </w:r>
      <w:r>
        <w:t xml:space="preserve"> </w:t>
      </w:r>
      <w:r>
        <w:rPr>
          <w:iCs/>
          <w:i/>
        </w:rPr>
        <w:t xml:space="preserve">” nel diritto alla restitutio in integrum sotto forma</w:t>
      </w:r>
      <w:r>
        <w:rPr>
          <w:iCs/>
          <w:i/>
        </w:rPr>
        <w:t xml:space="preserve"> </w:t>
      </w:r>
      <w:r>
        <w:rPr>
          <w:iCs/>
          <w:i/>
        </w:rPr>
        <w:t xml:space="preserve">di pretesa alla restituzione del bene in caso di annullamento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ablatori, sotto forma di annullamento del contratto</w:t>
      </w:r>
      <w:r>
        <w:rPr>
          <w:iCs/>
          <w:i/>
        </w:rPr>
        <w:t xml:space="preserve"> </w:t>
      </w:r>
      <w:r>
        <w:rPr>
          <w:iCs/>
          <w:i/>
        </w:rPr>
        <w:t xml:space="preserve">stipulato in seguito ad aggiudicazione illegittima, nel caso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 dell’accertamento e</w:t>
      </w:r>
      <w:r>
        <w:t xml:space="preserve"> </w:t>
      </w:r>
      <w:r>
        <w:t xml:space="preserve">della prova, se nel giudizio avente ad oggetto il pregiudizio</w:t>
      </w:r>
      <w:r>
        <w:t xml:space="preserve"> </w:t>
      </w:r>
      <w:r>
        <w:t xml:space="preserve">conseguente al provvedimento amministrativo illegittimo il privato deve</w:t>
      </w:r>
      <w:r>
        <w:t xml:space="preserve"> </w:t>
      </w:r>
      <w:r>
        <w:t xml:space="preserve">provare tutti gli elementi costitutivi del fatto illecito, in quello</w:t>
      </w:r>
      <w:r>
        <w:t xml:space="preserve"> </w:t>
      </w:r>
      <w:r>
        <w:t xml:space="preserve">avente ad oggetto il danno da violazione del giudicato opera, invece, il</w:t>
      </w:r>
      <w:r>
        <w:t xml:space="preserve"> </w:t>
      </w:r>
      <w:r>
        <w:t xml:space="preserve">principio dell’inversione dell’onere della prova di cui all’art. 1218</w:t>
      </w:r>
      <w:r>
        <w:t xml:space="preserve"> </w:t>
      </w:r>
      <w:r>
        <w:t xml:space="preserve">c.c. nella misura in cui viene posta a carico del debitore la prova che</w:t>
      </w:r>
      <w:r>
        <w:t xml:space="preserve"> </w:t>
      </w:r>
      <w:r>
        <w:t xml:space="preserve">l’inadempimento è stato determinato da impossibilità della prestazione</w:t>
      </w:r>
      <w:r>
        <w:t xml:space="preserve"> </w:t>
      </w:r>
      <w:r>
        <w:t xml:space="preserve">derivante da causa non imputabile. Ne consegue che l’interessato deve</w:t>
      </w:r>
      <w:r>
        <w:t xml:space="preserve"> </w:t>
      </w:r>
      <w:r>
        <w:t xml:space="preserve">dimostrare esclusivamente il suo diritto e la sussistenza di un</w:t>
      </w:r>
      <w:r>
        <w:t xml:space="preserve"> </w:t>
      </w:r>
      <w:r>
        <w:t xml:space="preserve">giudicato di accoglimento, mentre spetterà all’amministrazione la prova</w:t>
      </w:r>
      <w:r>
        <w:t xml:space="preserve"> </w:t>
      </w:r>
      <w:r>
        <w:t xml:space="preserve">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</w:t>
      </w:r>
      <w:r>
        <w:t xml:space="preserve"> </w:t>
      </w:r>
      <w:r>
        <w:t xml:space="preserve">amministrativo sono state introdotte due distinte azioni: una di</w:t>
      </w:r>
      <w:r>
        <w:t xml:space="preserve"> </w:t>
      </w:r>
      <w:r>
        <w:t xml:space="preserve">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p>
      <w:pPr>
        <w:pStyle w:val="FirstParagraph"/>
      </w:pPr>
      <w:r>
        <w:t xml:space="preserve">…</w:t>
      </w:r>
    </w:p>
    <w:bookmarkStart w:id="87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87"/>
    <w:p>
      <w:pPr>
        <w:pStyle w:val="FirstParagraph"/>
      </w:pPr>
      <w:r>
        <w:t xml:space="preserve">…</w:t>
      </w:r>
    </w:p>
    <w:bookmarkStart w:id="88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88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89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89"/>
    <w:bookmarkStart w:id="90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90"/>
    <w:bookmarkStart w:id="91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91"/>
    <w:bookmarkStart w:id="92" w:name="appendice-1-extra-a"/>
    <w:p>
      <w:pPr>
        <w:pStyle w:val="Titolo1"/>
      </w:pPr>
      <w:r>
        <w:t xml:space="preserve">Appendice 1: Extra-A</w:t>
      </w:r>
    </w:p>
    <w:bookmarkEnd w:id="92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93" w:name="riferimenti"/>
    <w:p>
      <w:pPr>
        <w:pStyle w:val="Titolo1"/>
      </w:pPr>
      <w:r>
        <w:t xml:space="preserve">Riferimenti</w:t>
      </w:r>
    </w:p>
    <w:bookmarkEnd w:id="93"/>
    <w:bookmarkStart w:id="94" w:name="refs"/>
    <w:bookmarkEnd w:id="94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95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</w:t>
      </w:r>
      <w:r>
        <w:t xml:space="preserve"> </w:t>
      </w:r>
      <w:r>
        <w:t xml:space="preserve">113 Cost:</w:t>
      </w:r>
      <w:r>
        <w:t xml:space="preserve"> </w:t>
      </w:r>
      <w:r>
        <w:t xml:space="preserve">“</w:t>
      </w:r>
      <w:r>
        <w:t xml:space="preserve">Contro gli atti della pubblica amministrazione è sempre</w:t>
      </w:r>
      <w:r>
        <w:t xml:space="preserve"> </w:t>
      </w:r>
      <w:r>
        <w:t xml:space="preserve">ammessa la tutela giurisdizionale dei diritti e degli interessi</w:t>
      </w:r>
      <w:r>
        <w:t xml:space="preserve"> </w:t>
      </w:r>
      <w:r>
        <w:t xml:space="preserve">legittimi dinanzi agli organi di giurisdizione ordinaria e</w:t>
      </w:r>
      <w:r>
        <w:t xml:space="preserve"> </w:t>
      </w:r>
      <w:r>
        <w:t xml:space="preserve">amministrativa</w:t>
      </w:r>
      <w:r>
        <w:t xml:space="preserve">”</w:t>
      </w:r>
      <w:r>
        <w:t xml:space="preserve">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L. 2248 del 1865, art. 4, c. 2:</w:t>
      </w:r>
      <w:r>
        <w:t xml:space="preserve"> </w:t>
      </w:r>
      <w:r>
        <w:t xml:space="preserve">“</w:t>
      </w:r>
      <w:r>
        <w:t xml:space="preserve">L’atto</w:t>
      </w:r>
      <w:r>
        <w:t xml:space="preserve"> </w:t>
      </w:r>
      <w:r>
        <w:t xml:space="preserve">amministrativo non potrà essere rivocato o modificato se non sovra</w:t>
      </w:r>
      <w:r>
        <w:t xml:space="preserve"> </w:t>
      </w:r>
      <w:r>
        <w:t xml:space="preserve">ricorso alle competenti Autorità amministrative, le quali si</w:t>
      </w:r>
      <w:r>
        <w:t xml:space="preserve"> </w:t>
      </w:r>
      <w:r>
        <w:t xml:space="preserve">conformeranno al giudicato dei Tribunali in quanto riguarda il caso</w:t>
      </w:r>
      <w:r>
        <w:t xml:space="preserve"> </w:t>
      </w:r>
      <w:r>
        <w:t xml:space="preserve">deciso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1, c.p.a.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NIGRO,</w:t>
      </w:r>
      <w:r>
        <w:t xml:space="preserve"> </w:t>
      </w:r>
      <w:r>
        <w:rPr>
          <w:iCs/>
          <w:i/>
        </w:rPr>
        <w:t xml:space="preserve">Giustizia amministrativa,</w:t>
      </w:r>
      <w:r>
        <w:rPr>
          <w:iCs/>
          <w:i/>
        </w:rPr>
        <w:t xml:space="preserve"> </w:t>
      </w:r>
      <w:r>
        <w:rPr>
          <w:iCs/>
          <w:i/>
        </w:rPr>
        <w:t xml:space="preserve">332,333.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Corte Cost., ord. 10 dicembre 1998, n. 406, 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2000,</w:t>
      </w:r>
      <w:r>
        <w:t xml:space="preserve"> </w:t>
      </w:r>
      <w:r>
        <w:t xml:space="preserve">751.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2, c.p.a.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113 c.p.a.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IV, 9 ottobre 2002,</w:t>
      </w:r>
      <w:r>
        <w:t xml:space="preserve"> </w:t>
      </w:r>
      <w:r>
        <w:t xml:space="preserve">n. 5352.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4, lett. c.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10 aprile 1998, n. 565,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1998, 1021:</w:t>
      </w:r>
      <w:r>
        <w:t xml:space="preserve"> </w:t>
      </w:r>
      <w:r>
        <w:rPr>
          <w:iCs/>
          <w:i/>
        </w:rPr>
        <w:t xml:space="preserve">Il ricorso per l’ottemperanza è</w:t>
      </w:r>
      <w:r>
        <w:rPr>
          <w:iCs/>
          <w:i/>
        </w:rPr>
        <w:t xml:space="preserve"> </w:t>
      </w:r>
      <w:r>
        <w:rPr>
          <w:iCs/>
          <w:i/>
        </w:rPr>
        <w:t xml:space="preserve">ammissibile non solo quando l’amministrazione mantiene un</w:t>
      </w:r>
      <w:r>
        <w:rPr>
          <w:iCs/>
          <w:i/>
        </w:rPr>
        <w:t xml:space="preserve"> </w:t>
      </w:r>
      <w:r>
        <w:rPr>
          <w:iCs/>
          <w:i/>
        </w:rPr>
        <w:t xml:space="preserve">comportamento inerte di fronte al decisium del giudice, ma anche</w:t>
      </w:r>
      <w:r>
        <w:rPr>
          <w:iCs/>
          <w:i/>
        </w:rPr>
        <w:t xml:space="preserve"> </w:t>
      </w:r>
      <w:r>
        <w:rPr>
          <w:iCs/>
          <w:i/>
        </w:rPr>
        <w:t xml:space="preserve">quando il provvedimento da essa adottato, in affermata ottemperanza al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stesso, è invece palesemente elusivo dei principi e delle</w:t>
      </w:r>
      <w:r>
        <w:rPr>
          <w:iCs/>
          <w:i/>
        </w:rPr>
        <w:t xml:space="preserve"> </w:t>
      </w:r>
      <w:r>
        <w:rPr>
          <w:iCs/>
          <w:i/>
        </w:rPr>
        <w:t xml:space="preserve">regole in esso enunciati. Ciò in quanto il giudicato amministrativo ha</w:t>
      </w:r>
      <w:r>
        <w:rPr>
          <w:iCs/>
          <w:i/>
        </w:rPr>
        <w:t xml:space="preserve"> </w:t>
      </w:r>
      <w:r>
        <w:rPr>
          <w:iCs/>
          <w:i/>
        </w:rPr>
        <w:t xml:space="preserve">un contenuto complesso, non limitato agli effetti demolitori e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ripristinatori rivolti al passato, ma comprensivo anche degli effetti</w:t>
      </w:r>
      <w:r>
        <w:rPr>
          <w:iCs/>
          <w:i/>
        </w:rPr>
        <w:t xml:space="preserve"> </w:t>
      </w:r>
      <w:r>
        <w:rPr>
          <w:iCs/>
          <w:i/>
        </w:rPr>
        <w:t xml:space="preserve">confermativi rivolti al futuro e consistenti nei vincoli imposti</w:t>
      </w:r>
      <w:r>
        <w:rPr>
          <w:iCs/>
          <w:i/>
        </w:rPr>
        <w:t xml:space="preserve"> </w:t>
      </w:r>
      <w:r>
        <w:rPr>
          <w:iCs/>
          <w:i/>
        </w:rPr>
        <w:t xml:space="preserve">all’autorità amministrativa nella rinnovazione del provvedimento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annullato, in relazione ai vizi di legittimità riconosciuti</w:t>
      </w:r>
      <w:r>
        <w:rPr>
          <w:iCs/>
          <w:i/>
        </w:rPr>
        <w:t xml:space="preserve"> </w:t>
      </w:r>
      <w:r>
        <w:rPr>
          <w:iCs/>
          <w:i/>
        </w:rPr>
        <w:t xml:space="preserve">esistenti</w:t>
      </w:r>
      <w:r>
        <w:t xml:space="preserve">.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FRAENKEL, _Giurisdizione sul silenzio e</w:t>
      </w:r>
      <w:r>
        <w:t xml:space="preserve"> </w:t>
      </w:r>
      <w:r>
        <w:t xml:space="preserve">discrezionalità amministrativa,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CLARICH,</w:t>
      </w:r>
      <w:r>
        <w:t xml:space="preserve"> </w:t>
      </w:r>
      <w:r>
        <w:rPr>
          <w:iCs/>
          <w:i/>
        </w:rPr>
        <w:t xml:space="preserve">Il giudizio amministrativo di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</w:t>
      </w:r>
      <w:r>
        <w:t xml:space="preserve">,</w:t>
      </w:r>
      <w:r>
        <w:t xml:space="preserve"> </w:t>
      </w:r>
      <w:r>
        <w:rPr>
          <w:iCs/>
          <w:i/>
        </w:rPr>
        <w:t xml:space="preserve">cit</w:t>
      </w:r>
      <w:r>
        <w:t xml:space="preserve">., 344.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 alle sentenze del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cit.,</w:t>
      </w:r>
      <w:r>
        <w:t xml:space="preserve"> </w:t>
      </w:r>
      <w:r>
        <w:t xml:space="preserve">313 ss.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Corte Cost., 12</w:t>
      </w:r>
      <w:r>
        <w:t xml:space="preserve"> </w:t>
      </w:r>
      <w:r>
        <w:t xml:space="preserve">maggio 1977, n. 75, in</w:t>
      </w:r>
      <w:r>
        <w:t xml:space="preserve"> </w:t>
      </w:r>
      <w:r>
        <w:rPr>
          <w:iCs/>
          <w:i/>
        </w:rPr>
        <w:t xml:space="preserve">Giur. it.,</w:t>
      </w:r>
      <w:r>
        <w:t xml:space="preserve"> </w:t>
      </w:r>
      <w:r>
        <w:t xml:space="preserve">1978, I, 980.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alle sentenze del giudice amministrativo, cit.,</w:t>
      </w:r>
      <w:r>
        <w:t xml:space="preserve"> </w:t>
      </w:r>
      <w:r>
        <w:t xml:space="preserve">314, secondo il quale</w:t>
      </w:r>
      <w:r>
        <w:t xml:space="preserve"> </w:t>
      </w:r>
      <w:r>
        <w:t xml:space="preserve">sarebbero in realtà poche le situazioni che si prestano ad essere</w:t>
      </w:r>
      <w:r>
        <w:t xml:space="preserve"> </w:t>
      </w:r>
      <w:r>
        <w:t xml:space="preserve">compiutamente disciplinate in via immediata con la sentenza: nella</w:t>
      </w:r>
      <w:r>
        <w:t xml:space="preserve"> </w:t>
      </w:r>
      <w:r>
        <w:t xml:space="preserve">maggior parte dei casi si renderebbe necessario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gestire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naturale (con l’osservanza delle regole) il procedimento e</w:t>
      </w:r>
      <w:r>
        <w:rPr>
          <w:iCs/>
          <w:i/>
        </w:rPr>
        <w:t xml:space="preserve"> </w:t>
      </w:r>
      <w:r>
        <w:rPr>
          <w:iCs/>
          <w:i/>
        </w:rPr>
        <w:t xml:space="preserve">pervenire all’adozione finale del provvedimento</w:t>
      </w:r>
      <w:r>
        <w:rPr>
          <w:iCs/>
          <w:i/>
        </w:rPr>
        <w:t xml:space="preserve">”</w:t>
      </w:r>
      <w:r>
        <w:t xml:space="preserve">.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A. Sandulli,</w:t>
      </w:r>
      <w:r>
        <w:t xml:space="preserve"> </w:t>
      </w:r>
      <w:r>
        <w:rPr>
          <w:iCs/>
          <w:i/>
        </w:rPr>
        <w:t xml:space="preserve">L’effettività delle</w:t>
      </w:r>
      <w:r>
        <w:rPr>
          <w:iCs/>
          <w:i/>
        </w:rPr>
        <w:t xml:space="preserve"> </w:t>
      </w:r>
      <w:r>
        <w:rPr>
          <w:iCs/>
          <w:i/>
        </w:rPr>
        <w:t xml:space="preserve">decisioni giurisdizionali amministrative, cit., 308, 309.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V,</w:t>
      </w:r>
      <w:r>
        <w:t xml:space="preserve"> </w:t>
      </w:r>
      <w:r>
        <w:t xml:space="preserve">28 febbraio 1995, n. 298, in</w:t>
      </w:r>
      <w:r>
        <w:t xml:space="preserve"> </w:t>
      </w:r>
      <w:r>
        <w:rPr>
          <w:iCs/>
          <w:i/>
        </w:rPr>
        <w:t xml:space="preserve">Cons. Stato</w:t>
      </w:r>
      <w:r>
        <w:t xml:space="preserve">, 1995, I, 232 ss.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Ad. Plen., 14 luglio 1978 e Cons.</w:t>
      </w:r>
      <w:r>
        <w:t xml:space="preserve"> </w:t>
      </w:r>
      <w:r>
        <w:t xml:space="preserve">St., Ad. Plen., 9 marzo 1973, n. 1, in G. PASQUINI, A. SANDULLI (a</w:t>
      </w:r>
      <w:r>
        <w:t xml:space="preserve"> </w:t>
      </w:r>
      <w:r>
        <w:t xml:space="preserve">cura di),</w:t>
      </w:r>
      <w:r>
        <w:t xml:space="preserve"> </w:t>
      </w:r>
      <w:r>
        <w:rPr>
          <w:iCs/>
          <w:i/>
        </w:rPr>
        <w:t xml:space="preserve">Le grandi decisioni del Consiglio di Stato</w:t>
      </w:r>
      <w:r>
        <w:t xml:space="preserve">, Milano,</w:t>
      </w:r>
      <w:r>
        <w:t xml:space="preserve"> </w:t>
      </w:r>
      <w:r>
        <w:t xml:space="preserve">2001, 398 e ss.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VI, 19 gennaio</w:t>
      </w:r>
      <w:r>
        <w:t xml:space="preserve"> </w:t>
      </w:r>
      <w:r>
        <w:t xml:space="preserve">1995, n. 41, in</w:t>
      </w:r>
      <w:r>
        <w:t xml:space="preserve"> </w:t>
      </w:r>
      <w:r>
        <w:rPr>
          <w:iCs/>
          <w:i/>
        </w:rPr>
        <w:t xml:space="preserve">Foro amm., CS</w:t>
      </w:r>
      <w:r>
        <w:t xml:space="preserve">, 1995, 1, 78 ss.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VI,</w:t>
      </w:r>
      <w:r>
        <w:t xml:space="preserve"> </w:t>
      </w:r>
      <w:r>
        <w:t xml:space="preserve">19 giugno 2012, n. 3569.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30</w:t>
      </w:r>
      <w:r>
        <w:t xml:space="preserve"> </w:t>
      </w:r>
      <w:r>
        <w:t xml:space="preserve">gennaio 2006, n. 290, in</w:t>
      </w:r>
      <w:r>
        <w:t xml:space="preserve"> </w:t>
      </w:r>
      <w:r>
        <w:rPr>
          <w:iCs/>
          <w:i/>
        </w:rPr>
        <w:t xml:space="preserve">Dir. giust.</w:t>
      </w:r>
      <w:r>
        <w:t xml:space="preserve">, 2006, 10, 80 ove si</w:t>
      </w:r>
      <w:r>
        <w:t xml:space="preserve"> </w:t>
      </w:r>
      <w:r>
        <w:t xml:space="preserve">afferma che il proprietario del fondo illegittimamente occupato dalla</w:t>
      </w:r>
      <w:r>
        <w:t xml:space="preserve"> </w:t>
      </w:r>
      <w:r>
        <w:t xml:space="preserve">p.a. in esito a declaratoria di illegittimità dell’occupazione e</w:t>
      </w:r>
      <w:r>
        <w:t xml:space="preserve"> </w:t>
      </w:r>
      <w:r>
        <w:t xml:space="preserve">all’annullamento dei relativi provvedimenti può legittimamente</w:t>
      </w:r>
      <w:r>
        <w:t xml:space="preserve"> </w:t>
      </w:r>
      <w:r>
        <w:t xml:space="preserve">domandare nel giudizio di ottemperanza sia il risarcimento, sia la</w:t>
      </w:r>
      <w:r>
        <w:t xml:space="preserve"> </w:t>
      </w:r>
      <w:r>
        <w:t xml:space="preserve">restituzione del fondo che la sua riduzione in pristino. L’azione</w:t>
      </w:r>
      <w:r>
        <w:t xml:space="preserve"> </w:t>
      </w:r>
      <w:r>
        <w:t xml:space="preserve">risarcitoria costituisce strutturalmente attuazione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 </w:t>
      </w:r>
      <w:r>
        <w:t xml:space="preserve">e quindi trova la sua naturale allocazione nel</w:t>
      </w:r>
      <w:r>
        <w:t xml:space="preserve"> </w:t>
      </w:r>
      <w:r>
        <w:t xml:space="preserve">giudizio di ottemperanza, in quanto consente e determina</w:t>
      </w:r>
      <w:r>
        <w:t xml:space="preserve"> </w:t>
      </w:r>
      <w:r>
        <w:t xml:space="preserve">quell’adeguamento dello stato di fatto allo stato di diritto che</w:t>
      </w:r>
      <w:r>
        <w:t xml:space="preserve"> </w:t>
      </w:r>
      <w:r>
        <w:t xml:space="preserve">rappresenta la finalità tipica del giudizio di ottemperanza,</w:t>
      </w:r>
      <w:r>
        <w:t xml:space="preserve"> </w:t>
      </w:r>
      <w:r>
        <w:t xml:space="preserve">realizzando quell’esigenza di completamento della tutela</w:t>
      </w:r>
      <w:r>
        <w:t xml:space="preserve"> </w:t>
      </w:r>
      <w:r>
        <w:t xml:space="preserve">giurisdizionale amministrativa, ribadita anche dalla Consulta con</w:t>
      </w:r>
      <w:r>
        <w:t xml:space="preserve"> </w:t>
      </w:r>
      <w:r>
        <w:t xml:space="preserve">sentenza n. 204/2004.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ritardo produttivo del danno</w:t>
      </w:r>
      <w:r>
        <w:t xml:space="preserve"> </w:t>
      </w:r>
      <w:r>
        <w:t xml:space="preserve">deriva dal fatto che l’amministrazione ha prima adottato un</w:t>
      </w:r>
      <w:r>
        <w:t xml:space="preserve"> </w:t>
      </w:r>
      <w:r>
        <w:t xml:space="preserve">provvedimento illegittimo, sfavorevole al privato (es. diniego di</w:t>
      </w:r>
      <w:r>
        <w:t xml:space="preserve"> </w:t>
      </w:r>
      <w:r>
        <w:t xml:space="preserve">permesso di costruire), ed ha poi emanato altro provvedimento, questa</w:t>
      </w:r>
      <w:r>
        <w:t xml:space="preserve"> </w:t>
      </w:r>
      <w:r>
        <w:t xml:space="preserve">volta legittimo e favorevole, a seguito dell’annullamento in sede</w:t>
      </w:r>
      <w:r>
        <w:t xml:space="preserve"> </w:t>
      </w:r>
      <w:r>
        <w:t xml:space="preserve">giurisdizionale del primo atto. Cfr. R. CHIEPPA, V. LOPILATO,</w:t>
      </w:r>
      <w:r>
        <w:t xml:space="preserve"> </w:t>
      </w:r>
      <w:r>
        <w:rPr>
          <w:iCs/>
          <w:i/>
        </w:rPr>
        <w:t xml:space="preserve">Studi di diritto amministrativo</w:t>
      </w:r>
      <w:r>
        <w:t xml:space="preserve">, Milano, 2007, 624, 625.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IV, 31 marzo 2006, n. 5323, in</w:t>
      </w:r>
      <w:r>
        <w:t xml:space="preserve"> </w:t>
      </w:r>
      <w:r>
        <w:rPr>
          <w:iCs/>
          <w:i/>
        </w:rPr>
        <w:t xml:space="preserve">Foro amm. CS</w:t>
      </w:r>
      <w:r>
        <w:t xml:space="preserve">,</w:t>
      </w:r>
      <w:r>
        <w:t xml:space="preserve"> </w:t>
      </w:r>
      <w:r>
        <w:t xml:space="preserve">2006, 9, 2585 - nelle ipotesi nelle quali l’amministrazione sia</w:t>
      </w:r>
      <w:r>
        <w:t xml:space="preserve"> </w:t>
      </w:r>
      <w:r>
        <w:t xml:space="preserve">titolare di un potere discrezionale, solo dal nuovo esercizio del</w:t>
      </w:r>
      <w:r>
        <w:t xml:space="preserve"> </w:t>
      </w:r>
      <w:r>
        <w:t xml:space="preserve">potere possono derivare certezze in ordine alla spettanza del bene cui</w:t>
      </w:r>
      <w:r>
        <w:t xml:space="preserve"> </w:t>
      </w:r>
      <w:r>
        <w:t xml:space="preserve">il privato aspira. Per converso, allorché si tratti di attività</w:t>
      </w:r>
      <w:r>
        <w:t xml:space="preserve"> </w:t>
      </w:r>
      <w:r>
        <w:t xml:space="preserve">vincolata, il giudice, riscontrata la sussistenza dei presupposti di</w:t>
      </w:r>
      <w:r>
        <w:t xml:space="preserve"> </w:t>
      </w:r>
      <w:r>
        <w:t xml:space="preserve">legge, potrà stabilire che, data quella situazione, la p.a. avrebbe</w:t>
      </w:r>
      <w:r>
        <w:t xml:space="preserve"> </w:t>
      </w:r>
      <w:r>
        <w:t xml:space="preserve">dovuto adottare quella certa determinazione.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Cons. St., sez. V, 27 maggio 1991,</w:t>
      </w:r>
      <w:r>
        <w:t xml:space="preserve"> </w:t>
      </w:r>
      <w:r>
        <w:t xml:space="preserve">n. 874,</w:t>
      </w:r>
      <w:r>
        <w:t xml:space="preserve"> </w:t>
      </w:r>
      <w:r>
        <w:rPr>
          <w:iCs/>
          <w:i/>
        </w:rPr>
        <w:t xml:space="preserve">cit.</w:t>
      </w:r>
      <w:r>
        <w:t xml:space="preserve">, nota 73, 3723.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L. MANCINI,</w:t>
      </w:r>
      <w:r>
        <w:t xml:space="preserve"> </w:t>
      </w:r>
      <w:r>
        <w:rPr>
          <w:iCs/>
          <w:i/>
        </w:rPr>
        <w:t xml:space="preserve">La responsabilità della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amministrazione, cit.</w:t>
      </w:r>
      <w:r>
        <w:t xml:space="preserve">, nota 73, 3723.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FROMONT,</w:t>
      </w:r>
      <w:r>
        <w:t xml:space="preserve"> </w:t>
      </w:r>
      <w:r>
        <w:rPr>
          <w:iCs/>
          <w:i/>
        </w:rPr>
        <w:t xml:space="preserve">L’esecuzione delle decisioni del giudice amministrativo nel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francese e tedesco</w:t>
      </w:r>
      <w:r>
        <w:t xml:space="preserve">, in</w:t>
      </w:r>
      <w:r>
        <w:t xml:space="preserve"> </w:t>
      </w:r>
      <w:r>
        <w:rPr>
          <w:iCs/>
          <w:i/>
        </w:rPr>
        <w:t xml:space="preserve">Problemi di 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pubblica</w:t>
      </w:r>
      <w:r>
        <w:t xml:space="preserve">, 3, 1989, 523.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95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2022-11-03T17:08:48Z</dcterms:created>
  <dcterms:modified xsi:type="dcterms:W3CDTF">2022-11-03T17:08:48Z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