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6101_2641205544">
            <w:r>
              <w:rPr>
                <w:webHidden/>
                <w:rStyle w:val="IndexLink"/>
              </w:rPr>
              <w:t>Abstract</w:t>
              <w:tab/>
              <w:t>4</w:t>
            </w:r>
          </w:hyperlink>
        </w:p>
        <w:p>
          <w:pPr>
            <w:pStyle w:val="Contents1"/>
            <w:rPr/>
          </w:pPr>
          <w:hyperlink w:anchor="__RefHeading___Toc6103_2641205544">
            <w:r>
              <w:rPr>
                <w:webHidden/>
                <w:rStyle w:val="IndexLink"/>
              </w:rPr>
              <w:t>Ringraziamenti</w:t>
              <w:tab/>
              <w:t>5</w:t>
            </w:r>
          </w:hyperlink>
        </w:p>
        <w:p>
          <w:pPr>
            <w:pStyle w:val="Contents1"/>
            <w:rPr/>
          </w:pPr>
          <w:hyperlink w:anchor="__RefHeading___Toc6105_2641205544">
            <w:r>
              <w:rPr>
                <w:webHidden/>
                <w:rStyle w:val="IndexLink"/>
              </w:rPr>
              <w:t>Abbreviazioni</w:t>
              <w:tab/>
              <w:t>6</w:t>
            </w:r>
          </w:hyperlink>
        </w:p>
        <w:p>
          <w:pPr>
            <w:pStyle w:val="Contents1"/>
            <w:rPr/>
          </w:pPr>
          <w:hyperlink w:anchor="__RefHeading___Toc6107_2641205544">
            <w:r>
              <w:rPr>
                <w:webHidden/>
                <w:rStyle w:val="IndexLink"/>
              </w:rPr>
              <w:t>1 La giustizia amministrativa in Italia</w:t>
              <w:tab/>
              <w:t>7</w:t>
            </w:r>
          </w:hyperlink>
        </w:p>
        <w:p>
          <w:pPr>
            <w:pStyle w:val="Contents2"/>
            <w:tabs>
              <w:tab w:val="clear" w:pos="9355"/>
              <w:tab w:val="right" w:pos="9638" w:leader="dot"/>
            </w:tabs>
            <w:rPr/>
          </w:pPr>
          <w:hyperlink w:anchor="__RefHeading___Toc6109_2641205544">
            <w:r>
              <w:rPr>
                <w:webHidden/>
                <w:rStyle w:val="IndexLink"/>
              </w:rPr>
              <w:t>1.1 L’attuazione del giudicato: il giudizio di ottemperanza</w:t>
              <w:tab/>
              <w:t>7</w:t>
            </w:r>
          </w:hyperlink>
        </w:p>
        <w:p>
          <w:pPr>
            <w:pStyle w:val="Contents2"/>
            <w:tabs>
              <w:tab w:val="clear" w:pos="9355"/>
              <w:tab w:val="right" w:pos="9638" w:leader="dot"/>
            </w:tabs>
            <w:rPr/>
          </w:pPr>
          <w:hyperlink w:anchor="__RefHeading___Toc6111_2641205544">
            <w:r>
              <w:rPr>
                <w:webHidden/>
                <w:rStyle w:val="IndexLink"/>
              </w:rPr>
              <w:t xml:space="preserve">1.2 I poteri sostitutivi indiretti: il commissario </w:t>
            </w:r>
            <w:r>
              <w:rPr>
                <w:rStyle w:val="IndexLink"/>
                <w:i/>
                <w:iCs/>
              </w:rPr>
              <w:t>ad acta</w:t>
            </w:r>
            <w:r>
              <w:rPr>
                <w:rStyle w:val="IndexLink"/>
              </w:rPr>
              <w:tab/>
              <w:t>12</w:t>
            </w:r>
          </w:hyperlink>
        </w:p>
        <w:p>
          <w:pPr>
            <w:pStyle w:val="Contents2"/>
            <w:tabs>
              <w:tab w:val="clear" w:pos="9355"/>
              <w:tab w:val="right" w:pos="9638" w:leader="dot"/>
            </w:tabs>
            <w:rPr/>
          </w:pPr>
          <w:hyperlink w:anchor="__RefHeading___Toc6113_2641205544">
            <w:r>
              <w:rPr>
                <w:webHidden/>
                <w:rStyle w:val="IndexLink"/>
              </w:rPr>
              <w:t>1.3 Il risarcimento del danno da inottemperanza</w:t>
              <w:tab/>
              <w:t>15</w:t>
            </w:r>
          </w:hyperlink>
        </w:p>
        <w:p>
          <w:pPr>
            <w:pStyle w:val="Contents1"/>
            <w:rPr/>
          </w:pPr>
          <w:hyperlink w:anchor="__RefHeading___Toc6115_2641205544">
            <w:r>
              <w:rPr>
                <w:webHidden/>
                <w:rStyle w:val="IndexLink"/>
              </w:rPr>
              <w:t>2 L’esperienza tedesca</w:t>
              <w:tab/>
              <w:t>18</w:t>
            </w:r>
          </w:hyperlink>
        </w:p>
        <w:p>
          <w:pPr>
            <w:pStyle w:val="Contents2"/>
            <w:tabs>
              <w:tab w:val="clear" w:pos="9355"/>
              <w:tab w:val="right" w:pos="9638" w:leader="dot"/>
            </w:tabs>
            <w:rPr/>
          </w:pPr>
          <w:hyperlink w:anchor="__RefHeading___Toc6117_2641205544">
            <w:r>
              <w:rPr>
                <w:webHidden/>
                <w:rStyle w:val="IndexLink"/>
              </w:rPr>
              <w:t>2.1 L’azione di annullamento (Anfechtungsklage) e l’azione di adempimento (Verplichtungsklage)</w:t>
              <w:tab/>
              <w:t>18</w:t>
            </w:r>
          </w:hyperlink>
        </w:p>
        <w:p>
          <w:pPr>
            <w:pStyle w:val="Contents2"/>
            <w:tabs>
              <w:tab w:val="clear" w:pos="9355"/>
              <w:tab w:val="right" w:pos="9638" w:leader="dot"/>
            </w:tabs>
            <w:rPr/>
          </w:pPr>
          <w:hyperlink w:anchor="__RefHeading___Toc6119_2641205544">
            <w:r>
              <w:rPr>
                <w:webHidden/>
                <w:rStyle w:val="IndexLink"/>
              </w:rPr>
              <w:t xml:space="preserve">2.2 Il contenzioso ingiuntivo: la c.d. </w:t>
            </w:r>
            <w:r>
              <w:rPr>
                <w:rStyle w:val="IndexLink"/>
                <w:i/>
                <w:iCs/>
              </w:rPr>
              <w:t>“Verpflichtungsklage”</w:t>
            </w:r>
            <w:r>
              <w:rPr>
                <w:rStyle w:val="IndexLink"/>
              </w:rPr>
              <w:tab/>
              <w:t>21</w:t>
            </w:r>
          </w:hyperlink>
        </w:p>
        <w:p>
          <w:pPr>
            <w:pStyle w:val="Contents2"/>
            <w:tabs>
              <w:tab w:val="clear" w:pos="9355"/>
              <w:tab w:val="right" w:pos="9638" w:leader="dot"/>
            </w:tabs>
            <w:rPr/>
          </w:pPr>
          <w:hyperlink w:anchor="__RefHeading___Toc6121_2641205544">
            <w:r>
              <w:rPr>
                <w:webHidden/>
                <w:rStyle w:val="IndexLink"/>
              </w:rPr>
              <w:t>2.3 L’applicazione generalizzata della tutela cautelare</w:t>
              <w:tab/>
              <w:t>22</w:t>
            </w:r>
          </w:hyperlink>
        </w:p>
        <w:p>
          <w:pPr>
            <w:pStyle w:val="Contents2"/>
            <w:tabs>
              <w:tab w:val="clear" w:pos="9355"/>
              <w:tab w:val="right" w:pos="9638" w:leader="dot"/>
            </w:tabs>
            <w:rPr/>
          </w:pPr>
          <w:hyperlink w:anchor="__RefHeading___Toc6123_2641205544">
            <w:r>
              <w:rPr>
                <w:webHidden/>
                <w:rStyle w:val="IndexLink"/>
              </w:rPr>
              <w:t xml:space="preserve">2.4 Le misure coercitive: lo </w:t>
            </w:r>
            <w:r>
              <w:rPr>
                <w:rStyle w:val="IndexLink"/>
                <w:i/>
                <w:iCs/>
              </w:rPr>
              <w:t>Zwangsgeld (§ 172 VwGO)</w:t>
            </w:r>
            <w:r>
              <w:rPr>
                <w:rStyle w:val="IndexLink"/>
              </w:rPr>
              <w:tab/>
              <w:t>23</w:t>
            </w:r>
          </w:hyperlink>
        </w:p>
        <w:p>
          <w:pPr>
            <w:pStyle w:val="Contents2"/>
            <w:tabs>
              <w:tab w:val="clear" w:pos="9355"/>
              <w:tab w:val="right" w:pos="9638" w:leader="dot"/>
            </w:tabs>
            <w:rPr/>
          </w:pPr>
          <w:hyperlink w:anchor="__RefHeading___Toc6125_2641205544">
            <w:r>
              <w:rPr>
                <w:webHidden/>
                <w:rStyle w:val="IndexLink"/>
              </w:rPr>
              <w:t>2.5 I mezzi di tutela esperibili dalle parti</w:t>
              <w:tab/>
              <w:t>27</w:t>
            </w:r>
          </w:hyperlink>
        </w:p>
        <w:p>
          <w:pPr>
            <w:pStyle w:val="Contents2"/>
            <w:tabs>
              <w:tab w:val="clear" w:pos="9355"/>
              <w:tab w:val="right" w:pos="9638" w:leader="dot"/>
            </w:tabs>
            <w:rPr/>
          </w:pPr>
          <w:hyperlink w:anchor="__RefHeading___Toc6127_2641205544">
            <w:r>
              <w:rPr>
                <w:webHidden/>
                <w:rStyle w:val="IndexLink"/>
              </w:rPr>
              <w:t>2.6 Il rapporto fra lo Zwangsgeld ed il risarcimento del danno da giudicato</w:t>
              <w:tab/>
              <w:t>28</w:t>
            </w:r>
          </w:hyperlink>
        </w:p>
        <w:p>
          <w:pPr>
            <w:pStyle w:val="Contents1"/>
            <w:rPr/>
          </w:pPr>
          <w:hyperlink w:anchor="__RefHeading___Toc6129_2641205544">
            <w:r>
              <w:rPr>
                <w:webHidden/>
                <w:rStyle w:val="IndexLink"/>
              </w:rPr>
              <w:t>3 La giustizia amministrativa francese</w:t>
              <w:tab/>
              <w:t>30</w:t>
            </w:r>
          </w:hyperlink>
        </w:p>
        <w:p>
          <w:pPr>
            <w:pStyle w:val="Contents2"/>
            <w:tabs>
              <w:tab w:val="clear" w:pos="9355"/>
              <w:tab w:val="right" w:pos="9638" w:leader="dot"/>
            </w:tabs>
            <w:rPr/>
          </w:pPr>
          <w:hyperlink w:anchor="__RefHeading___Toc6131_2641205544">
            <w:r>
              <w:rPr>
                <w:webHidden/>
                <w:rStyle w:val="IndexLink"/>
              </w:rPr>
              <w:t xml:space="preserve">3.1 La genesi del </w:t>
            </w:r>
            <w:r>
              <w:rPr>
                <w:rStyle w:val="IndexLink"/>
                <w:i/>
                <w:iCs/>
              </w:rPr>
              <w:t>droit administratif</w:t>
            </w:r>
            <w:r>
              <w:rPr>
                <w:rStyle w:val="IndexLink"/>
              </w:rPr>
              <w:tab/>
              <w:t>30</w:t>
            </w:r>
          </w:hyperlink>
        </w:p>
        <w:p>
          <w:pPr>
            <w:pStyle w:val="Contents2"/>
            <w:tabs>
              <w:tab w:val="clear" w:pos="9355"/>
              <w:tab w:val="right" w:pos="9638" w:leader="dot"/>
            </w:tabs>
            <w:rPr/>
          </w:pPr>
          <w:hyperlink w:anchor="__RefHeading___Toc6133_2641205544">
            <w:r>
              <w:rPr>
                <w:webHidden/>
                <w:rStyle w:val="IndexLink"/>
              </w:rPr>
              <w:t xml:space="preserve">3.2 Dalla giustizia “ritenuta” alla giustizia delegata: il </w:t>
            </w:r>
            <w:r>
              <w:rPr>
                <w:rStyle w:val="IndexLink"/>
                <w:i/>
                <w:iCs/>
              </w:rPr>
              <w:t>Conseil d’Etat</w:t>
            </w:r>
            <w:r>
              <w:rPr>
                <w:rStyle w:val="IndexLink"/>
              </w:rPr>
              <w:tab/>
              <w:t>31</w:t>
            </w:r>
          </w:hyperlink>
        </w:p>
        <w:p>
          <w:pPr>
            <w:pStyle w:val="Contents2"/>
            <w:tabs>
              <w:tab w:val="clear" w:pos="9355"/>
              <w:tab w:val="right" w:pos="9638" w:leader="dot"/>
            </w:tabs>
            <w:rPr/>
          </w:pPr>
          <w:hyperlink w:anchor="__RefHeading___Toc6135_2641205544">
            <w:r>
              <w:rPr>
                <w:webHidden/>
                <w:rStyle w:val="IndexLink"/>
              </w:rPr>
              <w:t xml:space="preserve">3.3 Il </w:t>
            </w:r>
            <w:r>
              <w:rPr>
                <w:rStyle w:val="IndexLink"/>
                <w:i/>
                <w:iCs/>
              </w:rPr>
              <w:t>pouvoir d’Injonction</w:t>
            </w:r>
            <w:r>
              <w:rPr>
                <w:rStyle w:val="IndexLink"/>
              </w:rPr>
              <w:t xml:space="preserve"> del giudice amministrativo</w:t>
              <w:tab/>
              <w:t>34</w:t>
            </w:r>
          </w:hyperlink>
        </w:p>
        <w:p>
          <w:pPr>
            <w:pStyle w:val="Contents2"/>
            <w:tabs>
              <w:tab w:val="clear" w:pos="9355"/>
              <w:tab w:val="right" w:pos="9638" w:leader="dot"/>
            </w:tabs>
            <w:rPr/>
          </w:pPr>
          <w:hyperlink w:anchor="__RefHeading___Toc6137_2641205544">
            <w:r>
              <w:rPr>
                <w:webHidden/>
                <w:rStyle w:val="IndexLink"/>
              </w:rPr>
              <w:t>3.4 L’esecuzione delle sentenze del giudice amministrativo</w:t>
              <w:tab/>
              <w:t>36</w:t>
            </w:r>
          </w:hyperlink>
        </w:p>
        <w:p>
          <w:pPr>
            <w:pStyle w:val="Contents2"/>
            <w:tabs>
              <w:tab w:val="clear" w:pos="9355"/>
              <w:tab w:val="right" w:pos="9638" w:leader="dot"/>
            </w:tabs>
            <w:rPr/>
          </w:pPr>
          <w:hyperlink w:anchor="__RefHeading___Toc6139_2641205544">
            <w:r>
              <w:rPr>
                <w:webHidden/>
                <w:rStyle w:val="IndexLink"/>
              </w:rPr>
              <w:t>3.5 L’</w:t>
            </w:r>
            <w:r>
              <w:rPr>
                <w:rStyle w:val="IndexLink"/>
                <w:i/>
                <w:iCs/>
              </w:rPr>
              <w:t>astreinte</w:t>
            </w:r>
            <w:r>
              <w:rPr>
                <w:rStyle w:val="IndexLink"/>
              </w:rPr>
              <w:tab/>
              <w:t>39</w:t>
            </w:r>
          </w:hyperlink>
        </w:p>
        <w:p>
          <w:pPr>
            <w:pStyle w:val="Contents2"/>
            <w:tabs>
              <w:tab w:val="clear" w:pos="9355"/>
              <w:tab w:val="right" w:pos="9638" w:leader="dot"/>
            </w:tabs>
            <w:rPr/>
          </w:pPr>
          <w:hyperlink w:anchor="__RefHeading___Toc6141_2641205544">
            <w:r>
              <w:rPr>
                <w:webHidden/>
                <w:rStyle w:val="IndexLink"/>
              </w:rPr>
              <w:t>3.6 Gli strumenti di prevenzione dell’inottemperanza della Pubblica Amministrazione</w:t>
              <w:tab/>
              <w:t>42</w:t>
            </w:r>
          </w:hyperlink>
        </w:p>
        <w:p>
          <w:pPr>
            <w:pStyle w:val="Contents1"/>
            <w:rPr/>
          </w:pPr>
          <w:hyperlink w:anchor="__RefHeading___Toc6143_2641205544">
            <w:r>
              <w:rPr>
                <w:webHidden/>
                <w:rStyle w:val="IndexLink"/>
              </w:rPr>
              <w:t>4 La giustizia amministrativa nel Regno Unito</w:t>
              <w:tab/>
              <w:t>46</w:t>
            </w:r>
          </w:hyperlink>
        </w:p>
        <w:p>
          <w:pPr>
            <w:pStyle w:val="Contents1"/>
            <w:rPr/>
          </w:pPr>
          <w:hyperlink w:anchor="__RefHeading___Toc6145_2641205544">
            <w:r>
              <w:rPr>
                <w:webHidden/>
                <w:rStyle w:val="IndexLink"/>
              </w:rPr>
              <w:t>5 Il sistema spagnolo</w:t>
              <w:tab/>
              <w:t>47</w:t>
            </w:r>
          </w:hyperlink>
        </w:p>
        <w:p>
          <w:pPr>
            <w:pStyle w:val="Contents1"/>
            <w:rPr/>
          </w:pPr>
          <w:hyperlink w:anchor="__RefHeading___Toc6147_2641205544">
            <w:r>
              <w:rPr>
                <w:webHidden/>
                <w:rStyle w:val="IndexLink"/>
              </w:rPr>
              <w:t>6 Conclusioni</w:t>
              <w:tab/>
              <w:t>48</w:t>
            </w:r>
          </w:hyperlink>
        </w:p>
        <w:p>
          <w:pPr>
            <w:pStyle w:val="Contents2"/>
            <w:tabs>
              <w:tab w:val="clear" w:pos="9355"/>
              <w:tab w:val="right" w:pos="9638" w:leader="dot"/>
            </w:tabs>
            <w:rPr/>
          </w:pPr>
          <w:hyperlink w:anchor="__RefHeading___Toc6149_2641205544">
            <w:r>
              <w:rPr>
                <w:webHidden/>
                <w:rStyle w:val="IndexLink"/>
              </w:rPr>
              <w:t>6.1 Riepilogo</w:t>
              <w:tab/>
              <w:t>48</w:t>
            </w:r>
          </w:hyperlink>
        </w:p>
        <w:p>
          <w:pPr>
            <w:pStyle w:val="Contents2"/>
            <w:tabs>
              <w:tab w:val="clear" w:pos="9355"/>
              <w:tab w:val="right" w:pos="9638" w:leader="dot"/>
            </w:tabs>
            <w:rPr/>
          </w:pPr>
          <w:hyperlink w:anchor="__RefHeading___Toc6151_2641205544">
            <w:r>
              <w:rPr>
                <w:webHidden/>
                <w:rStyle w:val="IndexLink"/>
              </w:rPr>
              <w:t>6.2 Approfondimenti</w:t>
              <w:tab/>
              <w:t>48</w:t>
            </w:r>
          </w:hyperlink>
        </w:p>
        <w:p>
          <w:pPr>
            <w:pStyle w:val="Contents1"/>
            <w:rPr/>
          </w:pPr>
          <w:hyperlink w:anchor="__RefHeading___Toc6153_2641205544">
            <w:r>
              <w:rPr>
                <w:webHidden/>
                <w:rStyle w:val="IndexLink"/>
              </w:rPr>
              <w:t>Appendice 1: Extra-A</w:t>
              <w:tab/>
              <w:t>49</w:t>
            </w:r>
          </w:hyperlink>
        </w:p>
        <w:p>
          <w:pPr>
            <w:pStyle w:val="Contents1"/>
            <w:rPr/>
          </w:pPr>
          <w:hyperlink w:anchor="__RefHeading___Toc6155_2641205544">
            <w:r>
              <w:rPr>
                <w:webHidden/>
                <w:rStyle w:val="IndexLink"/>
              </w:rPr>
              <w:t>Riferimenti</w:t>
              <w:tab/>
              <w:t>50</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783939</w:t>
      </w:r>
    </w:p>
    <w:p>
      <w:pPr>
        <w:pStyle w:val="TextBody"/>
        <w:rPr/>
      </w:pPr>
      <w:r>
        <w:rPr>
          <w:b/>
          <w:bCs/>
        </w:rPr>
        <w:t>Anno Accademico 2021-2022</w:t>
      </w:r>
    </w:p>
    <w:p>
      <w:pPr>
        <w:pStyle w:val="TextBody"/>
        <w:rPr/>
      </w:pPr>
      <w:r>
        <w:rPr>
          <w:i/>
          <w:iCs/>
        </w:rPr>
        <w:t>Foreword ...</w:t>
      </w:r>
    </w:p>
    <w:p>
      <w:pPr>
        <w:pStyle w:val="Heading1"/>
        <w:rPr/>
      </w:pPr>
      <w:bookmarkStart w:id="0" w:name="__RefHeading___Toc6101_2641205544"/>
      <w:bookmarkStart w:id="1" w:name="abstract"/>
      <w:bookmarkEnd w:id="0"/>
      <w:r>
        <w:rPr/>
        <w:t>Abstract</w:t>
      </w:r>
      <w:bookmarkEnd w:id="1"/>
    </w:p>
    <w:p>
      <w:pPr>
        <w:pStyle w:val="FirstParagraph"/>
        <w:rPr/>
      </w:pPr>
      <w:r>
        <w:rPr/>
        <w:t>Lorem ipsum dolor sit amet, consectetur adipiscing elit. Vestibulum ante ipsum primis in faucibus orci luctus et ultrices posuere cubilia Curae;</w:t>
      </w:r>
    </w:p>
    <w:p>
      <w:pPr>
        <w:pStyle w:val="TextBody"/>
        <w:rPr/>
      </w:pPr>
      <w:r>
        <w:rPr/>
        <w:t>Donec at urna imperdiet, vulputate orci eu, sollicitudin leo. Donec nec dui sagittis, malesuada erat eget, vulputate tellus.</w:t>
      </w:r>
    </w:p>
    <w:p>
      <w:pPr>
        <w:pStyle w:val="TextBody"/>
        <w:rPr/>
      </w:pPr>
      <w:r>
        <w:rPr/>
        <w:t>Nam ullamcorper efficitur iaculis. Mauris eu vehicula nibh. In lectus turpis, tempor at felis a, egestas fermentum massa.</w:t>
      </w:r>
    </w:p>
    <w:p>
      <w:pPr>
        <w:pStyle w:val="Heading1"/>
        <w:rPr/>
      </w:pPr>
      <w:bookmarkStart w:id="2" w:name="__RefHeading___Toc6103_2641205544"/>
      <w:bookmarkStart w:id="3" w:name="ringraziamenti"/>
      <w:bookmarkEnd w:id="2"/>
      <w:r>
        <w:rPr/>
        <w:t>Ringraziamenti</w:t>
      </w:r>
      <w:bookmarkEnd w:id="3"/>
    </w:p>
    <w:p>
      <w:pPr>
        <w:pStyle w:val="FirstParagraph"/>
        <w:rPr/>
      </w:pPr>
      <w:r>
        <w:rPr/>
        <w:t xml:space="preserve">Interdum et malesuada fames ac ante ipsum primis in faucibus. </w:t>
      </w:r>
    </w:p>
    <w:p>
      <w:pPr>
        <w:pStyle w:val="Heading1"/>
        <w:rPr/>
      </w:pPr>
      <w:bookmarkStart w:id="4" w:name="__RefHeading___Toc6105_2641205544"/>
      <w:bookmarkStart w:id="5" w:name="abbreviazioni"/>
      <w:bookmarkEnd w:id="4"/>
      <w:r>
        <w:rPr/>
        <w:t>Abbreviazioni</w:t>
      </w:r>
      <w:bookmarkEnd w:id="5"/>
    </w:p>
    <w:p>
      <w:pPr>
        <w:pStyle w:val="FirstParagraph"/>
        <w:rPr/>
      </w:pPr>
      <w:r>
        <w:rPr>
          <w:b/>
          <w:bCs/>
        </w:rPr>
        <w:t>c.p.a.</w:t>
      </w:r>
      <w:r>
        <w:rPr/>
        <w:t xml:space="preserve"> </w:t>
      </w:r>
      <w:r>
        <w:rPr>
          <w:b/>
          <w:bCs/>
        </w:rPr>
        <w:t>c</w:t>
      </w:r>
      <w:r>
        <w:rPr/>
        <w:t xml:space="preserve">odice della </w:t>
      </w:r>
      <w:r>
        <w:rPr>
          <w:b/>
          <w:bCs/>
        </w:rPr>
        <w:t>p</w:t>
      </w:r>
      <w:r>
        <w:rPr/>
        <w:t xml:space="preserve">ubblica </w:t>
      </w:r>
      <w:r>
        <w:rPr>
          <w:b/>
          <w:bCs/>
        </w:rPr>
        <w:t>a</w:t>
      </w:r>
      <w:r>
        <w:rPr/>
        <w:t>mministrazione</w:t>
        <w:br/>
        <w:tab/>
      </w:r>
      <w:r>
        <w:rPr>
          <w:b/>
          <w:bCs/>
        </w:rPr>
        <w:t>P. A.</w:t>
      </w:r>
      <w:r>
        <w:rPr/>
        <w:t xml:space="preserve"> </w:t>
      </w:r>
      <w:r>
        <w:rPr>
          <w:b/>
          <w:bCs/>
        </w:rPr>
        <w:t>P</w:t>
      </w:r>
      <w:r>
        <w:rPr/>
        <w:t xml:space="preserve">ubblica </w:t>
      </w:r>
      <w:r>
        <w:rPr>
          <w:b/>
          <w:bCs/>
        </w:rPr>
        <w:t>A</w:t>
      </w:r>
      <w:r>
        <w:rPr/>
        <w:t>mministrazione</w:t>
        <w:br/>
      </w:r>
    </w:p>
    <w:p>
      <w:pPr>
        <w:pStyle w:val="Heading1"/>
        <w:rPr/>
      </w:pPr>
      <w:bookmarkStart w:id="6" w:name="__RefHeading___Toc6107_2641205544"/>
      <w:bookmarkStart w:id="7" w:name="la-giustizia-amministrativa-in-italia"/>
      <w:bookmarkEnd w:id="6"/>
      <w:r>
        <w:rPr>
          <w:rStyle w:val="SectionNumber"/>
        </w:rPr>
        <w:t>1</w:t>
      </w:r>
      <w:r>
        <w:rPr/>
        <w:tab/>
        <w:t>La giustizia amministrativa in Italia</w:t>
      </w:r>
      <w:bookmarkEnd w:id="7"/>
    </w:p>
    <w:p>
      <w:pPr>
        <w:pStyle w:val="Heading2"/>
        <w:rPr/>
      </w:pPr>
      <w:bookmarkStart w:id="8" w:name="__RefHeading___Toc6109_2641205544"/>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2"/>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3"/>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ad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4"/>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ed incompleta” e, come tale, suscettibile di essere chiarita nel contesto del giudizio di ottemperanza</w:t>
      </w:r>
      <w:r>
        <w:rPr>
          <w:rStyle w:val="FootnoteAnchor"/>
        </w:rPr>
        <w:footnoteReference w:id="5"/>
      </w:r>
      <w:r>
        <w:rPr/>
        <w:t xml:space="preserve"> . Sempre riguardo alla natura del rito ed alla compenetrazione di momenti cognitivi con momenti esecutivi, la Corte costituzionale ha chiarito che </w:t>
      </w:r>
      <w:r>
        <w:rPr>
          <w:i/>
          <w:iCs/>
        </w:rPr>
        <w:t>“il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6"/>
      </w:r>
      <w:r>
        <w:rPr>
          <w:i/>
          <w:iCs/>
        </w:rPr>
        <w:t>.</w:t>
      </w:r>
      <w:r>
        <w:rPr/>
        <w:t xml:space="preserve">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7"/>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8"/>
      </w:r>
      <w:r>
        <w:rPr/>
        <w:t>.</w:t>
      </w:r>
    </w:p>
    <w:p>
      <w:pPr>
        <w:pStyle w:val="TextBody"/>
        <w:rPr/>
      </w:pPr>
      <w:r>
        <w:rPr/>
        <w:t xml:space="preserve">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w:t>
      </w:r>
      <w:r>
        <w:rPr>
          <w:i/>
          <w:iCs/>
        </w:rPr>
        <w:t>“definito ed immutabile”</w:t>
      </w:r>
      <w:r>
        <w:rPr/>
        <w:t>, perché altrimenti verrebbe frustrato l’esito pratico di un eventuale appello contro la sentenza</w:t>
      </w:r>
      <w:r>
        <w:rPr>
          <w:rStyle w:val="FootnoteAnchor"/>
        </w:rPr>
        <w:footnoteReference w:id="9"/>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0"/>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1"/>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ad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ad eseguire la sua decisione e </w:t>
      </w:r>
      <w:r>
        <w:rPr>
          <w:i/>
          <w:iCs/>
        </w:rPr>
        <w:t>“consacrando così una possibile sostituzione del potere giudiziario all’amministrazione attiva (…) sul fronte dell’esecuzione”</w:t>
      </w:r>
      <w:r>
        <w:rPr>
          <w:rStyle w:val="FootnoteAnchor"/>
        </w:rPr>
        <w:footnoteReference w:id="12"/>
      </w:r>
      <w:r>
        <w:rPr/>
        <w:t xml:space="preserve"> .</w:t>
      </w:r>
      <w:bookmarkEnd w:id="9"/>
    </w:p>
    <w:p>
      <w:pPr>
        <w:pStyle w:val="Heading2"/>
        <w:rPr/>
      </w:pPr>
      <w:bookmarkStart w:id="10" w:name="__RefHeading___Toc6111_2641205544"/>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ad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ad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w:t>
      </w:r>
      <w:r>
        <w:rPr>
          <w:i/>
          <w:iCs/>
        </w:rPr>
        <w:t>“il punto di sutura e saldatura”</w:t>
      </w:r>
      <w:r>
        <w:rPr/>
        <w:t xml:space="preserve"> tra attività giurisdizionale ed amministrativa</w:t>
      </w:r>
      <w:r>
        <w:rPr>
          <w:rStyle w:val="FootnoteAnchor"/>
        </w:rPr>
        <w:footnoteReference w:id="13"/>
      </w:r>
      <w:r>
        <w:rPr/>
        <w:t xml:space="preserve">. In particolare, </w:t>
      </w:r>
      <w:r>
        <w:rPr>
          <w:i/>
          <w:iCs/>
        </w:rPr>
        <w:t>“in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4"/>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5"/>
      </w:r>
      <w:r>
        <w:rPr/>
        <w:t xml:space="preserve">. Autorevole dottrina ha sostanzialmente qualificato l’attività commissariale come </w:t>
      </w:r>
      <w:r>
        <w:rPr>
          <w:i/>
          <w:iCs/>
        </w:rPr>
        <w:t>“proiezione nel mondo esterno di un comando del giudice e, quindi, della traduzione nel concreto della attribuzione della</w:t>
      </w:r>
      <w:r>
        <w:rPr/>
        <w:t xml:space="preserve"> potestas decidendi </w:t>
      </w:r>
      <w:r>
        <w:rPr>
          <w:i/>
          <w:iCs/>
        </w:rPr>
        <w:t>che non sempre ha o può avere contenuti rigidamente predeterminati</w:t>
      </w:r>
      <w:r>
        <w:rPr/>
        <w:t>, tali da consentire al giudice di portarli direttamente ad attuazione</w:t>
      </w:r>
      <w:r>
        <w:rPr>
          <w:rStyle w:val="FootnoteAnchor"/>
        </w:rPr>
        <w:footnoteReference w:id="16"/>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17"/>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18"/>
      </w:r>
      <w:r>
        <w:rPr/>
        <w:t>. Da tempo, sia in dottrina che in giurisprudenza, si dibatte sulla questione riguardante la misura del potere di adempiere che conserverebbe l’amministrazione, una volta che sia stato nominato il commissario o sia scaduto il nuovo termine imposto alla stessa amministrazione. La giurisprudenza ritiene, per lo più, che l’amministrazione verrebbe privata del suo potere nel momento in cui viene assunta direttamente dal giudice la decisione contenente il provvedimento concreto reso in ottemperanza al giudicato, ovvero in quello in cui viene nominato il commissario</w:t>
      </w:r>
      <w:r>
        <w:rPr>
          <w:rStyle w:val="FootnoteAnchor"/>
        </w:rPr>
        <w:footnoteReference w:id="19"/>
      </w:r>
      <w:r>
        <w:rPr/>
        <w:t>. Ove invece venga fissato all’amministrazione un termine per adempiere, questo assume carattere perentorio, risultando evidente nel caso in cui la prefissione del termine sia accompagnata dalla nomina del commissario, poiché, una volta scaduto il termine, il potere provvedimentale si trasferirebbe in automatico a tale soggetto, ancorché il contenuto degli atti, eventualmente adottati dall’amministrazione dopo tale scadenza e sadisfattivi del giudicato, potrebbe essere confermato dal giudice dell’ottemperanza, il quale in tal modo avvalorerebbe una legittimazione a provvedere tardivamente in capo all’amministrazione</w:t>
      </w:r>
      <w:r>
        <w:rPr>
          <w:rStyle w:val="FootnoteAnchor"/>
        </w:rPr>
        <w:footnoteReference w:id="20"/>
      </w:r>
      <w:r>
        <w:rPr/>
        <w:t>.</w:t>
      </w:r>
    </w:p>
    <w:p>
      <w:pPr>
        <w:pStyle w:val="TextBody"/>
        <w:rPr/>
      </w:pPr>
      <w:r>
        <w:rPr/>
        <w:t xml:space="preserve">Molti dei casi di 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w:t>
      </w:r>
      <w:r>
        <w:rPr>
          <w:i/>
          <w:iCs/>
        </w:rPr>
        <w:t>“ottenere chiarimenti”</w:t>
      </w:r>
      <w:r>
        <w:rPr/>
        <w:t xml:space="preserve">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1"/>
      </w:r>
      <w:r>
        <w:rPr/>
        <w:t>.</w:t>
      </w:r>
      <w:bookmarkEnd w:id="11"/>
    </w:p>
    <w:p>
      <w:pPr>
        <w:pStyle w:val="Heading2"/>
        <w:rPr/>
      </w:pPr>
      <w:bookmarkStart w:id="12" w:name="__RefHeading___Toc6113_2641205544"/>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2"/>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3"/>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4"/>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5"/>
      </w:r>
      <w:r>
        <w:rPr/>
        <w:t xml:space="preserve">. L’utilità concreta potrà consistere </w:t>
      </w:r>
      <w:r>
        <w:rPr>
          <w:i/>
          <w:iCs/>
        </w:rPr>
        <w:t>”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6"/>
      </w:r>
      <w:r>
        <w:rPr/>
        <w:t>. Sul piano dell’accertamento e della prova, se nel giudizio avente ad oggetto il pregiudizio conseguente al provvedimento amministrativo illegittimo il privato deve provare tutti gli elementi costitutivi del fatto illecito, in quello avente ad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6115_2641205544"/>
      <w:bookmarkStart w:id="15" w:name="lesperienza-tedesca"/>
      <w:bookmarkEnd w:id="14"/>
      <w:r>
        <w:rPr>
          <w:rStyle w:val="SectionNumber"/>
        </w:rPr>
        <w:t>2</w:t>
      </w:r>
      <w:r>
        <w:rPr/>
        <w:tab/>
        <w:t>L’esperienza tedesca</w:t>
      </w:r>
      <w:bookmarkEnd w:id="15"/>
    </w:p>
    <w:p>
      <w:pPr>
        <w:pStyle w:val="Heading2"/>
        <w:rPr/>
      </w:pPr>
      <w:bookmarkStart w:id="16" w:name="__RefHeading___Toc6117_2641205544"/>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7"/>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amministrativo_ (azione di impugnazione), come pure la condanna all’emanazione di un atto amministrativo rifiutato o omesso” (azione di inadempimento) e al secondo comma che ”qualora la legge non disponga diversamente, l’azione è ammissibile solo quando l’attore fa valere di essere stato leso nei propri diritti dall’atto amministrativo o dal suo rifiuto o omissione”</w:t>
      </w:r>
      <w:r>
        <w:rPr>
          <w:rStyle w:val="FootnoteAnchor"/>
        </w:rPr>
        <w:footnoteReference w:id="28"/>
      </w:r>
      <w:r>
        <w:rPr>
          <w:i/>
          <w:iCs/>
        </w:rPr>
        <w:t>. L’azione di annullamento è fondata allorquando ricorrano i requisiti previsti dal § 113 VwGO, e cioè nella misura in cui l’atto risulti illegittimo e lesivo dei cosiddetti diritti civili pubblici dell’attore (Kläger),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decisium.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status quo ante attraverso la cancellazione degli effetti che si sono nel frattempo prodotti. E’ questo l’istituto del cosiddetto Folgenbeseitigungsanspruch</w:t>
      </w:r>
      <w:r>
        <w:rPr>
          <w:rStyle w:val="FootnoteAnchor"/>
        </w:rPr>
        <w:footnoteReference w:id="29"/>
      </w:r>
      <w:r>
        <w:rPr>
          <w:i/>
          <w:iCs/>
        </w:rPr>
        <w:t>, indicato con l’abbreviazione FBA e contemplato dal § 113/1 secondo alinea VwGO, ove si prevede che ”se l’atto amministrativo è stato già eseguito, il tribunale può anche dichiarare, su richiesta, se e come l’autorità amministrativa debba revocare l’esecuzione”. Il FBA è autonomo rispetto all’azione di annullamento, inquadrabile fra le cosiddette azioni di prestazione, ancorché il giudice dell’impugnazione si pronunci sull’eliminazione degli effetti dell’atto con la medesima sentenza che definisce il giudizio cassatorio. L’utilizzo del termine”può”</w:t>
      </w:r>
      <w:r>
        <w:rPr/>
        <w:t xml:space="preserve"> (Kann)_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0"/>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1"/>
      </w:r>
      <w:r>
        <w:rPr/>
        <w:t>. Ulteriore presupposto di ammissibilità della pretesa, oltre al fatto che l’autorità sia in grado di darvi seguito, è che la questione sia matura per la decisione</w:t>
      </w:r>
      <w:r>
        <w:rPr>
          <w:rStyle w:val="FootnoteAnchor"/>
        </w:rPr>
        <w:footnoteReference w:id="32"/>
      </w:r>
      <w:r>
        <w:rPr/>
        <w:t xml:space="preserv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3"/>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6119_2641205544"/>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4"/>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5"/>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6"/>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7"/>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6121_2641205544"/>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38"/>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39"/>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ad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6123_2641205544"/>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0"/>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ed avrebbe leso la sua immagine, mettendone in discussione l’onore</w:t>
      </w:r>
      <w:r>
        <w:rPr>
          <w:rStyle w:val="FootnoteAnchor"/>
        </w:rPr>
        <w:footnoteReference w:id="41"/>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ad esecuzione d’ufficio. L’ammenda può essere ripetutamente comminata, applicata e portata ad esecuzione</w:t>
      </w:r>
      <w:r>
        <w:rPr/>
        <w:t>”</w:t>
      </w:r>
      <w:r>
        <w:rPr>
          <w:rStyle w:val="FootnoteAnchor"/>
        </w:rPr>
        <w:footnoteReference w:id="42"/>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3"/>
      </w:r>
      <w:r>
        <w:rPr/>
        <w:t>.</w:t>
      </w:r>
    </w:p>
    <w:p>
      <w:pPr>
        <w:pStyle w:val="TextBody"/>
        <w:rPr/>
      </w:pPr>
      <w:r>
        <w:rPr/>
        <w:t xml:space="preserve">La limitazione della procedura esecutiva nei confronti della pubblica amministrazione ad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ed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ad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4"/>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6125_2641205544"/>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5"/>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6"/>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possano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ad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7"/>
      </w:r>
      <w:r>
        <w:rPr/>
        <w:t>. Competente a giudicare dell’opposizione è il tribunale di prima istanza.</w:t>
      </w:r>
      <w:bookmarkEnd w:id="25"/>
    </w:p>
    <w:p>
      <w:pPr>
        <w:pStyle w:val="Heading2"/>
        <w:rPr/>
      </w:pPr>
      <w:bookmarkStart w:id="26" w:name="__RefHeading___Toc6127_2641205544"/>
      <w:bookmarkStart w:id="27" w:name="Xaedcdc951db993bdd3358508be9f48ed972655b"/>
      <w:bookmarkEnd w:id="26"/>
      <w:r>
        <w:rPr>
          <w:rStyle w:val="SectionNumber"/>
        </w:rPr>
        <w:t>2.6</w:t>
      </w:r>
      <w:r>
        <w:rPr/>
        <w:tab/>
        <w:t>Il rapporto fra lo Zwangsgeld ed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48"/>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49"/>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w:t>
      </w:r>
      <w:r>
        <w:rPr>
          <w:rStyle w:val="FootnoteAnchor"/>
        </w:rPr>
        <w:footnoteReference w:id="50"/>
      </w:r>
      <w:r>
        <w:rPr/>
        <w:t xml:space="preserve">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6129_2641205544"/>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6131_2641205544"/>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1"/>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differenza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2"/>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6133_2641205544"/>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3"/>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 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4"/>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5"/>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6"/>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7"/>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8"/>
      </w:r>
      <w:r>
        <w:rPr/>
        <w:t>.</w:t>
      </w:r>
      <w:bookmarkEnd w:id="33"/>
    </w:p>
    <w:p>
      <w:pPr>
        <w:pStyle w:val="Heading2"/>
        <w:rPr/>
      </w:pPr>
      <w:bookmarkStart w:id="34" w:name="__RefHeading___Toc6135_2641205544"/>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59"/>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r>
        <w:rPr>
          <w:rStyle w:val="FootnoteAnchor"/>
        </w:rPr>
        <w:footnoteReference w:id="60"/>
      </w:r>
      <w:r>
        <w:rPr/>
        <w:t>.</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1"/>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2"/>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3"/>
      </w:r>
      <w:r>
        <w:rPr/>
        <w:t>.</w:t>
      </w:r>
      <w:bookmarkEnd w:id="35"/>
    </w:p>
    <w:p>
      <w:pPr>
        <w:pStyle w:val="Heading2"/>
        <w:rPr/>
      </w:pPr>
      <w:bookmarkStart w:id="36" w:name="__RefHeading___Toc6137_2641205544"/>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4"/>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5"/>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3"/>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6"/>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7"/>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8"/>
      </w:r>
      <w:r>
        <w:rPr/>
        <w:t>.</w:t>
      </w:r>
      <w:bookmarkEnd w:id="37"/>
    </w:p>
    <w:p>
      <w:pPr>
        <w:pStyle w:val="Heading2"/>
        <w:rPr/>
      </w:pPr>
      <w:bookmarkStart w:id="38" w:name="__RefHeading___Toc6139_2641205544"/>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69"/>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0"/>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1"/>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c.p.a. attribuisce al giudice amministrativo il potere di fissare “la somma di denaro dovuta dal resistente per ogni violazione o inosservanza successiva, ovvero per ogni ritardo nell’esecuzione del giudicato”.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“manifestamente iniquo” e che non ricorrano “ragioni ostative”.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2"/>
      </w:r>
      <w:r>
        <w:rPr/>
        <w:t>.</w:t>
      </w:r>
      <w:bookmarkEnd w:id="39"/>
    </w:p>
    <w:p>
      <w:pPr>
        <w:pStyle w:val="Heading2"/>
        <w:rPr/>
      </w:pPr>
      <w:bookmarkStart w:id="40" w:name="__RefHeading___Toc6141_2641205544"/>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3"/>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4"/>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5"/>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 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ad un suo impiegato</w:t>
      </w:r>
      <w:r>
        <w:rPr>
          <w:rStyle w:val="FootnoteAnchor"/>
        </w:rPr>
        <w:footnoteReference w:id="76"/>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7"/>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ad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8"/>
      </w:r>
      <w:r>
        <w:rPr/>
        <w:t>.</w:t>
      </w:r>
      <w:bookmarkEnd w:id="41"/>
    </w:p>
    <w:p>
      <w:pPr>
        <w:pStyle w:val="Heading1"/>
        <w:rPr/>
      </w:pPr>
      <w:bookmarkStart w:id="42" w:name="__RefHeading___Toc6143_2641205544"/>
      <w:bookmarkStart w:id="43" w:name="X42e034f99a9c5c8ab1366b746d292b3e472bc8c"/>
      <w:bookmarkEnd w:id="42"/>
      <w:r>
        <w:rPr>
          <w:rStyle w:val="SectionNumber"/>
        </w:rPr>
        <w:t>4</w:t>
      </w:r>
      <w:r>
        <w:rPr/>
        <w:tab/>
        <w:t>La giustizia amministrativa nel Regno Unito</w:t>
      </w:r>
      <w:bookmarkEnd w:id="43"/>
    </w:p>
    <w:p>
      <w:pPr>
        <w:pStyle w:val="FirstParagraph"/>
        <w:rPr/>
      </w:pPr>
      <w:r>
        <w:rPr/>
        <w:t>…</w:t>
      </w:r>
    </w:p>
    <w:p>
      <w:pPr>
        <w:pStyle w:val="Heading1"/>
        <w:rPr/>
      </w:pPr>
      <w:bookmarkStart w:id="44" w:name="__RefHeading___Toc6145_2641205544"/>
      <w:bookmarkStart w:id="45" w:name="il-sistema-spagnolo"/>
      <w:bookmarkEnd w:id="44"/>
      <w:r>
        <w:rPr>
          <w:rStyle w:val="SectionNumber"/>
        </w:rPr>
        <w:t>5</w:t>
      </w:r>
      <w:r>
        <w:rPr/>
        <w:tab/>
        <w:t>Il sistema spagnolo</w:t>
      </w:r>
      <w:bookmarkEnd w:id="45"/>
    </w:p>
    <w:p>
      <w:pPr>
        <w:pStyle w:val="FirstParagraph"/>
        <w:rPr/>
      </w:pPr>
      <w:r>
        <w:rPr/>
        <w:t>…</w:t>
      </w:r>
    </w:p>
    <w:p>
      <w:pPr>
        <w:pStyle w:val="TextBody"/>
        <w:rPr/>
      </w:pPr>
      <w:r>
        <w:rPr/>
        <w:t xml:space="preserve">Donec eu risus quis ante fermentum vestibulum in at ex. Nulla tellus est, accumsan vel iaculis eget, lacinia at sapien. Maecenas sed ligula dignissim, sagittis lorem at, euismod metus. Vivamus sodales elementum accumsan. Nullam maximus risus vel nisi semper gravida. </w:t>
      </w:r>
      <w:r>
        <w:rPr>
          <w:b/>
          <w:bCs/>
        </w:rPr>
        <w:t>Esempio di citazione breve:</w:t>
      </w:r>
      <w:r>
        <w:rPr/>
        <w:t xml:space="preserve"> rinnovo della regolazione di alcuni tra gli istituti centrali (Salmerón &amp; Seira s.d.). Aliquam ut dignissim purus. Quisque quis arcu dignissim, pellentesque tellus a, faucibus ex.</w:t>
      </w:r>
    </w:p>
    <w:p>
      <w:pPr>
        <w:pStyle w:val="TextBody"/>
        <w:rPr/>
      </w:pPr>
      <w:r>
        <w:rPr/>
        <w:t xml:space="preserve">Duis in leo ut felis porttitor consectetur. Ut luctus ante eget orci vehicula, vel malesuada sapien placerat. </w:t>
      </w:r>
      <w:r>
        <w:rPr>
          <w:b/>
          <w:bCs/>
        </w:rPr>
        <w:t>Esempio di citazione dettagliata:</w:t>
      </w:r>
      <w:r>
        <w:rPr/>
        <w:t xml:space="preserve"> Lorem ipsum dolor sit amet, consectetur adipiscing elit. Etiam molestie ex nec arcu tristique tempus. Aliquam ut dignissim purus. Quisque quis arcu dignissim, pellentesque tellus a, faucibus ex. Sed bibendum vulputate est nec scelerisque. Nulla a est molestie, tincidunt purus non, volutpat dolor.</w:t>
      </w:r>
    </w:p>
    <w:p>
      <w:pPr>
        <w:pStyle w:val="BlockText"/>
        <w:rPr/>
      </w:pPr>
      <w:r>
        <w:rPr>
          <w:i/>
          <w:iCs/>
        </w:rPr>
        <w:t>“</w:t>
      </w:r>
      <w:r>
        <w:rPr>
          <w:i/>
          <w:iCs/>
        </w:rPr>
        <w:t>La Legge 4/1999, del 13 gennaio, di modifica della LAP, ha introdotto un insieme di misure destinate a rinnovare la regolazione di alcuni tra gli istituti centrali o fondamentali del Diritto Amministrativo spagnolo”</w:t>
      </w:r>
      <w:r>
        <w:rPr/>
        <w:t xml:space="preserve"> (Salmerón &amp; Seira s.d.).</w:t>
      </w:r>
    </w:p>
    <w:p>
      <w:pPr>
        <w:pStyle w:val="FirstParagraph"/>
        <w:rPr/>
      </w:pPr>
      <w:r>
        <w:rPr/>
        <w:t>Sed ornare enim ut lectus dictum semper. Duis in leo ut felis porttitor consectetur. Ut luctus ante eget orci vehicula, vel malesuada sapien placerat.</w:t>
      </w:r>
    </w:p>
    <w:p>
      <w:pPr>
        <w:pStyle w:val="Heading1"/>
        <w:rPr/>
      </w:pPr>
      <w:bookmarkStart w:id="46" w:name="__RefHeading___Toc6147_2641205544"/>
      <w:bookmarkStart w:id="47" w:name="conclusioni"/>
      <w:bookmarkEnd w:id="46"/>
      <w:r>
        <w:rPr>
          <w:rStyle w:val="SectionNumber"/>
        </w:rPr>
        <w:t>6</w:t>
      </w:r>
      <w:r>
        <w:rPr/>
        <w:tab/>
        <w:t>Conclusioni</w:t>
      </w:r>
      <w:bookmarkEnd w:id="47"/>
    </w:p>
    <w:p>
      <w:pPr>
        <w:pStyle w:val="Heading2"/>
        <w:rPr/>
      </w:pPr>
      <w:bookmarkStart w:id="48" w:name="__RefHeading___Toc6149_2641205544"/>
      <w:bookmarkStart w:id="49" w:name="riepilogo"/>
      <w:bookmarkEnd w:id="48"/>
      <w:r>
        <w:rPr>
          <w:rStyle w:val="SectionNumber"/>
        </w:rPr>
        <w:t>6.1</w:t>
      </w:r>
      <w:r>
        <w:rPr/>
        <w:tab/>
        <w:t>Riepilogo</w:t>
      </w:r>
    </w:p>
    <w:p>
      <w:pPr>
        <w:pStyle w:val="FirstParagraph"/>
        <w:rPr/>
      </w:pPr>
      <w:bookmarkStart w:id="50" w:name="riepilogo"/>
      <w:r>
        <w:rPr/>
        <w:t>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bookmarkEnd w:id="50"/>
    </w:p>
    <w:p>
      <w:pPr>
        <w:pStyle w:val="Heading2"/>
        <w:rPr/>
      </w:pPr>
      <w:bookmarkStart w:id="51" w:name="__RefHeading___Toc6151_2641205544"/>
      <w:bookmarkStart w:id="52" w:name="approfondimenti"/>
      <w:bookmarkEnd w:id="51"/>
      <w:r>
        <w:rPr>
          <w:rStyle w:val="SectionNumber"/>
        </w:rPr>
        <w:t>6.2</w:t>
      </w:r>
      <w:r>
        <w:rPr/>
        <w:tab/>
        <w:t>Approfondimenti</w:t>
      </w:r>
    </w:p>
    <w:p>
      <w:pPr>
        <w:pStyle w:val="FirstParagraph"/>
        <w:rPr/>
      </w:pPr>
      <w:r>
        <w:rPr/>
        <w:t>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TextBody"/>
        <w:rPr/>
      </w:pPr>
      <w:bookmarkStart w:id="53" w:name="approfondimenti"/>
      <w:r>
        <w:rPr/>
        <w:t>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bookmarkEnd w:id="53"/>
    </w:p>
    <w:p>
      <w:pPr>
        <w:pStyle w:val="Heading1"/>
        <w:rPr/>
      </w:pPr>
      <w:bookmarkStart w:id="54" w:name="__RefHeading___Toc6153_2641205544"/>
      <w:bookmarkStart w:id="55" w:name="appendice-1-extra-a"/>
      <w:bookmarkEnd w:id="54"/>
      <w:r>
        <w:rPr/>
        <w:t>Appendice 1: Extra-A</w:t>
      </w:r>
      <w:bookmarkEnd w:id="55"/>
    </w:p>
    <w:p>
      <w:pPr>
        <w:pStyle w:val="FirstParagraph"/>
        <w:rPr/>
      </w:pPr>
      <w:r>
        <w:rPr/>
        <w:t>Vivamus hendrerit rhoncus interdum. Sed ullamcorper et augue at porta. Suspendisse facilisis imperdiet urna, eu pellentesque purus suscipit in. Integer dignissim mattis ex aliquam blandit. Curabitur lobortis quam varius turpis ultrices egestas.</w:t>
      </w:r>
    </w:p>
    <w:p>
      <w:pPr>
        <w:pStyle w:val="Heading1"/>
        <w:rPr/>
      </w:pPr>
      <w:bookmarkStart w:id="56" w:name="__RefHeading___Toc6155_2641205544"/>
      <w:bookmarkStart w:id="57" w:name="riferimenti"/>
      <w:bookmarkEnd w:id="56"/>
      <w:r>
        <w:rPr/>
        <w:t>Riferimenti</w:t>
      </w:r>
      <w:bookmarkStart w:id="58" w:name="refs"/>
      <w:bookmarkEnd w:id="57"/>
    </w:p>
    <w:p>
      <w:pPr>
        <w:pStyle w:val="FirstParagraph"/>
        <w:rPr/>
      </w:pPr>
      <w:bookmarkEnd w:id="58"/>
      <w:r>
        <w:rPr/>
        <w:t>&gt; 0</w:t>
      </w:r>
    </w:p>
    <w:p>
      <w:pPr>
        <w:pStyle w:val="TextBody"/>
        <w:spacing w:lineRule="auto" w:line="360" w:before="180" w:after="180"/>
        <w:rPr/>
      </w:pPr>
      <w:r>
        <w:rPr/>
        <w:t xml:space="preserve">Salmerón, M.F. &amp; Seira, C.C., Riforma Del Procedimento Amministrativo in Spagna: La Legge 4/1999, Del 13 Gennaio, Di Modifica Della Legge 30/1992, Del 26 Novembre, de Régimen Jurídico de Las Administraciones Públicas y Del Procedimiento Administrativo Común. Available at: </w:t>
      </w:r>
      <w:hyperlink r:id="rId3">
        <w:r>
          <w:rPr>
            <w:rStyle w:val="InternetLink"/>
          </w:rPr>
          <w:t>https://digilander.libero.it/bhilex/studi/artprammsez_I_II1.htm?utm_source=pocket_mylist</w:t>
        </w:r>
      </w:hyperlink>
      <w:r>
        <w:rPr/>
        <w:t xml:space="preserve"> [Consultato ottobre 8, 2022].</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w:t>
      </w:r>
      <w:r>
        <w:rPr>
          <w:i/>
          <w:iCs/>
        </w:rPr>
        <w:t>Portal Français, 100 mots du trésor FR - la corvée</w:t>
      </w:r>
      <w:r>
        <w:rPr/>
        <w:t xml:space="preserve"> di Agnes Dijaux. Nella Francia dell’</w:t>
      </w:r>
      <w:r>
        <w:rPr>
          <w:i/>
          <w:iCs/>
        </w:rPr>
        <w:t>Ancien régime</w:t>
      </w:r>
      <w:r>
        <w:rPr/>
        <w:t xml:space="preserve">, il termine indicava le giornate di lavoro che i sudditi dovevano al re per la manutenzione delle strade pubbliche - Cfr. </w:t>
      </w:r>
      <w:r>
        <w:rPr>
          <w:i/>
          <w:iCs/>
        </w:rPr>
        <w:t>Treccani.it</w:t>
      </w:r>
      <w:r>
        <w:rPr/>
        <w:t>, Enciclopedia, dizionario di storia (2010).</w:t>
      </w:r>
    </w:p>
  </w:footnote>
  <w:footnote w:id="3">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Torino, 2019, 8, 9: “Le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p>
  </w:footnote>
  <w:footnote w:id="4">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9.</w:t>
      </w:r>
    </w:p>
  </w:footnote>
  <w:footnote w:id="5">
    <w:p>
      <w:pPr>
        <w:pStyle w:val="Footnote"/>
        <w:spacing w:before="0" w:after="200"/>
        <w:rPr/>
      </w:pPr>
      <w:r>
        <w:rPr>
          <w:rStyle w:val="FootnoteCharacters"/>
        </w:rPr>
        <w:footnoteRef/>
      </w:r>
      <w:r>
        <w:rPr/>
        <w:t xml:space="preserve"> </w:t>
      </w:r>
      <w:r>
        <w:rPr/>
        <w:t>M. HAURIOU, Précis de droit administratif, Paris, 1933, 13 ss.</w:t>
      </w:r>
    </w:p>
  </w:footnote>
  <w:footnote w:id="6">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11.</w:t>
      </w:r>
    </w:p>
  </w:footnote>
  <w:footnote w:id="7">
    <w:p>
      <w:pPr>
        <w:pStyle w:val="Footnote"/>
        <w:spacing w:before="0" w:after="200"/>
        <w:rPr/>
      </w:pPr>
      <w:r>
        <w:rPr>
          <w:rStyle w:val="FootnoteCharacters"/>
        </w:rPr>
        <w:footnoteRef/>
      </w:r>
      <w:r>
        <w:rPr/>
        <w:t xml:space="preserve"> </w:t>
      </w:r>
      <w:r>
        <w:rPr/>
        <w:t>Cfr. https://www.vie-publique.fr/fiches/20284-justice-administrative-origines-role-et-specificites</w:t>
      </w:r>
    </w:p>
  </w:footnote>
  <w:footnote w:id="8">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https://www.justice.gouv.fr/organisation-de-la-justice-10031/lordre-administratif-10034/</w:t>
      </w:r>
    </w:p>
  </w:footnote>
  <w:footnote w:id="9">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https://www.conseil-constitutionnel.fr/actualites/communique/decision-n-2009-594-dc-du-3-decembre-2009-communique-de-presse#:~:text=Le%203%20d%C3%A9cembre%202009%2C%20par,portant%20diverses%20dispositions%20relatives%20aux</w:t>
      </w:r>
    </w:p>
  </w:footnote>
  <w:footnote w:id="10">
    <w:p>
      <w:pPr>
        <w:pStyle w:val="Footnote"/>
        <w:spacing w:before="0" w:after="200"/>
        <w:rPr/>
      </w:pPr>
      <w:r>
        <w:rPr>
          <w:rStyle w:val="FootnoteCharacters"/>
        </w:rPr>
        <w:footnoteRef/>
      </w:r>
      <w:r>
        <w:rPr/>
        <w:t xml:space="preserve"> </w:t>
      </w:r>
      <w:r>
        <w:rPr/>
        <w:t xml:space="preserve">Cfr. art. L. 8-3 del </w:t>
      </w:r>
      <w:r>
        <w:rPr>
          <w:i/>
          <w:iCs/>
        </w:rPr>
        <w:t>code des tribunaux administratifs et des cours administratives d’appel</w:t>
      </w:r>
      <w:r>
        <w:rPr/>
        <w:t xml:space="preserve"> in https://www.senat.fr/rap/l98-380/l98-3805.html</w:t>
      </w:r>
    </w:p>
  </w:footnote>
  <w:footnote w:id="11">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https://www.senat.fr/rap/l98-380/l98-3805.html</w:t>
      </w:r>
    </w:p>
  </w:footnote>
  <w:footnote w:id="12">
    <w:p>
      <w:pPr>
        <w:pStyle w:val="Footnote"/>
        <w:spacing w:before="0" w:after="200"/>
        <w:rPr/>
      </w:pPr>
      <w:r>
        <w:rPr>
          <w:rStyle w:val="FootnoteCharacters"/>
        </w:rPr>
        <w:footnoteRef/>
      </w:r>
      <w:r>
        <w:rPr/>
        <w:t xml:space="preserve"> </w:t>
      </w:r>
      <w:r>
        <w:rPr/>
        <w:t xml:space="preserve">Cfr. Dupre de Boulois X, </w:t>
      </w:r>
      <w:r>
        <w:rPr>
          <w:i/>
          <w:iCs/>
        </w:rPr>
        <w:t>« Le référé-liberté pour autrui »</w:t>
      </w:r>
      <w:r>
        <w:rPr/>
        <w:t>, AJDA 2013, p. 2137</w:t>
      </w:r>
    </w:p>
  </w:footnote>
  <w:footnote w:id="13">
    <w:p>
      <w:pPr>
        <w:pStyle w:val="Footnote"/>
        <w:spacing w:before="0" w:after="200"/>
        <w:rPr/>
      </w:pPr>
      <w:r>
        <w:rPr>
          <w:rStyle w:val="FootnoteCharacters"/>
        </w:rPr>
        <w:footnoteRef/>
      </w:r>
      <w:r>
        <w:rPr/>
        <w:t xml:space="preserve"> </w:t>
      </w:r>
      <w:r>
        <w:rPr/>
        <w:t>Cfr. https://www.actu-juridique.fr/administratif/le-pouvoir-dinjonction-du-juge-administratif-revisite-par-les-circonstances-exceptionnelles-de-la-crise-sanitaire-du-covid-19/</w:t>
      </w:r>
    </w:p>
  </w:footnote>
  <w:footnote w:id="14">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http://paris.cour-administrative-appel.fr/Demarches-procedures/Les-fiches-pratiques-de-la-justice-administrative</w:t>
      </w:r>
    </w:p>
  </w:footnote>
  <w:footnote w:id="15">
    <w:p>
      <w:pPr>
        <w:pStyle w:val="Footnote"/>
        <w:spacing w:before="0" w:after="200"/>
        <w:rPr/>
      </w:pPr>
      <w:r>
        <w:rPr>
          <w:rStyle w:val="FootnoteCharacters"/>
        </w:rPr>
        <w:footnoteRef/>
      </w:r>
      <w:r>
        <w:rPr/>
        <w:t xml:space="preserve"> </w:t>
      </w:r>
      <w:r>
        <w:rPr/>
        <w:t>Tradotto letteralmente come procedura di costrizione al pagamento, anche chiamata procedura di pagamento forzato.</w:t>
      </w:r>
    </w:p>
  </w:footnote>
  <w:footnote w:id="16">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http://paris.cour-administrative-appel.fr/Demarches-procedures/Les-fiches-pratiques-de-la-justice-administrative</w:t>
      </w:r>
    </w:p>
  </w:footnote>
  <w:footnote w:id="17">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http://paris.cour-administrative-appel.fr/Demarches-procedures/Les-fiches-pratiques-de-la-justice-administrative</w:t>
      </w:r>
    </w:p>
  </w:footnote>
  <w:footnote w:id="18">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http://paris.tribunal-administratif.fr/Demarches-procedures/L-execution-des-decisions-du-juge-administratif</w:t>
      </w:r>
    </w:p>
  </w:footnote>
  <w:footnote w:id="19">
    <w:p>
      <w:pPr>
        <w:pStyle w:val="Footnote"/>
        <w:spacing w:before="0" w:after="200"/>
        <w:rPr/>
      </w:pPr>
      <w:r>
        <w:rPr>
          <w:rStyle w:val="FootnoteCharacters"/>
        </w:rPr>
        <w:footnoteRef/>
      </w:r>
      <w:r>
        <w:rPr/>
        <w:t xml:space="preserve"> </w:t>
      </w:r>
      <w:r>
        <w:rPr/>
        <w:t xml:space="preserve">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20">
    <w:p>
      <w:pPr>
        <w:pStyle w:val="Footnote"/>
        <w:spacing w:before="0" w:after="200"/>
        <w:rPr/>
      </w:pPr>
      <w:r>
        <w:rPr>
          <w:rStyle w:val="FootnoteCharacters"/>
        </w:rPr>
        <w:footnoteRef/>
      </w:r>
      <w:r>
        <w:rPr/>
        <w:t xml:space="preserve"> </w:t>
      </w:r>
      <w:r>
        <w:rPr/>
        <w:t xml:space="preserve">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21">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22">
    <w:p>
      <w:pPr>
        <w:pStyle w:val="Footnote"/>
        <w:spacing w:before="0" w:after="200"/>
        <w:rPr/>
      </w:pPr>
      <w:r>
        <w:rPr>
          <w:rStyle w:val="FootnoteCharacters"/>
        </w:rPr>
        <w:footnoteRef/>
      </w:r>
      <w:r>
        <w:rPr/>
        <w:t xml:space="preserve"> </w:t>
      </w:r>
      <w:r>
        <w:rPr/>
        <w:t xml:space="preserve">FRANCESCO M. CARALLI, </w:t>
      </w:r>
      <w:r>
        <w:rPr>
          <w:i/>
          <w:iCs/>
        </w:rPr>
        <w:t>Il nuovo giudizio di ottemperanza, con particolare riguardo alle astreintes</w:t>
      </w:r>
      <w:r>
        <w:rPr/>
        <w:t>, in Italiappalti.it, 2017, 11.</w:t>
      </w:r>
    </w:p>
  </w:footnote>
  <w:footnote w:id="23">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24">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25">
    <w:p>
      <w:pPr>
        <w:pStyle w:val="Footnote"/>
        <w:spacing w:before="0" w:after="200"/>
        <w:rPr/>
      </w:pPr>
      <w:r>
        <w:rPr>
          <w:rStyle w:val="FootnoteCharacters"/>
        </w:rPr>
        <w:footnoteRef/>
      </w:r>
      <w:r>
        <w:rPr/>
        <w:t xml:space="preserve"> </w:t>
      </w:r>
      <w:r>
        <w:rPr/>
        <w:t xml:space="preserve">R. CHAPUS, </w:t>
      </w:r>
      <w:r>
        <w:rPr>
          <w:i/>
          <w:iCs/>
        </w:rPr>
        <w:t>Droit du contentieux administratif</w:t>
      </w:r>
      <w:r>
        <w:rPr/>
        <w:t>, 12 ed., Paris, 2006, 1132.</w:t>
      </w:r>
    </w:p>
  </w:footnote>
  <w:footnote w:id="26">
    <w:p>
      <w:pPr>
        <w:pStyle w:val="Footnote"/>
        <w:spacing w:before="0" w:after="200"/>
        <w:rPr/>
      </w:pPr>
      <w:r>
        <w:rPr>
          <w:rStyle w:val="FootnoteCharacters"/>
        </w:rPr>
        <w:footnoteRef/>
      </w:r>
      <w:r>
        <w:rPr/>
        <w:t xml:space="preserve"> </w:t>
      </w:r>
      <w:r>
        <w:rPr/>
        <w:t xml:space="preserve">R. CHAPUS, </w:t>
      </w:r>
      <w:r>
        <w:rPr>
          <w:i/>
          <w:iCs/>
        </w:rPr>
        <w:t>Droit du contentieux adminisratif</w:t>
      </w:r>
      <w:r>
        <w:rPr/>
        <w:t>, 12 ed., Paris, 2006, 1135.</w:t>
      </w:r>
    </w:p>
  </w:footnote>
  <w:footnote w:id="27">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www.dhellencourt-avocats.fr</w:t>
      </w:r>
    </w:p>
  </w:footnote>
  <w:footnote w:id="28">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www.service-public.fr/particuliers/vosdroits</w:t>
      </w:r>
    </w:p>
  </w:footnote>
  <w:footnote w:id="29">
    <w:p>
      <w:pPr>
        <w:pStyle w:val="Footnote"/>
        <w:spacing w:before="0" w:after="200"/>
        <w:rPr/>
      </w:pPr>
      <w:r>
        <w:rPr>
          <w:rStyle w:val="FootnoteCharacters"/>
        </w:rPr>
        <w:footnoteRef/>
      </w:r>
      <w:r>
        <w:rPr/>
        <w:t xml:space="preserve"> </w:t>
      </w:r>
      <w:r>
        <w:rPr/>
        <w:t>Letteralmente “pretesa o diritto all’eliminazione delle conseguenze dell’atto”.</w:t>
      </w:r>
    </w:p>
  </w:footnote>
  <w:footnote w:id="30">
    <w:p>
      <w:pPr>
        <w:pStyle w:val="Footnote"/>
        <w:spacing w:before="0" w:after="200"/>
        <w:rPr/>
      </w:pPr>
      <w:r>
        <w:rPr>
          <w:rStyle w:val="FootnoteCharacters"/>
        </w:rPr>
        <w:footnoteRef/>
      </w:r>
      <w:r>
        <w:rPr/>
        <w:t xml:space="preserve"> </w:t>
      </w:r>
      <w:r>
        <w:rPr/>
        <w:t xml:space="preserve">P. BECKER, H. KUNI, </w:t>
      </w:r>
      <w:r>
        <w:rPr>
          <w:i/>
          <w:iCs/>
        </w:rPr>
        <w:t>Probleme des verwaltungsgerichtlichen Vergabeverfahrens für Studienplätze in der Humanmedizin,</w:t>
      </w:r>
      <w:r>
        <w:rPr/>
        <w:t xml:space="preserve"> in </w:t>
      </w:r>
      <w:r>
        <w:rPr>
          <w:i/>
          <w:iCs/>
        </w:rPr>
        <w:t>DVBl</w:t>
      </w:r>
      <w:r>
        <w:rPr/>
        <w:t xml:space="preserve"> 1976, 863.</w:t>
      </w:r>
    </w:p>
  </w:footnote>
  <w:footnote w:id="31">
    <w:p>
      <w:pPr>
        <w:pStyle w:val="Footnote"/>
        <w:spacing w:before="0" w:after="200"/>
        <w:rPr/>
      </w:pPr>
      <w:r>
        <w:rPr>
          <w:rStyle w:val="FootnoteCharacters"/>
        </w:rPr>
        <w:footnoteRef/>
      </w:r>
      <w:r>
        <w:rPr/>
        <w:t xml:space="preserve"> </w:t>
      </w:r>
      <w:r>
        <w:rPr/>
        <w:t xml:space="preserve">_VGH Kassel, 11.11.1993, in </w:t>
      </w:r>
      <w:r>
        <w:rPr>
          <w:i/>
          <w:iCs/>
        </w:rPr>
        <w:t>NVwZ</w:t>
      </w:r>
      <w:r>
        <w:rPr/>
        <w:t xml:space="preserve">, 1995, 301; F. O. KOPP, W. R. SCHENKE, </w:t>
      </w:r>
      <w:r>
        <w:rPr>
          <w:i/>
          <w:iCs/>
        </w:rPr>
        <w:t>Verwaltungsgerichtsordnung</w:t>
      </w:r>
      <w:r>
        <w:rPr/>
        <w:t>, cit. sub. § 113, n. 91.</w:t>
      </w:r>
    </w:p>
  </w:footnote>
  <w:footnote w:id="32">
    <w:p>
      <w:pPr>
        <w:pStyle w:val="Footnote"/>
        <w:spacing w:before="0" w:after="200"/>
        <w:rPr/>
      </w:pPr>
      <w:r>
        <w:rPr>
          <w:rStyle w:val="FootnoteCharacters"/>
        </w:rPr>
        <w:footnoteRef/>
      </w:r>
      <w:r>
        <w:rPr/>
        <w:t xml:space="preserve"> </w:t>
      </w:r>
      <w:r>
        <w:rPr/>
        <w:t xml:space="preserve">§ 113/2, secondo alinea </w:t>
      </w:r>
      <w:r>
        <w:rPr>
          <w:i/>
          <w:iCs/>
        </w:rPr>
        <w:t>VwGO</w:t>
      </w:r>
      <w:r>
        <w:rPr/>
        <w:t>.</w:t>
      </w:r>
    </w:p>
  </w:footnote>
  <w:footnote w:id="33">
    <w:p>
      <w:pPr>
        <w:pStyle w:val="Footnote"/>
        <w:spacing w:before="0" w:after="200"/>
        <w:rPr/>
      </w:pPr>
      <w:r>
        <w:rPr>
          <w:rStyle w:val="FootnoteCharacters"/>
        </w:rPr>
        <w:footnoteRef/>
      </w:r>
      <w:r>
        <w:rPr/>
        <w:t xml:space="preserve"> </w:t>
      </w:r>
      <w:r>
        <w:rPr/>
        <w:t xml:space="preserve">F. O. KOPP, W. R. SCHENKE, </w:t>
      </w:r>
      <w:r>
        <w:rPr>
          <w:i/>
          <w:iCs/>
        </w:rPr>
        <w:t>Verwaltungsgerichtsordnung</w:t>
      </w:r>
      <w:r>
        <w:rPr/>
        <w:t>, cit., sub § 113, n. 87.</w:t>
      </w:r>
    </w:p>
  </w:footnote>
  <w:footnote w:id="34">
    <w:p>
      <w:pPr>
        <w:pStyle w:val="Footnote"/>
        <w:spacing w:before="0" w:after="200"/>
        <w:rPr/>
      </w:pPr>
      <w:r>
        <w:rPr>
          <w:rStyle w:val="FootnoteCharacters"/>
        </w:rPr>
        <w:footnoteRef/>
      </w:r>
      <w:r>
        <w:rPr/>
        <w:t xml:space="preserve"> </w:t>
      </w:r>
      <w:r>
        <w:rPr/>
        <w:t xml:space="preserve">Il § 113/5 </w:t>
      </w:r>
      <w:r>
        <w:rPr>
          <w:i/>
          <w:iCs/>
        </w:rPr>
        <w:t>VwGO</w:t>
      </w:r>
      <w:r>
        <w:rPr/>
        <w:t xml:space="preserve">, così come tradotto da G. FALCON, C. FRAENKEL, </w:t>
      </w:r>
      <w:r>
        <w:rPr>
          <w:i/>
          <w:iCs/>
        </w:rPr>
        <w:t>Ordinamento processuale, cit., 94</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5">
    <w:p>
      <w:pPr>
        <w:pStyle w:val="Footnote"/>
        <w:spacing w:before="0" w:after="200"/>
        <w:rPr/>
      </w:pPr>
      <w:r>
        <w:rPr>
          <w:rStyle w:val="FootnoteCharacters"/>
        </w:rPr>
        <w:footnoteRef/>
      </w:r>
      <w:r>
        <w:rPr/>
        <w:t xml:space="preserve"> </w:t>
      </w:r>
      <w:r>
        <w:rPr/>
        <w:t xml:space="preserve">Rileva D. DE PRETIS, </w:t>
      </w:r>
      <w:r>
        <w:rPr>
          <w:i/>
          <w:iCs/>
        </w:rPr>
        <w:t>Il processo amministrativo in Europa, cit., 121</w:t>
      </w:r>
      <w:r>
        <w:rPr/>
        <w:t xml:space="preserve"> come in questo caso oggetto del giudizio non è, se non in un secondo momento, il provvedimento di espresso diniego di quanto richiesto dal privato, ma, in primo luogo, il provvedimento che l’amministrazione avrebbe dovuto assumere per soddisfare la pretesa sostanziale del ricorrente, per cui è tale ultimo atto che l’amministrazione sarà tenuta ad adottare a seguito dell’eventuale sentenza di accoglimento della </w:t>
      </w:r>
      <w:r>
        <w:rPr>
          <w:i/>
          <w:iCs/>
        </w:rPr>
        <w:t>Verpflightungsklage</w:t>
      </w:r>
      <w:r>
        <w:rPr/>
        <w:t>.</w:t>
      </w:r>
    </w:p>
  </w:footnote>
  <w:footnote w:id="36">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7">
    <w:p>
      <w:pPr>
        <w:pStyle w:val="Footnote"/>
        <w:spacing w:before="0" w:after="200"/>
        <w:rPr/>
      </w:pPr>
      <w:r>
        <w:rPr>
          <w:rStyle w:val="FootnoteCharacters"/>
        </w:rPr>
        <w:footnoteRef/>
      </w:r>
      <w:r>
        <w:rPr/>
        <w:t xml:space="preserve"> </w:t>
      </w:r>
      <w:r>
        <w:rPr/>
        <w:t xml:space="preserve">G. FALCON, </w:t>
      </w:r>
      <w:r>
        <w:rPr>
          <w:i/>
          <w:iCs/>
        </w:rPr>
        <w:t>Per una migliore giustizia amministrativa</w:t>
      </w:r>
      <w:r>
        <w:rPr/>
        <w:t>, cit., 151.</w:t>
      </w:r>
    </w:p>
  </w:footnote>
  <w:footnote w:id="38">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39">
    <w:p>
      <w:pPr>
        <w:pStyle w:val="Footnote"/>
        <w:spacing w:before="0" w:after="200"/>
        <w:rPr/>
      </w:pPr>
      <w:r>
        <w:rPr>
          <w:rStyle w:val="FootnoteCharacters"/>
        </w:rPr>
        <w:footnoteRef/>
      </w:r>
      <w:r>
        <w:rPr/>
        <w:t xml:space="preserve"> </w:t>
      </w:r>
      <w:r>
        <w:rPr/>
        <w:t xml:space="preserve">B. MARCHETTI, </w:t>
      </w:r>
      <w:r>
        <w:rPr>
          <w:i/>
          <w:iCs/>
        </w:rPr>
        <w:t>L’esecuzione della sentenza amministrativa</w:t>
      </w:r>
      <w:r>
        <w:rPr/>
        <w:t>, cit., 46.</w:t>
      </w:r>
    </w:p>
  </w:footnote>
  <w:footnote w:id="40">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1">
    <w:p>
      <w:pPr>
        <w:pStyle w:val="Footnote"/>
        <w:spacing w:before="0" w:after="200"/>
        <w:rPr/>
      </w:pPr>
      <w:r>
        <w:rPr>
          <w:rStyle w:val="FootnoteCharacters"/>
        </w:rPr>
        <w:footnoteRef/>
      </w:r>
      <w:r>
        <w:rPr/>
        <w:t xml:space="preserve"> </w:t>
      </w:r>
      <w:r>
        <w:rPr/>
        <w:t xml:space="preserve">_“L’Etat toujours doit être réputé honnête homme”, E. LAFERRIERE, </w:t>
      </w:r>
      <w:r>
        <w:rPr>
          <w:i/>
          <w:iCs/>
        </w:rPr>
        <w:t>Traité de la juridiction administrative et des recours contentieux</w:t>
      </w:r>
      <w:r>
        <w:rPr/>
        <w:t>, Paris et Nancy 1896, I, 347 ss.</w:t>
      </w:r>
    </w:p>
  </w:footnote>
  <w:footnote w:id="42">
    <w:p>
      <w:pPr>
        <w:pStyle w:val="Footnote"/>
        <w:spacing w:before="0" w:after="200"/>
        <w:rPr/>
      </w:pPr>
      <w:r>
        <w:rPr>
          <w:rStyle w:val="FootnoteCharacters"/>
        </w:rPr>
        <w:footnoteRef/>
      </w:r>
      <w:r>
        <w:rPr/>
        <w:t xml:space="preserve"> </w:t>
      </w:r>
      <w:r>
        <w:rPr/>
        <w:t xml:space="preserve">G. FALCON, C. FRAENKEL, </w:t>
      </w:r>
      <w:r>
        <w:rPr>
          <w:i/>
          <w:iCs/>
        </w:rPr>
        <w:t>Ordinamento processuale amministrativo</w:t>
      </w:r>
      <w:r>
        <w:rPr/>
        <w:t>, cit., § 172, 138.</w:t>
      </w:r>
    </w:p>
  </w:footnote>
  <w:footnote w:id="43">
    <w:p>
      <w:pPr>
        <w:pStyle w:val="Footnote"/>
        <w:spacing w:before="0" w:after="200"/>
        <w:rPr/>
      </w:pPr>
      <w:r>
        <w:rPr>
          <w:rStyle w:val="FootnoteCharacters"/>
        </w:rPr>
        <w:footnoteRef/>
      </w:r>
      <w:r>
        <w:rPr/>
        <w:t xml:space="preserve"> </w:t>
      </w:r>
      <w:r>
        <w:rPr/>
        <w:t xml:space="preserve">W. BANK, </w:t>
      </w:r>
      <w:r>
        <w:rPr>
          <w:i/>
          <w:iCs/>
        </w:rPr>
        <w:t>Zwangsvollstreckung gegen Behörde</w:t>
      </w:r>
      <w:r>
        <w:rPr/>
        <w:t>, cit., 62.</w:t>
      </w:r>
    </w:p>
  </w:footnote>
  <w:footnote w:id="44">
    <w:p>
      <w:pPr>
        <w:pStyle w:val="Footnote"/>
        <w:spacing w:before="0" w:after="200"/>
        <w:rPr/>
      </w:pPr>
      <w:r>
        <w:rPr>
          <w:rStyle w:val="FootnoteCharacters"/>
        </w:rPr>
        <w:footnoteRef/>
      </w:r>
      <w:r>
        <w:rPr/>
        <w:t xml:space="preserve"> </w:t>
      </w:r>
      <w:r>
        <w:rPr/>
        <w:t xml:space="preserve">O. R. REMIEN, </w:t>
      </w:r>
      <w:r>
        <w:rPr>
          <w:i/>
          <w:iCs/>
        </w:rPr>
        <w:t>Zwangsgeld</w:t>
      </w:r>
      <w:r>
        <w:rPr/>
        <w:t>, cit., 11, 12.</w:t>
      </w:r>
    </w:p>
  </w:footnote>
  <w:footnote w:id="45">
    <w:p>
      <w:pPr>
        <w:pStyle w:val="Footnote"/>
        <w:spacing w:before="0" w:after="200"/>
        <w:rPr/>
      </w:pPr>
      <w:r>
        <w:rPr>
          <w:rStyle w:val="FootnoteCharacters"/>
        </w:rPr>
        <w:footnoteRef/>
      </w:r>
      <w:r>
        <w:rPr/>
        <w:t xml:space="preserve"> </w:t>
      </w:r>
      <w:r>
        <w:rPr/>
        <w:t xml:space="preserve">R. PIETZNER, in F. SCHOCH, E. SCHMIDT-AßMANN, R. PIETZNER, </w:t>
      </w:r>
      <w:r>
        <w:rPr>
          <w:i/>
          <w:iCs/>
        </w:rPr>
        <w:t>VwGO</w:t>
      </w:r>
      <w:r>
        <w:rPr/>
        <w:t>, cit. sub §172, n. 52.</w:t>
      </w:r>
    </w:p>
  </w:footnote>
  <w:footnote w:id="46">
    <w:p>
      <w:pPr>
        <w:pStyle w:val="Footnote"/>
        <w:spacing w:before="0" w:after="200"/>
        <w:rPr/>
      </w:pPr>
      <w:r>
        <w:rPr>
          <w:rStyle w:val="FootnoteCharacters"/>
        </w:rPr>
        <w:footnoteRef/>
      </w:r>
      <w:r>
        <w:rPr/>
        <w:t xml:space="preserve"> </w:t>
      </w:r>
      <w:r>
        <w:rPr/>
        <w:t xml:space="preserve">R. PIETZNER, in F. SCHOCH, E. SCHMIDT-AßMANN, R. PIETZNER, </w:t>
      </w:r>
      <w:r>
        <w:rPr>
          <w:i/>
          <w:iCs/>
        </w:rPr>
        <w:t>VwGO</w:t>
      </w:r>
      <w:r>
        <w:rPr/>
        <w:t>, cit. sub §167, n. 5.</w:t>
      </w:r>
    </w:p>
  </w:footnote>
  <w:footnote w:id="47">
    <w:p>
      <w:pPr>
        <w:pStyle w:val="Footnote"/>
        <w:spacing w:before="0" w:after="200"/>
        <w:rPr/>
      </w:pPr>
      <w:r>
        <w:rPr>
          <w:rStyle w:val="FootnoteCharacters"/>
        </w:rPr>
        <w:footnoteRef/>
      </w:r>
      <w:r>
        <w:rPr/>
        <w:t xml:space="preserve"> </w:t>
      </w:r>
      <w:r>
        <w:rPr/>
        <w:t xml:space="preserve">_BVerwG 26.10.1984, in </w:t>
      </w:r>
      <w:r>
        <w:rPr>
          <w:i/>
          <w:iCs/>
        </w:rPr>
        <w:t>NVwZ</w:t>
      </w:r>
      <w:r>
        <w:rPr/>
        <w:t xml:space="preserve"> 1985, 563.</w:t>
      </w:r>
    </w:p>
  </w:footnote>
  <w:footnote w:id="48">
    <w:p>
      <w:pPr>
        <w:pStyle w:val="Footnote"/>
        <w:spacing w:before="0" w:after="200"/>
        <w:rPr/>
      </w:pPr>
      <w:r>
        <w:rPr>
          <w:rStyle w:val="FootnoteCharacters"/>
        </w:rPr>
        <w:footnoteRef/>
      </w:r>
      <w:r>
        <w:rPr/>
        <w:t xml:space="preserve"> </w:t>
      </w:r>
      <w:r>
        <w:rPr/>
        <w:t xml:space="preserve">S. DETTERBECK, </w:t>
      </w:r>
      <w:r>
        <w:rPr>
          <w:i/>
          <w:iCs/>
        </w:rPr>
        <w:t>Allgemeines Verwaltungsrecht</w:t>
      </w:r>
      <w:r>
        <w:rPr/>
        <w:t>, cit., 379.</w:t>
      </w:r>
    </w:p>
  </w:footnote>
  <w:footnote w:id="49">
    <w:p>
      <w:pPr>
        <w:pStyle w:val="Footnote"/>
        <w:spacing w:before="0" w:after="200"/>
        <w:rPr/>
      </w:pPr>
      <w:r>
        <w:rPr>
          <w:rStyle w:val="FootnoteCharacters"/>
        </w:rPr>
        <w:footnoteRef/>
      </w:r>
      <w:r>
        <w:rPr/>
        <w:t xml:space="preserve"> </w:t>
      </w:r>
      <w:r>
        <w:rPr/>
        <w:t xml:space="preserve">U. KARPEN, </w:t>
      </w:r>
      <w:r>
        <w:rPr>
          <w:i/>
          <w:iCs/>
        </w:rPr>
        <w:t>L’esperienza della Germania</w:t>
      </w:r>
      <w:r>
        <w:rPr/>
        <w:t xml:space="preserve">, in D. SORACE (a cura di) </w:t>
      </w:r>
      <w:r>
        <w:rPr>
          <w:i/>
          <w:iCs/>
        </w:rPr>
        <w:t>La responsabilità pubblica nell’esperienza giuridica europea</w:t>
      </w:r>
      <w:r>
        <w:rPr/>
        <w:t>, Bologna, 1994, 140.</w:t>
      </w:r>
    </w:p>
  </w:footnote>
  <w:footnote w:id="50">
    <w:p>
      <w:pPr>
        <w:pStyle w:val="Footnote"/>
        <w:spacing w:before="0" w:after="200"/>
        <w:rPr/>
      </w:pPr>
      <w:r>
        <w:rPr>
          <w:rStyle w:val="FootnoteCharacters"/>
        </w:rPr>
        <w:footnoteRef/>
      </w:r>
      <w:r>
        <w:rPr/>
        <w:t xml:space="preserve"> …</w:t>
      </w:r>
    </w:p>
  </w:footnote>
  <w:footnote w:id="51">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w:t>
      </w:r>
      <w:r>
        <w:rPr>
          <w:i/>
          <w:iCs/>
        </w:rPr>
        <w:t>Portal Français, 100 mots du trésor FR - la corvée</w:t>
      </w:r>
      <w:r>
        <w:rPr/>
        <w:t xml:space="preserve"> di Agnes Dijaux. Nella Francia dell’</w:t>
      </w:r>
      <w:r>
        <w:rPr>
          <w:i/>
          <w:iCs/>
        </w:rPr>
        <w:t>Ancien régime</w:t>
      </w:r>
      <w:r>
        <w:rPr/>
        <w:t xml:space="preserve">, il termine indicava le giornate di lavoro che i sudditi dovevano al re per la manutenzione delle strade pubbliche - Cfr. </w:t>
      </w:r>
      <w:r>
        <w:rPr>
          <w:i/>
          <w:iCs/>
        </w:rPr>
        <w:t>Treccani.it</w:t>
      </w:r>
      <w:r>
        <w:rPr/>
        <w:t>, Enciclopedia, dizionario di storia (2010).</w:t>
      </w:r>
    </w:p>
  </w:footnote>
  <w:footnote w:id="52">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Torino, 2019, 8, 9: “Le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p>
  </w:footnote>
  <w:footnote w:id="53">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9.</w:t>
      </w:r>
    </w:p>
  </w:footnote>
  <w:footnote w:id="54">
    <w:p>
      <w:pPr>
        <w:pStyle w:val="Footnote"/>
        <w:spacing w:before="0" w:after="200"/>
        <w:rPr/>
      </w:pPr>
      <w:r>
        <w:rPr>
          <w:rStyle w:val="FootnoteCharacters"/>
        </w:rPr>
        <w:footnoteRef/>
      </w:r>
      <w:r>
        <w:rPr/>
        <w:t xml:space="preserve"> </w:t>
      </w:r>
      <w:r>
        <w:rPr/>
        <w:t>M. HAURIOU, Précis de droit administratif, Paris, 1933, 13 ss.</w:t>
      </w:r>
    </w:p>
  </w:footnote>
  <w:footnote w:id="55">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11.</w:t>
      </w:r>
    </w:p>
  </w:footnote>
  <w:footnote w:id="56">
    <w:p>
      <w:pPr>
        <w:pStyle w:val="Footnote"/>
        <w:spacing w:before="0" w:after="200"/>
        <w:rPr/>
      </w:pPr>
      <w:r>
        <w:rPr>
          <w:rStyle w:val="FootnoteCharacters"/>
        </w:rPr>
        <w:footnoteRef/>
      </w:r>
      <w:r>
        <w:rPr/>
        <w:t xml:space="preserve"> </w:t>
      </w:r>
      <w:r>
        <w:rPr/>
        <w:t>Cfr. https://www.vie-publique.fr/fiches/20284-justice-administrative-origines-role-et-specificites</w:t>
      </w:r>
    </w:p>
  </w:footnote>
  <w:footnote w:id="57">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https://www.justice.gouv.fr/organisation-de-la-justice-10031/lordre-administratif-10034/</w:t>
      </w:r>
    </w:p>
  </w:footnote>
  <w:footnote w:id="58">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https://www.conseil-constitutionnel.fr/actualites/communique/decision-n-2009-594-dc-du-3-decembre-2009-communique-de-presse#:~:text=Le%203%20d%C3%A9cembre%202009%2C%20par,portant%20diverses%20dispositions%20relatives%20aux</w:t>
      </w:r>
    </w:p>
  </w:footnote>
  <w:footnote w:id="59">
    <w:p>
      <w:pPr>
        <w:pStyle w:val="Footnote"/>
        <w:spacing w:before="0" w:after="200"/>
        <w:rPr/>
      </w:pPr>
      <w:r>
        <w:rPr>
          <w:rStyle w:val="FootnoteCharacters"/>
        </w:rPr>
        <w:footnoteRef/>
      </w:r>
      <w:r>
        <w:rPr/>
        <w:t xml:space="preserve"> </w:t>
      </w:r>
      <w:r>
        <w:rPr/>
        <w:t xml:space="preserve">Cfr. art. L. 8-3 del </w:t>
      </w:r>
      <w:r>
        <w:rPr>
          <w:i/>
          <w:iCs/>
        </w:rPr>
        <w:t>code des tribunaux administratifs et des cours administratives d’appel</w:t>
      </w:r>
      <w:r>
        <w:rPr/>
        <w:t xml:space="preserve"> in https://www.senat.fr/rap/l98-380/l98-3805.html</w:t>
      </w:r>
    </w:p>
  </w:footnote>
  <w:footnote w:id="60">
    <w:p>
      <w:pPr>
        <w:pStyle w:val="Footnote"/>
        <w:spacing w:before="0" w:after="200"/>
        <w:rPr/>
      </w:pPr>
      <w:r>
        <w:rPr>
          <w:rStyle w:val="FootnoteCharacters"/>
        </w:rPr>
        <w:footnoteRef/>
      </w:r>
      <w:r>
        <w:rPr/>
        <w:t xml:space="preserve"> </w:t>
      </w:r>
      <w:r>
        <w:rPr/>
        <w:t xml:space="preserve">Cfr. art. L. 8-3 del </w:t>
      </w:r>
      <w:r>
        <w:rPr>
          <w:i/>
          <w:iCs/>
        </w:rPr>
        <w:t>code des tribunaux administratifs et des cours administratives d’appel</w:t>
      </w:r>
      <w:r>
        <w:rPr/>
        <w:t xml:space="preserve"> in https://www.senat.fr/rap/l98-380/l98-3805.html</w:t>
      </w:r>
    </w:p>
  </w:footnote>
  <w:footnote w:id="61">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https://www.senat.fr/rap/l98-380/l98-3805.html</w:t>
      </w:r>
    </w:p>
  </w:footnote>
  <w:footnote w:id="62">
    <w:p>
      <w:pPr>
        <w:pStyle w:val="Footnote"/>
        <w:spacing w:before="0" w:after="200"/>
        <w:rPr/>
      </w:pPr>
      <w:r>
        <w:rPr>
          <w:rStyle w:val="FootnoteCharacters"/>
        </w:rPr>
        <w:footnoteRef/>
      </w:r>
      <w:r>
        <w:rPr/>
        <w:t xml:space="preserve"> </w:t>
      </w:r>
      <w:r>
        <w:rPr/>
        <w:t xml:space="preserve">Cfr. Dupre de Boulois X, </w:t>
      </w:r>
      <w:r>
        <w:rPr>
          <w:i/>
          <w:iCs/>
        </w:rPr>
        <w:t>« Le référé-liberté pour autrui »</w:t>
      </w:r>
      <w:r>
        <w:rPr/>
        <w:t>, AJDA 2013, p. 2137</w:t>
      </w:r>
    </w:p>
  </w:footnote>
  <w:footnote w:id="63">
    <w:p>
      <w:pPr>
        <w:pStyle w:val="Footnote"/>
        <w:spacing w:before="0" w:after="200"/>
        <w:rPr/>
      </w:pPr>
      <w:r>
        <w:rPr>
          <w:rStyle w:val="FootnoteCharacters"/>
        </w:rPr>
        <w:footnoteRef/>
      </w:r>
      <w:r>
        <w:rPr/>
        <w:t xml:space="preserve"> </w:t>
      </w:r>
      <w:r>
        <w:rPr/>
        <w:t>Cfr. https://www.actu-juridique.fr/administratif/le-pouvoir-dinjonction-du-juge-administratif-revisite-par-les-circonstances-exceptionnelles-de-la-crise-sanitaire-du-covid-19/</w:t>
      </w:r>
    </w:p>
  </w:footnote>
  <w:footnote w:id="64">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http://paris.cour-administrative-appel.fr/Demarches-procedures/Les-fiches-pratiques-de-la-justice-administrative</w:t>
      </w:r>
    </w:p>
  </w:footnote>
  <w:footnote w:id="65">
    <w:p>
      <w:pPr>
        <w:pStyle w:val="Footnote"/>
        <w:spacing w:before="0" w:after="200"/>
        <w:rPr/>
      </w:pPr>
      <w:r>
        <w:rPr>
          <w:rStyle w:val="FootnoteCharacters"/>
        </w:rPr>
        <w:footnoteRef/>
      </w:r>
      <w:r>
        <w:rPr/>
        <w:t xml:space="preserve"> </w:t>
      </w:r>
      <w:r>
        <w:rPr/>
        <w:t>Tradotto letteralmente come procedura di costrizione al pagamento, anche chiamata procedura di pagamento forzato.</w:t>
      </w:r>
    </w:p>
  </w:footnote>
  <w:footnote w:id="66">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http://paris.cour-administrative-appel.fr/Demarches-procedures/Les-fiches-pratiques-de-la-justice-administrative</w:t>
      </w:r>
    </w:p>
  </w:footnote>
  <w:footnote w:id="67">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http://paris.cour-administrative-appel.fr/Demarches-procedures/Les-fiches-pratiques-de-la-justice-administrative</w:t>
      </w:r>
    </w:p>
  </w:footnote>
  <w:footnote w:id="68">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http://paris.tribunal-administratif.fr/Demarches-procedures/L-execution-des-decisions-du-juge-administratif</w:t>
      </w:r>
    </w:p>
  </w:footnote>
  <w:footnote w:id="69">
    <w:p>
      <w:pPr>
        <w:pStyle w:val="Footnote"/>
        <w:spacing w:before="0" w:after="200"/>
        <w:rPr/>
      </w:pPr>
      <w:r>
        <w:rPr>
          <w:rStyle w:val="FootnoteCharacters"/>
        </w:rPr>
        <w:footnoteRef/>
      </w:r>
      <w:r>
        <w:rPr/>
        <w:t xml:space="preserve"> </w:t>
      </w:r>
      <w:r>
        <w:rPr/>
        <w:t xml:space="preserve">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0">
    <w:p>
      <w:pPr>
        <w:pStyle w:val="Footnote"/>
        <w:spacing w:before="0" w:after="200"/>
        <w:rPr/>
      </w:pPr>
      <w:r>
        <w:rPr>
          <w:rStyle w:val="FootnoteCharacters"/>
        </w:rPr>
        <w:footnoteRef/>
      </w:r>
      <w:r>
        <w:rPr/>
        <w:t xml:space="preserve"> </w:t>
      </w:r>
      <w:r>
        <w:rPr/>
        <w:t xml:space="preserve">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71">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72">
    <w:p>
      <w:pPr>
        <w:pStyle w:val="Footnote"/>
        <w:spacing w:before="0" w:after="200"/>
        <w:rPr/>
      </w:pPr>
      <w:r>
        <w:rPr>
          <w:rStyle w:val="FootnoteCharacters"/>
        </w:rPr>
        <w:footnoteRef/>
      </w:r>
      <w:r>
        <w:rPr/>
        <w:t xml:space="preserve"> </w:t>
      </w:r>
      <w:r>
        <w:rPr/>
        <w:t xml:space="preserve">FRANCESCO M. CARALLI, </w:t>
      </w:r>
      <w:r>
        <w:rPr>
          <w:i/>
          <w:iCs/>
        </w:rPr>
        <w:t>Il nuovo giudizio di ottemperanza, con particolare riguardo alle astreintes</w:t>
      </w:r>
      <w:r>
        <w:rPr/>
        <w:t>, in Italiappalti.it, 2017, 11.</w:t>
      </w:r>
    </w:p>
  </w:footnote>
  <w:footnote w:id="73">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74">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75">
    <w:p>
      <w:pPr>
        <w:pStyle w:val="Footnote"/>
        <w:spacing w:before="0" w:after="200"/>
        <w:rPr/>
      </w:pPr>
      <w:r>
        <w:rPr>
          <w:rStyle w:val="FootnoteCharacters"/>
        </w:rPr>
        <w:footnoteRef/>
      </w:r>
      <w:r>
        <w:rPr/>
        <w:t xml:space="preserve"> </w:t>
      </w:r>
      <w:r>
        <w:rPr/>
        <w:t xml:space="preserve">R. CHAPUS, </w:t>
      </w:r>
      <w:r>
        <w:rPr>
          <w:i/>
          <w:iCs/>
        </w:rPr>
        <w:t>Droit du contentieux administratif</w:t>
      </w:r>
      <w:r>
        <w:rPr/>
        <w:t>, 12 ed., Paris, 2006, 1132.</w:t>
      </w:r>
    </w:p>
  </w:footnote>
  <w:footnote w:id="76">
    <w:p>
      <w:pPr>
        <w:pStyle w:val="Footnote"/>
        <w:spacing w:before="0" w:after="200"/>
        <w:rPr/>
      </w:pPr>
      <w:r>
        <w:rPr>
          <w:rStyle w:val="FootnoteCharacters"/>
        </w:rPr>
        <w:footnoteRef/>
      </w:r>
      <w:r>
        <w:rPr/>
        <w:t xml:space="preserve"> </w:t>
      </w:r>
      <w:r>
        <w:rPr/>
        <w:t xml:space="preserve">R. CHAPUS, </w:t>
      </w:r>
      <w:r>
        <w:rPr>
          <w:i/>
          <w:iCs/>
        </w:rPr>
        <w:t>Droit du contentieux adminisratif</w:t>
      </w:r>
      <w:r>
        <w:rPr/>
        <w:t>, 12 ed., Paris, 2006, 1135.</w:t>
      </w:r>
    </w:p>
  </w:footnote>
  <w:footnote w:id="77">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www.dhellencourt-avocats.fr</w:t>
      </w:r>
    </w:p>
  </w:footnote>
  <w:footnote w:id="78">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www.service-public.fr/particuliers/vosdroits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gilander.libero.it/bhilex/studi/artprammsez_I_II1.htm?utm_source=pocket_mylist"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50</Pages>
  <Words>13887</Words>
  <Characters>87469</Characters>
  <CharactersWithSpaces>101227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2022-11-30T22:19:24Z</dcterms:created>
  <dc:creator/>
  <dc:description/>
  <dc:language>it</dc:language>
  <cp:lastModifiedBy/>
  <dcterms:modified xsi:type="dcterms:W3CDTF">2022-11-30T23:22:17Z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/home/mari/Dropbox/Study/Tesi/mc-thesis/source/references.bib</vt:lpwstr>
  </property>
</Properties>
</file>