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ransTitle"/>
        <w:jc w:val="center"/>
      </w:pPr>
      <w:r>
        <w:t>基于结构光照明的高对比度显微成像：方法与性能评估（排版示例）</w:t>
      </w:r>
    </w:p>
    <w:p>
      <w:pPr>
        <w:pStyle w:val="TransEnglish"/>
        <w:jc w:val="center"/>
      </w:pPr>
      <w:r>
        <w:t>High-contrast microscopy based on structured illumination: methods and performance (layout example)</w:t>
      </w:r>
    </w:p>
    <w:p>
      <w:pPr>
        <w:pStyle w:val="TransMeta"/>
        <w:jc w:val="center"/>
      </w:pPr>
      <w:r>
        <w:t>Academic Imaging · 论文中文翻译格式样板 · DOI：〔原文 DOI 位置〕</w:t>
      </w:r>
    </w:p>
    <w:p>
      <w:pPr>
        <w:pStyle w:val="TransMeta"/>
        <w:jc w:val="center"/>
      </w:pPr>
      <w:r>
        <w:t>作者：〔作者 A〕、〔作者 B〕、〔作者 C〕（演示占位符）</w:t>
      </w:r>
    </w:p>
    <w:p>
      <w:pPr>
        <w:pStyle w:val="TransMeta"/>
        <w:jc w:val="center"/>
      </w:pPr>
      <w:r>
        <w:t>说明：本文所有研究内容、图像和数值均为版式演示材料，可直接替换为真实译文。</w:t>
      </w:r>
    </w:p>
    <w:p>
      <w:pPr>
        <w:pStyle w:val="TransH1"/>
      </w:pPr>
      <w:r>
        <w:t>摘要</w:t>
      </w:r>
    </w:p>
    <w:p>
      <w:pPr/>
      <w:r>
        <w:t>高分辨率荧光显微成像能够提供丰富的细胞结构信息，但图像对比度、采集速度与计算效率之间通常存在一定权衡。为了演示科研论文中文翻译稿的排版格式，本文构建了一个简化的结构光照明显微成像示例，依次展示成像模型、模拟图像、重建结果、评价指标与方法学描述。示例采用单栏中文正文，并将必要的英文缩写、数学公式、图题及参考文献按学术论文惯例组织。本文内容仅用于验证 Word 文件中的字体、标题层级、行距、首行缩进、图文对应关系以及跨页布局，不构成真实的研究报告。</w:t>
      </w:r>
    </w:p>
    <w:p>
      <w:pPr>
        <w:pStyle w:val="TransMeta"/>
      </w:pPr>
      <w:r>
        <w:t>关键词：结构光照明显微术；超分辨成像；图像重建；排版样板</w:t>
      </w:r>
    </w:p>
    <w:p>
      <w:pPr>
        <w:pStyle w:val="TransH1"/>
      </w:pPr>
      <w:r>
        <w:t>引言</w:t>
      </w:r>
    </w:p>
    <w:p>
      <w:pPr/>
      <w:r>
        <w:t>结构光照明显微术（structured illumination microscopy，SIM）是一类利用可控照明调制拓展成像信息的光学显微技术。其处理流程通常包括原始数据采集、调制参数估计、频谱分离与图像重建。相关研究不断探索分辨率、重建保真度与处理速度之间的关系¹–³。翻译这类论文时，既要准确呈现技术术语，也需要保留公式、实验条件、图注和参考文献之间的对应关系。</w:t>
      </w:r>
    </w:p>
    <w:p>
      <w:pPr/>
      <w:r>
        <w:t>与原始英文期刊常见的双栏版式不同，中文阅读稿采用单栏格式更适合连续阅读、批注和后续修改。本样板按照论文通用结构排列章节，使标题、正文、公式和图表能够在不同长度的译文中保持一致。这里使用的科学描述和模拟图片主要承担版式测试功能。</w:t>
      </w:r>
    </w:p>
    <w:p>
      <w:pPr/>
      <w:r>
        <w:t>为保证译文结构的可读性，正文中的专业缩写一般在首次出现时提供完整名称和中文译名。例如点扩散函数（point spread function，PSF）与光学传递函数（optical transfer function，OTF）均属于显微成像领域常见的术语。对数学变量、物理单位和仪器型号，应严格沿用原始论文给出的表达方式。</w:t>
      </w:r>
    </w:p>
    <w:p>
      <w:pPr/>
      <w:r>
        <w:t>对于图文数量较多的技术论文，合理的标题层级也有助于区分研究背景、系统搭建、定量结果与讨论。每一节都应包含适度的段间间距与清晰的字体层级，避免仅使用加粗正文代替真正的 Word 标题样式。样板中所有标题都建立为独立样式，便于整体调整，也便于生成目录。</w:t>
      </w:r>
    </w:p>
    <w:p>
      <w:r>
        <w:br w:type="page"/>
      </w:r>
    </w:p>
    <w:p>
      <w:pPr>
        <w:pStyle w:val="TransH1"/>
      </w:pPr>
      <w:r>
        <w:t>结果</w:t>
      </w:r>
    </w:p>
    <w:p>
      <w:pPr>
        <w:pStyle w:val="TransH2"/>
      </w:pPr>
      <w:r>
        <w:t>成像流程与示例原始数据</w:t>
      </w:r>
    </w:p>
    <w:p>
      <w:pPr/>
      <w:r>
        <w:t>示例成像系统假定使用周期性照明图案对一个合成样品进行调制。样品在二维平面上的荧光分布用 O(x, y) 表示，照明强度用 I(x, y) 表示。图 1a 显示理想化样品信号，图 1b 显示简化的周期性照明，图 1c 则给出两者叠加后的模拟原始图像。实际论文中应保留所有子图编号、比例尺、参数符号及实验条件。</w:t>
      </w:r>
    </w:p>
    <w:p>
      <w:pPr>
        <w:keepNext/>
        <w:keepLines/>
        <w:spacing w:before="160" w:after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4298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dem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29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ransCaption"/>
        <w:keepLines/>
      </w:pPr>
      <w:r>
        <w:rPr>
          <w:b/>
        </w:rPr>
        <w:t>图 1｜示例结构光照明成像过程。</w:t>
      </w:r>
      <w:r>
        <w:t>a，采用虚构荧光结构生成的理想化样品图像。b，用于说明条纹调制的周期性照明分布。c，调制照明与样品相乘后形成的合成原始图像。全部图像均为程序生成，仅展示高清图片与完整中文图注的排版方式；坐标和强度均采用任意单位（a.u.）。</w:t>
      </w:r>
    </w:p>
    <w:p>
      <w:pPr>
        <w:pStyle w:val="TransH2"/>
      </w:pPr>
      <w:r>
        <w:t>模型表达与定量指标</w:t>
      </w:r>
    </w:p>
    <w:p>
      <w:pPr/>
      <w:r>
        <w:t>为了演示可编辑数学公式，可使用信号背景比（signal-to-background ratio，SBR）表示图像中目标区域与背景区域的强度关系。如下公式为排版示例，其中 μsignal 和 μbackground 分别表示信号区域与背景区域的平均强度。真实论文中的所有数学符号、上标、下标、分式及公式编号必须与原文逐一对应。</w:t>
      </w:r>
    </w:p>
    <w:p>
      <w:pPr>
        <w:spacing w:before="180" w:after="200"/>
        <w:ind w:firstLine="0"/>
        <w:jc w:val="center"/>
      </w:pPr>
      <m:oMathPara>
        <m:oMath>
          <m:r>
            <m:t>SBR = </m:t>
          </m:r>
          <m:f>
            <m:fPr/>
            <m:num>
              <m:sSub>
                <m:e>
                  <m:r>
                    <m:t>μ</m:t>
                  </m:r>
                </m:e>
                <m:sub>
                  <m:r>
                    <m:t>signal</m:t>
                  </m:r>
                </m:sub>
              </m:sSub>
              <m:r>
                <m:t> − </m:t>
              </m:r>
              <m:sSub>
                <m:e>
                  <m:r>
                    <m:t>μ</m:t>
                  </m:r>
                </m:e>
                <m:sub>
                  <m:r>
                    <m:t>background</m:t>
                  </m:r>
                </m:sub>
              </m:sSub>
            </m:num>
            <m:den>
              <m:sSub>
                <m:e>
                  <m:r>
                    <m:t>μ</m:t>
                  </m:r>
                </m:e>
                <m:sub>
                  <m:r>
                    <m:t>background</m:t>
                  </m:r>
                </m:sub>
              </m:sSub>
            </m:den>
          </m:f>
          <m:r>
            <m:t>     (1)</m:t>
          </m:r>
        </m:oMath>
      </m:oMathPara>
    </w:p>
    <w:p>
      <w:pPr/>
      <w:r>
        <w:t>应将公式作为 Microsoft Word 原生公式对象插入，而不是将公式作为截图。这样读者可以在 Word 公式编辑器中继续修改分子、分母与变量；公式编号“（1）”用于示范独立公式的标注位置。</w:t>
      </w:r>
    </w:p>
    <w:p>
      <w:pPr>
        <w:pStyle w:val="TransH2"/>
      </w:pPr>
      <w:r>
        <w:t>不同模式的参数对比</w:t>
      </w:r>
    </w:p>
    <w:p>
      <w:pPr/>
      <w:r>
        <w:t>为展示科研论文中常见的定量比较形式，表 1 给出了三种虚构成像配置。表格中的每个单元格均保持可编辑状态，数值单位在列标题内统一注明，并使用浅灰蓝色表头提高识别度。</w:t>
      </w:r>
    </w:p>
    <w:p>
      <w:pPr>
        <w:pStyle w:val="TransCaption"/>
        <w:keepNext/>
      </w:pPr>
      <w:r>
        <w:rPr>
          <w:b/>
        </w:rPr>
        <w:t>表 1｜</w:t>
      </w:r>
      <w:r>
        <w:t>示例成像方式与参数比较。数值仅用于展示表格样式，不代表实验测量结果。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BE2"/>
          <w:bottom w:val="single" w:sz="4" w:color="D3DBE2"/>
          <w:insideH w:val="single" w:sz="4" w:color="D3DBE2"/>
        </w:tblBorders>
      </w:tblPr>
      <w:tblGrid>
        <w:gridCol w:w="1984"/>
        <w:gridCol w:w="1361"/>
        <w:gridCol w:w="2211"/>
        <w:gridCol w:w="3005"/>
      </w:tblGrid>
      <w:tr>
        <w:trPr>
          <w:tblHeader w:val="true"/>
        </w:trPr>
        <w:tc>
          <w:tcPr>
            <w:tcW w:type="dxa" w:w="2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BF1F6"/>
          </w:tcPr>
          <w:p>
            <w:pPr>
              <w:pStyle w:val="TransTable"/>
              <w:spacing w:after="0"/>
              <w:jc w:val="left"/>
            </w:pPr>
            <w:r>
              <w:rPr>
                <w:b/>
                <w:sz w:val="18"/>
              </w:rPr>
              <w:t>成像模式</w:t>
            </w:r>
          </w:p>
        </w:tc>
        <w:tc>
          <w:tcPr>
            <w:tcW w:type="dxa" w:w="2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BF1F6"/>
          </w:tcPr>
          <w:p>
            <w:pPr>
              <w:pStyle w:val="TransTable"/>
              <w:spacing w:after="0"/>
              <w:jc w:val="center"/>
            </w:pPr>
            <w:r>
              <w:rPr>
                <w:b/>
                <w:sz w:val="18"/>
              </w:rPr>
              <w:t>输入帧数</w:t>
            </w:r>
          </w:p>
        </w:tc>
        <w:tc>
          <w:tcPr>
            <w:tcW w:type="dxa" w:w="2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BF1F6"/>
          </w:tcPr>
          <w:p>
            <w:pPr>
              <w:pStyle w:val="TransTable"/>
              <w:spacing w:after="0"/>
              <w:jc w:val="center"/>
            </w:pPr>
            <w:r>
              <w:rPr>
                <w:b/>
                <w:sz w:val="18"/>
              </w:rPr>
              <w:t>处理时间（ms）</w:t>
            </w:r>
          </w:p>
        </w:tc>
        <w:tc>
          <w:tcPr>
            <w:tcW w:type="dxa" w:w="2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BF1F6"/>
          </w:tcPr>
          <w:p>
            <w:pPr>
              <w:pStyle w:val="TransTable"/>
              <w:spacing w:after="0"/>
              <w:jc w:val="left"/>
            </w:pPr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2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pStyle w:val="TransTable"/>
              <w:spacing w:after="0"/>
              <w:jc w:val="left"/>
            </w:pPr>
            <w:r>
              <w:rPr>
                <w:sz w:val="18"/>
              </w:rPr>
              <w:t>宽场参考</w:t>
            </w:r>
          </w:p>
        </w:tc>
        <w:tc>
          <w:tcPr>
            <w:tcW w:type="dxa" w:w="2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pStyle w:val="TransTable"/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pStyle w:val="TransTable"/>
              <w:spacing w:after="0"/>
              <w:jc w:val="center"/>
            </w:pPr>
            <w:r>
              <w:rPr>
                <w:sz w:val="18"/>
              </w:rPr>
              <w:t>12.8</w:t>
            </w:r>
          </w:p>
        </w:tc>
        <w:tc>
          <w:tcPr>
            <w:tcW w:type="dxa" w:w="2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pStyle w:val="TransTable"/>
              <w:spacing w:after="0"/>
              <w:jc w:val="left"/>
            </w:pPr>
            <w:r>
              <w:rPr>
                <w:sz w:val="18"/>
              </w:rPr>
              <w:t>基础信号采集</w:t>
            </w:r>
          </w:p>
        </w:tc>
      </w:tr>
      <w:tr>
        <w:tc>
          <w:tcPr>
            <w:tcW w:type="dxa" w:w="2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pStyle w:val="TransTable"/>
              <w:spacing w:after="0"/>
              <w:jc w:val="left"/>
            </w:pPr>
            <w:r>
              <w:rPr>
                <w:sz w:val="18"/>
              </w:rPr>
              <w:t>模拟调制 A</w:t>
            </w:r>
          </w:p>
        </w:tc>
        <w:tc>
          <w:tcPr>
            <w:tcW w:type="dxa" w:w="2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pStyle w:val="TransTable"/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pStyle w:val="TransTable"/>
              <w:spacing w:after="0"/>
              <w:jc w:val="center"/>
            </w:pPr>
            <w:r>
              <w:rPr>
                <w:sz w:val="18"/>
              </w:rPr>
              <w:t>18.5</w:t>
            </w:r>
          </w:p>
        </w:tc>
        <w:tc>
          <w:tcPr>
            <w:tcW w:type="dxa" w:w="2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pStyle w:val="TransTable"/>
              <w:spacing w:after="0"/>
              <w:jc w:val="left"/>
            </w:pPr>
            <w:r>
              <w:rPr>
                <w:sz w:val="18"/>
              </w:rPr>
              <w:t>演示多帧重建</w:t>
            </w:r>
          </w:p>
        </w:tc>
      </w:tr>
      <w:tr>
        <w:tc>
          <w:tcPr>
            <w:tcW w:type="dxa" w:w="2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pStyle w:val="TransTable"/>
              <w:spacing w:after="0"/>
              <w:jc w:val="left"/>
            </w:pPr>
            <w:r>
              <w:rPr>
                <w:sz w:val="18"/>
              </w:rPr>
              <w:t>模拟调制 B</w:t>
            </w:r>
          </w:p>
        </w:tc>
        <w:tc>
          <w:tcPr>
            <w:tcW w:type="dxa" w:w="2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pStyle w:val="TransTable"/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pStyle w:val="TransTable"/>
              <w:spacing w:after="0"/>
              <w:jc w:val="center"/>
            </w:pPr>
            <w:r>
              <w:rPr>
                <w:sz w:val="18"/>
              </w:rPr>
              <w:t>23.1</w:t>
            </w:r>
          </w:p>
        </w:tc>
        <w:tc>
          <w:tcPr>
            <w:tcW w:type="dxa" w:w="2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pStyle w:val="TransTable"/>
              <w:spacing w:after="0"/>
              <w:jc w:val="left"/>
            </w:pPr>
            <w:r>
              <w:rPr>
                <w:sz w:val="18"/>
              </w:rPr>
              <w:t>演示高对比度模式</w:t>
            </w:r>
          </w:p>
        </w:tc>
      </w:tr>
    </w:tbl>
    <w:p>
      <w:pPr>
        <w:pStyle w:val="TransH3"/>
      </w:pPr>
      <w:r>
        <w:t>扩展结果与误差分析</w:t>
      </w:r>
    </w:p>
    <w:p>
      <w:pPr/>
      <w:r>
        <w:t>除平均信号强度外，图像分析还可以记录信号波动、背景标准差和重建时间等指标。在真实的完整翻译任务中，应按原文逐段保留这些实验参数，并且不得为了调整页面长度而删除统计分析、重复实验次数或不显著的比较结果。图表与其前后的文字应形成连续的逻辑结构，避免出现正文与图题相隔数页的情况。</w:t>
      </w:r>
    </w:p>
    <w:p>
      <w:pPr>
        <w:pStyle w:val="TransH1"/>
      </w:pPr>
      <w:r>
        <w:t>讨论</w:t>
      </w:r>
    </w:p>
    <w:p>
      <w:pPr/>
      <w:r>
        <w:t>本示例展示了在一份中文科研论文阅读稿中结合层级标题、正文段落、原生公式与可编辑表格的基本方法。整套版式采用低饱和度的蓝灰色作为视觉层级，正文保持黑色与适度缩进，以便将视觉注意力集中于内容本身。相较于将图表统一附在文末的做法，将配图放在相关段落之后并紧邻中文图注，可以减少查找图文对应关系所需的时间。</w:t>
      </w:r>
    </w:p>
    <w:p>
      <w:pPr/>
      <w:r>
        <w:t>该样板没有提供真实的成像性能结论，也不应将其中的模拟数值用于科学推断。未来替换内容时，原则上应以论文原有结构为准，并对跨页图表、过长公式和参考文献进行独立的视觉检查。</w:t>
      </w:r>
    </w:p>
    <w:p>
      <w:pPr>
        <w:pStyle w:val="TransH1"/>
      </w:pPr>
      <w:r>
        <w:t>方法</w:t>
      </w:r>
    </w:p>
    <w:p>
      <w:pPr>
        <w:pStyle w:val="TransH2"/>
      </w:pPr>
      <w:r>
        <w:t>实验系统与采集参数</w:t>
      </w:r>
    </w:p>
    <w:p>
      <w:pPr/>
      <w:r>
        <w:t>示例系统由照明模块、样品模块、物镜、探测器和重建程序五个部分构成。照明波长、物镜数值孔径、曝光时间和采样间隔应按具体文献原值填写。相机型号、制造商名称、软件版本及方法出处需要保持原文信息，不应为了统一用词而擅自更改产品型号。</w:t>
      </w:r>
    </w:p>
    <w:p>
      <w:pPr>
        <w:pStyle w:val="TransH2"/>
      </w:pPr>
      <w:r>
        <w:t>图像重建与统计分析</w:t>
      </w:r>
    </w:p>
    <w:p>
      <w:pPr/>
      <w:r>
        <w:t>图像首先经过相同的强度归一化步骤，然后绘制强度剖面示意图，如扩展数据图 1 所示。所有显示的曲线均根据合成函数生成，仅用于展示图题、图例及中文说明的排版。对于具有真实重复实验的研究，还应逐项保留样本量、误差条定义、显著性阈值及统计检验方法。</w:t>
      </w:r>
    </w:p>
    <w:p>
      <w:pPr>
        <w:pStyle w:val="TransH1"/>
      </w:pPr>
      <w:r>
        <w:t>参考文献（原文保留）</w:t>
      </w:r>
    </w:p>
    <w:p>
      <w:pPr>
        <w:pStyle w:val="TransReference"/>
        <w:keepLines/>
      </w:pPr>
      <w:r>
        <w:t>1. Gustafsson, M. G. L. Surpassing the lateral resolution limit by a factor of two using structured illumination microscopy. J. Microsc. 198, 82–87 (2000).</w:t>
      </w:r>
    </w:p>
    <w:p>
      <w:pPr>
        <w:pStyle w:val="TransReference"/>
        <w:keepLines/>
      </w:pPr>
      <w:r>
        <w:t>2. Wen, G. et al. High-fidelity structured illumination microscopy by point-spread-function engineering. Light Sci. Appl. 10, 70 (2021).</w:t>
      </w:r>
    </w:p>
    <w:p>
      <w:pPr>
        <w:pStyle w:val="TransReference"/>
        <w:keepLines/>
      </w:pPr>
      <w:r>
        <w:t>3. Huang, X. et al. Fast, long-term, super-resolution imaging with Hessian structured illumination microscopy. Nat. Biotechnol. 36, 451–459 (2018).</w:t>
      </w:r>
    </w:p>
    <w:p>
      <w:pPr>
        <w:pStyle w:val="TransH1"/>
      </w:pPr>
      <w:r>
        <w:t>致谢与其他信息</w:t>
      </w:r>
    </w:p>
    <w:p>
      <w:pPr/>
      <w:r>
        <w:t>致谢：〔此处填写原文 Acknowledgements 的完整中文翻译。〕</w:t>
      </w:r>
    </w:p>
    <w:p>
      <w:pPr/>
      <w:r>
        <w:t>作者贡献：〔此处按原文逐人保留工作分工。〕</w:t>
      </w:r>
    </w:p>
    <w:p>
      <w:pPr/>
      <w:r>
        <w:t>利益冲突：〔此处填写原文 Competing interests 声明。〕</w:t>
      </w:r>
    </w:p>
    <w:p>
      <w:pPr/>
      <w:r>
        <w:t>数据与代码可用性：〔此处填写原文 Data availability / Code availability，以及相关 DOI 或仓库链接。〕</w:t>
      </w:r>
    </w:p>
    <w:p>
      <w:pPr>
        <w:pStyle w:val="TransH1"/>
      </w:pPr>
      <w:r>
        <w:t>扩展数据图</w:t>
      </w:r>
    </w:p>
    <w:p>
      <w:pPr>
        <w:keepNext/>
        <w:keepLines/>
        <w:spacing w:before="160" w:after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92000" cy="20358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dem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2035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ransCaption"/>
        <w:keepLines/>
      </w:pPr>
      <w:r>
        <w:rPr>
          <w:b/>
        </w:rPr>
        <w:t>扩展数据图 1｜虚构图像强度剖面的对比。</w:t>
      </w:r>
      <w:r>
        <w:t>横坐标为横向位置，纵坐标为归一化强度；实线与虚线分别代表两种演示曲线。该图专门用于检查英文图内标注、正文边距与长图注的布局，不对应任何实际实验测量。</w:t>
      </w:r>
    </w:p>
    <w:p>
      <w:pPr>
        <w:pStyle w:val="TransH1"/>
      </w:pPr>
      <w:r>
        <w:t>模板使用说明</w:t>
      </w:r>
    </w:p>
    <w:p>
      <w:pPr/>
      <w:r>
        <w:t>本节为模板说明，正式论文译文中可删除。制作新译稿时，可直接选中示例标题、摘要和各段落进行替换；替换时建议保持段落的原有 Word 样式，以继承对应的字号、行距、颜色与缩进。</w:t>
      </w:r>
    </w:p>
    <w:p>
      <w:pPr>
        <w:pStyle w:val="TransH2"/>
      </w:pPr>
      <w:r>
        <w:t>标题与正文样式</w:t>
      </w:r>
    </w:p>
    <w:p>
      <w:pPr/>
      <w:r>
        <w:t>中文标题使用 TransTitle，英文原标题使用 TransEnglish，期刊、作者及其他短信息使用 TransMeta；一级、二级、三级标题分别使用 TransH1、TransH2 和 TransH3。普通正文使用 Normal，图注使用 TransCaption，参考文献使用 TransReference。所有样式均可以在 Word 的“样式”窗格统一编辑。</w:t>
      </w:r>
    </w:p>
    <w:p>
      <w:pPr>
        <w:pStyle w:val="TransH2"/>
      </w:pPr>
      <w:r>
        <w:t>图像、表格与公式</w:t>
      </w:r>
    </w:p>
    <w:p>
      <w:pPr/>
      <w:r>
        <w:t>新图应插入正文附近并居中，图注完整且紧邻其后；表格采用可编辑 Word 表格，表头单独设置样式；数学表达优先用 Word 内置公式编辑器创建，避免将分式、积分或带上下标的公式替换为位图。通过“布局”中的分页与换行设置可修正标题或图片跨页错位。</w:t>
      </w:r>
    </w:p>
    <w:p>
      <w:pPr>
        <w:pStyle w:val="TransH3"/>
      </w:pPr>
      <w:r>
        <w:t>最终检查</w:t>
      </w:r>
    </w:p>
    <w:p>
      <w:pPr/>
      <w:r>
        <w:t>发布前应逐页检查字体、段落、公式和图片，并确保文献编号、图表编号及其在正文中的引用一致。本文的模拟数据、图像与文献示例仅用于展示版式，正式使用前必须替换为原文对应的真实内容。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62" w:right="1332" w:bottom="1049" w:left="1389" w:header="510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TransMeta"/>
      <w:jc w:val="center"/>
    </w:pPr>
    <w:r>
      <w:t xml:space="preserve">学术论文翻译样板  ·  DOI：〔占位〕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TransMeta"/>
      <w:jc w:val="right"/>
    </w:pPr>
    <w:r>
      <w:t>ACADEMIC TRANSLATION   ·   中文学术论文排版示例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6" w:lineRule="auto" w:after="110"/>
      <w:ind w:firstLine="420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Title">
    <w:name w:val="TransTitle"/>
    <w:pPr>
      <w:widowControl/>
      <w:spacing w:line="312" w:lineRule="auto" w:after="160" w:before="240"/>
      <w:ind w:firstLine="0"/>
    </w:pPr>
    <w:rPr>
      <w:rFonts w:ascii="Times New Roman" w:hAnsi="Times New Roman" w:eastAsia="宋体"/>
      <w:b/>
      <w:color w:val="1A3455"/>
      <w:sz w:val="34"/>
    </w:rPr>
  </w:style>
  <w:style w:type="paragraph" w:customStyle="1" w:styleId="TransEnglish">
    <w:name w:val="TransEnglish"/>
    <w:pPr>
      <w:widowControl/>
      <w:spacing w:line="312" w:lineRule="auto" w:after="100"/>
      <w:ind w:firstLine="0"/>
    </w:pPr>
    <w:rPr>
      <w:rFonts w:ascii="Times New Roman" w:hAnsi="Times New Roman" w:eastAsia="宋体"/>
      <w:b w:val="0"/>
      <w:color w:val="4B5765"/>
      <w:sz w:val="20"/>
    </w:rPr>
  </w:style>
  <w:style w:type="paragraph" w:customStyle="1" w:styleId="TransMeta">
    <w:name w:val="TransMeta"/>
    <w:pPr>
      <w:widowControl/>
      <w:spacing w:line="312" w:lineRule="auto" w:after="100"/>
      <w:ind w:firstLine="0"/>
    </w:pPr>
    <w:rPr>
      <w:rFonts w:ascii="Times New Roman" w:hAnsi="Times New Roman" w:eastAsia="宋体"/>
      <w:b w:val="0"/>
      <w:color w:val="5C6573"/>
      <w:sz w:val="18"/>
    </w:rPr>
  </w:style>
  <w:style w:type="paragraph" w:customStyle="1" w:styleId="TransH1">
    <w:name w:val="TransH1"/>
    <w:pPr>
      <w:keepNext/>
      <w:widowControl/>
      <w:spacing w:line="312" w:lineRule="auto" w:after="160" w:before="340"/>
      <w:ind w:firstLine="0"/>
    </w:pPr>
    <w:rPr>
      <w:rFonts w:ascii="Times New Roman" w:hAnsi="Times New Roman" w:eastAsia="宋体"/>
      <w:b/>
      <w:color w:val="153E68"/>
      <w:sz w:val="28"/>
    </w:rPr>
  </w:style>
  <w:style w:type="paragraph" w:customStyle="1" w:styleId="TransH2">
    <w:name w:val="TransH2"/>
    <w:pPr>
      <w:keepNext/>
      <w:widowControl/>
      <w:spacing w:line="312" w:lineRule="auto" w:after="120" w:before="220"/>
      <w:ind w:firstLine="0"/>
    </w:pPr>
    <w:rPr>
      <w:rFonts w:ascii="Times New Roman" w:hAnsi="Times New Roman" w:eastAsia="宋体"/>
      <w:b/>
      <w:color w:val="1B4571"/>
      <w:sz w:val="24"/>
    </w:rPr>
  </w:style>
  <w:style w:type="paragraph" w:customStyle="1" w:styleId="TransH3">
    <w:name w:val="TransH3"/>
    <w:pPr>
      <w:keepNext/>
      <w:widowControl/>
      <w:spacing w:line="312" w:lineRule="auto" w:after="100" w:before="160"/>
      <w:ind w:firstLine="0"/>
    </w:pPr>
    <w:rPr>
      <w:rFonts w:ascii="Times New Roman" w:hAnsi="Times New Roman" w:eastAsia="宋体"/>
      <w:b/>
      <w:color w:val="1B4571"/>
      <w:sz w:val="21"/>
    </w:rPr>
  </w:style>
  <w:style w:type="paragraph" w:customStyle="1" w:styleId="TransCaption">
    <w:name w:val="TransCaption"/>
    <w:pPr>
      <w:widowControl/>
      <w:spacing w:line="288" w:lineRule="auto" w:after="220"/>
      <w:ind w:firstLine="0"/>
    </w:pPr>
    <w:rPr>
      <w:rFonts w:ascii="Times New Roman" w:hAnsi="Times New Roman" w:eastAsia="宋体"/>
      <w:b w:val="0"/>
      <w:color w:val="323743"/>
      <w:sz w:val="18"/>
    </w:rPr>
  </w:style>
  <w:style w:type="paragraph" w:customStyle="1" w:styleId="TransReference">
    <w:name w:val="TransReference"/>
    <w:pPr>
      <w:widowControl/>
      <w:spacing w:line="288" w:lineRule="auto" w:after="60"/>
      <w:ind w:left="440" w:hanging="440"/>
    </w:pPr>
    <w:rPr>
      <w:rFonts w:ascii="Times New Roman" w:hAnsi="Times New Roman" w:eastAsia="宋体"/>
      <w:b w:val="0"/>
      <w:color w:val="1F2732"/>
      <w:sz w:val="18"/>
    </w:rPr>
  </w:style>
  <w:style w:type="paragraph" w:customStyle="1" w:styleId="TransTable">
    <w:name w:val="TransTable"/>
    <w:pPr>
      <w:widowControl/>
      <w:spacing w:line="288" w:lineRule="auto" w:after="100"/>
      <w:ind w:firstLine="0"/>
    </w:pPr>
    <w:rPr>
      <w:rFonts w:ascii="Times New Roman" w:hAnsi="Times New Roman" w:eastAsia="宋体"/>
      <w:b w:val="0"/>
      <w:color w:val="1F273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学术论文中文翻译 Word 排版样板（DaMo 同款风格）</dc:title>
  <dc:subject>中文论文翻译排版参考｜A4、宋体、Times New Roman、OMML、高清图与中文图注</dc:subject>
  <dc:creator>学术论文翻译助手 · 排版示例</dc:creator>
  <cp:keywords>论文翻译, Word模板, 显微成像, 学术排版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