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2E5E9E"/>
          <w:sz w:val="44"/>
        </w:rPr>
        <w:t>DLP Assessment Descriptive Results</w:t>
      </w:r>
    </w:p>
    <w:p>
      <w:pPr>
        <w:jc w:val="center"/>
      </w:pPr>
      <w:r>
        <w:rPr>
          <w:rFonts w:ascii="Georgia" w:hAnsi="Georgia"/>
          <w:sz w:val="22"/>
        </w:rPr>
        <w:t>School-level snapshot, compliance, proficiency, and geographic summaries</w:t>
      </w:r>
    </w:p>
    <w:p>
      <w:pPr>
        <w:jc w:val="center"/>
      </w:pPr>
      <w:r>
        <w:rPr>
          <w:rFonts w:ascii="Georgia" w:hAnsi="Georgia"/>
          <w:sz w:val="20"/>
        </w:rPr>
        <w:t>June 11, 2026</w:t>
      </w:r>
    </w:p>
    <w:p>
      <w:pPr>
        <w:pStyle w:val="Heading1"/>
      </w:pPr>
      <w:r>
        <w:t>What is in the dataset</w:t>
      </w:r>
    </w:p>
    <w:p>
      <w:r>
        <w:t>The final file uses the DLP randomized schools file as the base, so the dataset has 258 schools. Based on rev_status, 217 schools are coded as Control and 41 schools are coded as Treatment.</w:t>
      </w:r>
    </w:p>
    <w:p>
      <w:r>
        <w:t>Across these schools, the DLP enrollment file has 313,009 junior high school students. The Beginning of School Year reading assessment has 295,755 assessed students, while the End of School Year reading assessment has 250,696. For mathematics, the Beginning of School Year assessment has 294,804 assessed students and the End of School Year assessment has 283,564.</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rFonts w:ascii="Georgia" w:hAnsi="Georgia"/>
                <w:b/>
                <w:sz w:val="18"/>
              </w:rPr>
              <w:t>Treatment status</w:t>
            </w:r>
          </w:p>
        </w:tc>
        <w:tc>
          <w:tcPr>
            <w:tcW w:type="dxa" w:w="1419"/>
          </w:tcPr>
          <w:p>
            <w:r>
              <w:rPr>
                <w:rFonts w:ascii="Georgia" w:hAnsi="Georgia"/>
                <w:b/>
                <w:sz w:val="18"/>
              </w:rPr>
              <w:t>Schools</w:t>
            </w:r>
          </w:p>
        </w:tc>
        <w:tc>
          <w:tcPr>
            <w:tcW w:type="dxa" w:w="1419"/>
          </w:tcPr>
          <w:p>
            <w:r>
              <w:rPr>
                <w:rFonts w:ascii="Georgia" w:hAnsi="Georgia"/>
                <w:b/>
                <w:sz w:val="18"/>
              </w:rPr>
              <w:t>Enrollment</w:t>
            </w:r>
          </w:p>
        </w:tc>
        <w:tc>
          <w:tcPr>
            <w:tcW w:type="dxa" w:w="1419"/>
          </w:tcPr>
          <w:p>
            <w:r>
              <w:rPr>
                <w:rFonts w:ascii="Georgia" w:hAnsi="Georgia"/>
                <w:b/>
                <w:sz w:val="18"/>
              </w:rPr>
              <w:t>Reading BoSY assessed</w:t>
            </w:r>
          </w:p>
        </w:tc>
        <w:tc>
          <w:tcPr>
            <w:tcW w:type="dxa" w:w="1419"/>
          </w:tcPr>
          <w:p>
            <w:r>
              <w:rPr>
                <w:rFonts w:ascii="Georgia" w:hAnsi="Georgia"/>
                <w:b/>
                <w:sz w:val="18"/>
              </w:rPr>
              <w:t>Reading EoSY assessed</w:t>
            </w:r>
          </w:p>
        </w:tc>
        <w:tc>
          <w:tcPr>
            <w:tcW w:type="dxa" w:w="1419"/>
          </w:tcPr>
          <w:p>
            <w:r>
              <w:rPr>
                <w:rFonts w:ascii="Georgia" w:hAnsi="Georgia"/>
                <w:b/>
                <w:sz w:val="18"/>
              </w:rPr>
              <w:t>Math BoSY assessed</w:t>
            </w:r>
          </w:p>
        </w:tc>
        <w:tc>
          <w:tcPr>
            <w:tcW w:type="dxa" w:w="1419"/>
          </w:tcPr>
          <w:p>
            <w:r>
              <w:rPr>
                <w:rFonts w:ascii="Georgia" w:hAnsi="Georgia"/>
                <w:b/>
                <w:sz w:val="18"/>
              </w:rPr>
              <w:t>Math EoSY assessed</w:t>
            </w:r>
          </w:p>
        </w:tc>
      </w:tr>
      <w:tr>
        <w:tc>
          <w:tcPr>
            <w:tcW w:type="dxa" w:w="1419"/>
          </w:tcPr>
          <w:p>
            <w:r>
              <w:rPr>
                <w:rFonts w:ascii="Georgia" w:hAnsi="Georgia"/>
                <w:sz w:val="18"/>
              </w:rPr>
              <w:t>Control</w:t>
            </w:r>
          </w:p>
        </w:tc>
        <w:tc>
          <w:tcPr>
            <w:tcW w:type="dxa" w:w="1419"/>
          </w:tcPr>
          <w:p>
            <w:r>
              <w:rPr>
                <w:rFonts w:ascii="Georgia" w:hAnsi="Georgia"/>
                <w:sz w:val="18"/>
              </w:rPr>
              <w:t>217</w:t>
            </w:r>
          </w:p>
        </w:tc>
        <w:tc>
          <w:tcPr>
            <w:tcW w:type="dxa" w:w="1419"/>
          </w:tcPr>
          <w:p>
            <w:r>
              <w:rPr>
                <w:rFonts w:ascii="Georgia" w:hAnsi="Georgia"/>
                <w:sz w:val="18"/>
              </w:rPr>
              <w:t>265,493</w:t>
            </w:r>
          </w:p>
        </w:tc>
        <w:tc>
          <w:tcPr>
            <w:tcW w:type="dxa" w:w="1419"/>
          </w:tcPr>
          <w:p>
            <w:r>
              <w:rPr>
                <w:rFonts w:ascii="Georgia" w:hAnsi="Georgia"/>
                <w:sz w:val="18"/>
              </w:rPr>
              <w:t>251,653</w:t>
            </w:r>
          </w:p>
        </w:tc>
        <w:tc>
          <w:tcPr>
            <w:tcW w:type="dxa" w:w="1419"/>
          </w:tcPr>
          <w:p>
            <w:r>
              <w:rPr>
                <w:rFonts w:ascii="Georgia" w:hAnsi="Georgia"/>
                <w:sz w:val="18"/>
              </w:rPr>
              <w:t>211,678</w:t>
            </w:r>
          </w:p>
        </w:tc>
        <w:tc>
          <w:tcPr>
            <w:tcW w:type="dxa" w:w="1419"/>
          </w:tcPr>
          <w:p>
            <w:r>
              <w:rPr>
                <w:rFonts w:ascii="Georgia" w:hAnsi="Georgia"/>
                <w:sz w:val="18"/>
              </w:rPr>
              <w:t>250,252</w:t>
            </w:r>
          </w:p>
        </w:tc>
        <w:tc>
          <w:tcPr>
            <w:tcW w:type="dxa" w:w="1419"/>
          </w:tcPr>
          <w:p>
            <w:r>
              <w:rPr>
                <w:rFonts w:ascii="Georgia" w:hAnsi="Georgia"/>
                <w:sz w:val="18"/>
              </w:rPr>
              <w:t>240,372</w:t>
            </w:r>
          </w:p>
        </w:tc>
      </w:tr>
      <w:tr>
        <w:tc>
          <w:tcPr>
            <w:tcW w:type="dxa" w:w="1419"/>
          </w:tcPr>
          <w:p>
            <w:r>
              <w:rPr>
                <w:rFonts w:ascii="Georgia" w:hAnsi="Georgia"/>
                <w:sz w:val="18"/>
              </w:rPr>
              <w:t>Treatment</w:t>
            </w:r>
          </w:p>
        </w:tc>
        <w:tc>
          <w:tcPr>
            <w:tcW w:type="dxa" w:w="1419"/>
          </w:tcPr>
          <w:p>
            <w:r>
              <w:rPr>
                <w:rFonts w:ascii="Georgia" w:hAnsi="Georgia"/>
                <w:sz w:val="18"/>
              </w:rPr>
              <w:t>41</w:t>
            </w:r>
          </w:p>
        </w:tc>
        <w:tc>
          <w:tcPr>
            <w:tcW w:type="dxa" w:w="1419"/>
          </w:tcPr>
          <w:p>
            <w:r>
              <w:rPr>
                <w:rFonts w:ascii="Georgia" w:hAnsi="Georgia"/>
                <w:sz w:val="18"/>
              </w:rPr>
              <w:t>47,516</w:t>
            </w:r>
          </w:p>
        </w:tc>
        <w:tc>
          <w:tcPr>
            <w:tcW w:type="dxa" w:w="1419"/>
          </w:tcPr>
          <w:p>
            <w:r>
              <w:rPr>
                <w:rFonts w:ascii="Georgia" w:hAnsi="Georgia"/>
                <w:sz w:val="18"/>
              </w:rPr>
              <w:t>44,102</w:t>
            </w:r>
          </w:p>
        </w:tc>
        <w:tc>
          <w:tcPr>
            <w:tcW w:type="dxa" w:w="1419"/>
          </w:tcPr>
          <w:p>
            <w:r>
              <w:rPr>
                <w:rFonts w:ascii="Georgia" w:hAnsi="Georgia"/>
                <w:sz w:val="18"/>
              </w:rPr>
              <w:t>39,018</w:t>
            </w:r>
          </w:p>
        </w:tc>
        <w:tc>
          <w:tcPr>
            <w:tcW w:type="dxa" w:w="1419"/>
          </w:tcPr>
          <w:p>
            <w:r>
              <w:rPr>
                <w:rFonts w:ascii="Georgia" w:hAnsi="Georgia"/>
                <w:sz w:val="18"/>
              </w:rPr>
              <w:t>44,552</w:t>
            </w:r>
          </w:p>
        </w:tc>
        <w:tc>
          <w:tcPr>
            <w:tcW w:type="dxa" w:w="1419"/>
          </w:tcPr>
          <w:p>
            <w:r>
              <w:rPr>
                <w:rFonts w:ascii="Georgia" w:hAnsi="Georgia"/>
                <w:sz w:val="18"/>
              </w:rPr>
              <w:t>43,192</w:t>
            </w:r>
          </w:p>
        </w:tc>
      </w:tr>
    </w:tbl>
    <w:p/>
    <w:p>
      <w:pPr>
        <w:pStyle w:val="Heading3"/>
      </w:pPr>
      <w:r>
        <w:t>Dataset snapshot by treatment status</w:t>
      </w:r>
    </w:p>
    <w:p>
      <w:pPr>
        <w:jc w:val="center"/>
      </w:pPr>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06_dataset_snapshot_treatment_status.png"/>
                    <pic:cNvPicPr/>
                  </pic:nvPicPr>
                  <pic:blipFill>
                    <a:blip r:embed="rId9"/>
                    <a:stretch>
                      <a:fillRect/>
                    </a:stretch>
                  </pic:blipFill>
                  <pic:spPr>
                    <a:xfrm>
                      <a:off x="0" y="0"/>
                      <a:ext cx="6035040" cy="4023360"/>
                    </a:xfrm>
                    <a:prstGeom prst="rect"/>
                  </pic:spPr>
                </pic:pic>
              </a:graphicData>
            </a:graphic>
          </wp:inline>
        </w:drawing>
      </w:r>
    </w:p>
    <w:p>
      <w:pPr>
        <w:pStyle w:val="Heading1"/>
      </w:pPr>
      <w:r>
        <w:t>Compliance</w:t>
      </w:r>
    </w:p>
    <w:p>
      <w:r>
        <w:t>Using the assignment flags and rev_status rule, 41 of 258 schools are compliant, or 15.9% overall. Compliance is highest in the emergency assignment group and lowest in the mainstream assignment group.</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rFonts w:ascii="Georgia" w:hAnsi="Georgia"/>
                <w:b/>
                <w:sz w:val="18"/>
              </w:rPr>
              <w:t>Assignment group</w:t>
            </w:r>
          </w:p>
        </w:tc>
        <w:tc>
          <w:tcPr>
            <w:tcW w:type="dxa" w:w="2484"/>
          </w:tcPr>
          <w:p>
            <w:r>
              <w:rPr>
                <w:rFonts w:ascii="Georgia" w:hAnsi="Georgia"/>
                <w:b/>
                <w:sz w:val="18"/>
              </w:rPr>
              <w:t>Schools</w:t>
            </w:r>
          </w:p>
        </w:tc>
        <w:tc>
          <w:tcPr>
            <w:tcW w:type="dxa" w:w="2484"/>
          </w:tcPr>
          <w:p>
            <w:r>
              <w:rPr>
                <w:rFonts w:ascii="Georgia" w:hAnsi="Georgia"/>
                <w:b/>
                <w:sz w:val="18"/>
              </w:rPr>
              <w:t>Compliant schools</w:t>
            </w:r>
          </w:p>
        </w:tc>
        <w:tc>
          <w:tcPr>
            <w:tcW w:type="dxa" w:w="2484"/>
          </w:tcPr>
          <w:p>
            <w:r>
              <w:rPr>
                <w:rFonts w:ascii="Georgia" w:hAnsi="Georgia"/>
                <w:b/>
                <w:sz w:val="18"/>
              </w:rPr>
              <w:t>Compliance rate</w:t>
            </w:r>
          </w:p>
        </w:tc>
      </w:tr>
      <w:tr>
        <w:tc>
          <w:tcPr>
            <w:tcW w:type="dxa" w:w="2484"/>
          </w:tcPr>
          <w:p>
            <w:r>
              <w:rPr>
                <w:rFonts w:ascii="Georgia" w:hAnsi="Georgia"/>
                <w:sz w:val="18"/>
              </w:rPr>
              <w:t>Emergency</w:t>
            </w:r>
          </w:p>
        </w:tc>
        <w:tc>
          <w:tcPr>
            <w:tcW w:type="dxa" w:w="2484"/>
          </w:tcPr>
          <w:p>
            <w:r>
              <w:rPr>
                <w:rFonts w:ascii="Georgia" w:hAnsi="Georgia"/>
                <w:sz w:val="18"/>
              </w:rPr>
              <w:t>87</w:t>
            </w:r>
          </w:p>
        </w:tc>
        <w:tc>
          <w:tcPr>
            <w:tcW w:type="dxa" w:w="2484"/>
          </w:tcPr>
          <w:p>
            <w:r>
              <w:rPr>
                <w:rFonts w:ascii="Georgia" w:hAnsi="Georgia"/>
                <w:sz w:val="18"/>
              </w:rPr>
              <w:t>16</w:t>
            </w:r>
          </w:p>
        </w:tc>
        <w:tc>
          <w:tcPr>
            <w:tcW w:type="dxa" w:w="2484"/>
          </w:tcPr>
          <w:p>
            <w:r>
              <w:rPr>
                <w:rFonts w:ascii="Georgia" w:hAnsi="Georgia"/>
                <w:sz w:val="18"/>
              </w:rPr>
              <w:t>18.4%</w:t>
            </w:r>
          </w:p>
        </w:tc>
      </w:tr>
      <w:tr>
        <w:tc>
          <w:tcPr>
            <w:tcW w:type="dxa" w:w="2484"/>
          </w:tcPr>
          <w:p>
            <w:r>
              <w:rPr>
                <w:rFonts w:ascii="Georgia" w:hAnsi="Georgia"/>
                <w:sz w:val="18"/>
              </w:rPr>
              <w:t>Mainstream</w:t>
            </w:r>
          </w:p>
        </w:tc>
        <w:tc>
          <w:tcPr>
            <w:tcW w:type="dxa" w:w="2484"/>
          </w:tcPr>
          <w:p>
            <w:r>
              <w:rPr>
                <w:rFonts w:ascii="Georgia" w:hAnsi="Georgia"/>
                <w:sz w:val="18"/>
              </w:rPr>
              <w:t>85</w:t>
            </w:r>
          </w:p>
        </w:tc>
        <w:tc>
          <w:tcPr>
            <w:tcW w:type="dxa" w:w="2484"/>
          </w:tcPr>
          <w:p>
            <w:r>
              <w:rPr>
                <w:rFonts w:ascii="Georgia" w:hAnsi="Georgia"/>
                <w:sz w:val="18"/>
              </w:rPr>
              <w:t>10</w:t>
            </w:r>
          </w:p>
        </w:tc>
        <w:tc>
          <w:tcPr>
            <w:tcW w:type="dxa" w:w="2484"/>
          </w:tcPr>
          <w:p>
            <w:r>
              <w:rPr>
                <w:rFonts w:ascii="Georgia" w:hAnsi="Georgia"/>
                <w:sz w:val="18"/>
              </w:rPr>
              <w:t>11.8%</w:t>
            </w:r>
          </w:p>
        </w:tc>
      </w:tr>
      <w:tr>
        <w:tc>
          <w:tcPr>
            <w:tcW w:type="dxa" w:w="2484"/>
          </w:tcPr>
          <w:p>
            <w:r>
              <w:rPr>
                <w:rFonts w:ascii="Georgia" w:hAnsi="Georgia"/>
                <w:sz w:val="18"/>
              </w:rPr>
              <w:t>Shifting</w:t>
            </w:r>
          </w:p>
        </w:tc>
        <w:tc>
          <w:tcPr>
            <w:tcW w:type="dxa" w:w="2484"/>
          </w:tcPr>
          <w:p>
            <w:r>
              <w:rPr>
                <w:rFonts w:ascii="Georgia" w:hAnsi="Georgia"/>
                <w:sz w:val="18"/>
              </w:rPr>
              <w:t>86</w:t>
            </w:r>
          </w:p>
        </w:tc>
        <w:tc>
          <w:tcPr>
            <w:tcW w:type="dxa" w:w="2484"/>
          </w:tcPr>
          <w:p>
            <w:r>
              <w:rPr>
                <w:rFonts w:ascii="Georgia" w:hAnsi="Georgia"/>
                <w:sz w:val="18"/>
              </w:rPr>
              <w:t>15</w:t>
            </w:r>
          </w:p>
        </w:tc>
        <w:tc>
          <w:tcPr>
            <w:tcW w:type="dxa" w:w="2484"/>
          </w:tcPr>
          <w:p>
            <w:r>
              <w:rPr>
                <w:rFonts w:ascii="Georgia" w:hAnsi="Georgia"/>
                <w:sz w:val="18"/>
              </w:rPr>
              <w:t>17.4%</w:t>
            </w:r>
          </w:p>
        </w:tc>
      </w:tr>
    </w:tbl>
    <w:p/>
    <w:p>
      <w:pPr>
        <w:pStyle w:val="Heading3"/>
      </w:pPr>
      <w:r>
        <w:t>Compliance by assigned randomization group</w:t>
      </w:r>
    </w:p>
    <w:p>
      <w:pPr>
        <w:jc w:val="center"/>
      </w:pPr>
      <w:r>
        <w:drawing>
          <wp:inline xmlns:a="http://schemas.openxmlformats.org/drawingml/2006/main" xmlns:pic="http://schemas.openxmlformats.org/drawingml/2006/picture">
            <wp:extent cx="6035040" cy="4023360"/>
            <wp:docPr id="2" name="Picture 2"/>
            <wp:cNvGraphicFramePr>
              <a:graphicFrameLocks noChangeAspect="1"/>
            </wp:cNvGraphicFramePr>
            <a:graphic>
              <a:graphicData uri="http://schemas.openxmlformats.org/drawingml/2006/picture">
                <pic:pic>
                  <pic:nvPicPr>
                    <pic:cNvPr id="0" name="06_compliance_by_assignment_group.png"/>
                    <pic:cNvPicPr/>
                  </pic:nvPicPr>
                  <pic:blipFill>
                    <a:blip r:embed="rId10"/>
                    <a:stretch>
                      <a:fillRect/>
                    </a:stretch>
                  </pic:blipFill>
                  <pic:spPr>
                    <a:xfrm>
                      <a:off x="0" y="0"/>
                      <a:ext cx="6035040" cy="4023360"/>
                    </a:xfrm>
                    <a:prstGeom prst="rect"/>
                  </pic:spPr>
                </pic:pic>
              </a:graphicData>
            </a:graphic>
          </wp:inline>
        </w:drawing>
      </w:r>
    </w:p>
    <w:p>
      <w:pPr>
        <w:pStyle w:val="Heading1"/>
      </w:pPr>
      <w:r>
        <w:t>Proficiency and reading categories</w:t>
      </w:r>
    </w:p>
    <w:p>
      <w:r>
        <w:t>Rapid Mathematics Assessment results are concentrated in the not proficient group in both the Beginning of School Year and End of School Year files. This pattern is visible across Grades 7 to 10.</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rFonts w:ascii="Georgia" w:hAnsi="Georgia"/>
                <w:b/>
                <w:sz w:val="18"/>
              </w:rPr>
              <w:t>Period</w:t>
            </w:r>
          </w:p>
        </w:tc>
        <w:tc>
          <w:tcPr>
            <w:tcW w:type="dxa" w:w="2484"/>
          </w:tcPr>
          <w:p>
            <w:r>
              <w:rPr>
                <w:rFonts w:ascii="Georgia" w:hAnsi="Georgia"/>
                <w:b/>
                <w:sz w:val="18"/>
              </w:rPr>
              <w:t>Group</w:t>
            </w:r>
          </w:p>
        </w:tc>
        <w:tc>
          <w:tcPr>
            <w:tcW w:type="dxa" w:w="2484"/>
          </w:tcPr>
          <w:p>
            <w:r>
              <w:rPr>
                <w:rFonts w:ascii="Georgia" w:hAnsi="Georgia"/>
                <w:b/>
                <w:sz w:val="18"/>
              </w:rPr>
              <w:t>Students</w:t>
            </w:r>
          </w:p>
        </w:tc>
        <w:tc>
          <w:tcPr>
            <w:tcW w:type="dxa" w:w="2484"/>
          </w:tcPr>
          <w:p>
            <w:r>
              <w:rPr>
                <w:rFonts w:ascii="Georgia" w:hAnsi="Georgia"/>
                <w:b/>
                <w:sz w:val="18"/>
              </w:rPr>
              <w:t>Share of assessed</w:t>
            </w:r>
          </w:p>
        </w:tc>
      </w:tr>
      <w:tr>
        <w:tc>
          <w:tcPr>
            <w:tcW w:type="dxa" w:w="2484"/>
          </w:tcPr>
          <w:p>
            <w:r>
              <w:rPr>
                <w:rFonts w:ascii="Georgia" w:hAnsi="Georgia"/>
                <w:sz w:val="18"/>
              </w:rPr>
              <w:t>BoSY</w:t>
            </w:r>
          </w:p>
        </w:tc>
        <w:tc>
          <w:tcPr>
            <w:tcW w:type="dxa" w:w="2484"/>
          </w:tcPr>
          <w:p>
            <w:r>
              <w:rPr>
                <w:rFonts w:ascii="Georgia" w:hAnsi="Georgia"/>
                <w:sz w:val="18"/>
              </w:rPr>
              <w:t>Not proficient</w:t>
            </w:r>
          </w:p>
        </w:tc>
        <w:tc>
          <w:tcPr>
            <w:tcW w:type="dxa" w:w="2484"/>
          </w:tcPr>
          <w:p>
            <w:r>
              <w:rPr>
                <w:rFonts w:ascii="Georgia" w:hAnsi="Georgia"/>
                <w:sz w:val="18"/>
              </w:rPr>
              <w:t>257,630</w:t>
            </w:r>
          </w:p>
        </w:tc>
        <w:tc>
          <w:tcPr>
            <w:tcW w:type="dxa" w:w="2484"/>
          </w:tcPr>
          <w:p>
            <w:r>
              <w:rPr>
                <w:rFonts w:ascii="Georgia" w:hAnsi="Georgia"/>
                <w:sz w:val="18"/>
              </w:rPr>
              <w:t>87.4%</w:t>
            </w:r>
          </w:p>
        </w:tc>
      </w:tr>
      <w:tr>
        <w:tc>
          <w:tcPr>
            <w:tcW w:type="dxa" w:w="2484"/>
          </w:tcPr>
          <w:p>
            <w:r>
              <w:rPr>
                <w:rFonts w:ascii="Georgia" w:hAnsi="Georgia"/>
                <w:sz w:val="18"/>
              </w:rPr>
              <w:t>EoSY</w:t>
            </w:r>
          </w:p>
        </w:tc>
        <w:tc>
          <w:tcPr>
            <w:tcW w:type="dxa" w:w="2484"/>
          </w:tcPr>
          <w:p>
            <w:r>
              <w:rPr>
                <w:rFonts w:ascii="Georgia" w:hAnsi="Georgia"/>
                <w:sz w:val="18"/>
              </w:rPr>
              <w:t>Not proficient</w:t>
            </w:r>
          </w:p>
        </w:tc>
        <w:tc>
          <w:tcPr>
            <w:tcW w:type="dxa" w:w="2484"/>
          </w:tcPr>
          <w:p>
            <w:r>
              <w:rPr>
                <w:rFonts w:ascii="Georgia" w:hAnsi="Georgia"/>
                <w:sz w:val="18"/>
              </w:rPr>
              <w:t>135,932</w:t>
            </w:r>
          </w:p>
        </w:tc>
        <w:tc>
          <w:tcPr>
            <w:tcW w:type="dxa" w:w="2484"/>
          </w:tcPr>
          <w:p>
            <w:r>
              <w:rPr>
                <w:rFonts w:ascii="Georgia" w:hAnsi="Georgia"/>
                <w:sz w:val="18"/>
              </w:rPr>
              <w:t>47.9%</w:t>
            </w:r>
          </w:p>
        </w:tc>
      </w:tr>
    </w:tbl>
    <w:p/>
    <w:p>
      <w:r>
        <w:t>For the Philippine Informal Reading Inventory, the Beginning of School Year file has separate 2-level and 3-level reading categories. The End of School Year file does not have the same 2-level and 3-level fields, so End of School Year independent is used as a proxy for grade ready in the comparison figures.</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Georgia" w:hAnsi="Georgia"/>
                <w:b/>
                <w:sz w:val="18"/>
              </w:rPr>
              <w:t>Reading measure</w:t>
            </w:r>
          </w:p>
        </w:tc>
        <w:tc>
          <w:tcPr>
            <w:tcW w:type="dxa" w:w="3312"/>
          </w:tcPr>
          <w:p>
            <w:r>
              <w:rPr>
                <w:rFonts w:ascii="Georgia" w:hAnsi="Georgia"/>
                <w:b/>
                <w:sz w:val="18"/>
              </w:rPr>
              <w:t>Category used</w:t>
            </w:r>
          </w:p>
        </w:tc>
        <w:tc>
          <w:tcPr>
            <w:tcW w:type="dxa" w:w="3312"/>
          </w:tcPr>
          <w:p>
            <w:r>
              <w:rPr>
                <w:rFonts w:ascii="Georgia" w:hAnsi="Georgia"/>
                <w:b/>
                <w:sz w:val="18"/>
              </w:rPr>
              <w:t>Share of classified students</w:t>
            </w:r>
          </w:p>
        </w:tc>
      </w:tr>
      <w:tr>
        <w:tc>
          <w:tcPr>
            <w:tcW w:type="dxa" w:w="3312"/>
          </w:tcPr>
          <w:p>
            <w:r>
              <w:rPr>
                <w:rFonts w:ascii="Georgia" w:hAnsi="Georgia"/>
                <w:sz w:val="18"/>
              </w:rPr>
              <w:t>Beginning of School Year 2-Level</w:t>
            </w:r>
          </w:p>
        </w:tc>
        <w:tc>
          <w:tcPr>
            <w:tcW w:type="dxa" w:w="3312"/>
          </w:tcPr>
          <w:p>
            <w:r>
              <w:rPr>
                <w:rFonts w:ascii="Georgia" w:hAnsi="Georgia"/>
                <w:sz w:val="18"/>
              </w:rPr>
              <w:t>Independent</w:t>
            </w:r>
          </w:p>
        </w:tc>
        <w:tc>
          <w:tcPr>
            <w:tcW w:type="dxa" w:w="3312"/>
          </w:tcPr>
          <w:p>
            <w:r>
              <w:rPr>
                <w:rFonts w:ascii="Georgia" w:hAnsi="Georgia"/>
                <w:sz w:val="18"/>
              </w:rPr>
              <w:t>31.8%</w:t>
            </w:r>
          </w:p>
        </w:tc>
      </w:tr>
      <w:tr>
        <w:tc>
          <w:tcPr>
            <w:tcW w:type="dxa" w:w="3312"/>
          </w:tcPr>
          <w:p>
            <w:r>
              <w:rPr>
                <w:rFonts w:ascii="Georgia" w:hAnsi="Georgia"/>
                <w:sz w:val="18"/>
              </w:rPr>
              <w:t>Beginning of School Year 3-Level</w:t>
            </w:r>
          </w:p>
        </w:tc>
        <w:tc>
          <w:tcPr>
            <w:tcW w:type="dxa" w:w="3312"/>
          </w:tcPr>
          <w:p>
            <w:r>
              <w:rPr>
                <w:rFonts w:ascii="Georgia" w:hAnsi="Georgia"/>
                <w:sz w:val="18"/>
              </w:rPr>
              <w:t>Independent</w:t>
            </w:r>
          </w:p>
        </w:tc>
        <w:tc>
          <w:tcPr>
            <w:tcW w:type="dxa" w:w="3312"/>
          </w:tcPr>
          <w:p>
            <w:r>
              <w:rPr>
                <w:rFonts w:ascii="Georgia" w:hAnsi="Georgia"/>
                <w:sz w:val="18"/>
              </w:rPr>
              <w:t>25.5%</w:t>
            </w:r>
          </w:p>
        </w:tc>
      </w:tr>
      <w:tr>
        <w:tc>
          <w:tcPr>
            <w:tcW w:type="dxa" w:w="3312"/>
          </w:tcPr>
          <w:p>
            <w:r>
              <w:rPr>
                <w:rFonts w:ascii="Georgia" w:hAnsi="Georgia"/>
                <w:sz w:val="18"/>
              </w:rPr>
              <w:t>End of School Year Proxy</w:t>
            </w:r>
          </w:p>
        </w:tc>
        <w:tc>
          <w:tcPr>
            <w:tcW w:type="dxa" w:w="3312"/>
          </w:tcPr>
          <w:p>
            <w:r>
              <w:rPr>
                <w:rFonts w:ascii="Georgia" w:hAnsi="Georgia"/>
                <w:sz w:val="18"/>
              </w:rPr>
              <w:t>Independent</w:t>
            </w:r>
          </w:p>
        </w:tc>
        <w:tc>
          <w:tcPr>
            <w:tcW w:type="dxa" w:w="3312"/>
          </w:tcPr>
          <w:p>
            <w:r>
              <w:rPr>
                <w:rFonts w:ascii="Georgia" w:hAnsi="Georgia"/>
                <w:sz w:val="18"/>
              </w:rPr>
              <w:t>41.1%</w:t>
            </w:r>
          </w:p>
        </w:tc>
      </w:tr>
    </w:tbl>
    <w:p/>
    <w:p>
      <w:pPr>
        <w:pStyle w:val="Heading3"/>
      </w:pPr>
      <w:r>
        <w:t>Rapid Mathematics Assessment proficiency by grade</w:t>
      </w:r>
    </w:p>
    <w:p>
      <w:pPr>
        <w:jc w:val="center"/>
      </w:pPr>
      <w:r>
        <w:drawing>
          <wp:inline xmlns:a="http://schemas.openxmlformats.org/drawingml/2006/main" xmlns:pic="http://schemas.openxmlformats.org/drawingml/2006/picture">
            <wp:extent cx="6035040" cy="4023360"/>
            <wp:docPr id="3" name="Picture 3"/>
            <wp:cNvGraphicFramePr>
              <a:graphicFrameLocks noChangeAspect="1"/>
            </wp:cNvGraphicFramePr>
            <a:graphic>
              <a:graphicData uri="http://schemas.openxmlformats.org/drawingml/2006/picture">
                <pic:pic>
                  <pic:nvPicPr>
                    <pic:cNvPr id="0" name="06_rma_proficiency_bosy_eosy_by_grade.png"/>
                    <pic:cNvPicPr/>
                  </pic:nvPicPr>
                  <pic:blipFill>
                    <a:blip r:embed="rId11"/>
                    <a:stretch>
                      <a:fillRect/>
                    </a:stretch>
                  </pic:blipFill>
                  <pic:spPr>
                    <a:xfrm>
                      <a:off x="0" y="0"/>
                      <a:ext cx="6035040" cy="4023360"/>
                    </a:xfrm>
                    <a:prstGeom prst="rect"/>
                  </pic:spPr>
                </pic:pic>
              </a:graphicData>
            </a:graphic>
          </wp:inline>
        </w:drawing>
      </w:r>
    </w:p>
    <w:p>
      <w:pPr>
        <w:pStyle w:val="Heading3"/>
      </w:pPr>
      <w:r>
        <w:t>Philippine Informal Reading Inventory Beginning of School Year 2-Level and End of School Year Proxy</w:t>
      </w:r>
    </w:p>
    <w:p>
      <w:pPr>
        <w:jc w:val="center"/>
      </w:pPr>
      <w:r>
        <w:drawing>
          <wp:inline xmlns:a="http://schemas.openxmlformats.org/drawingml/2006/main" xmlns:pic="http://schemas.openxmlformats.org/drawingml/2006/picture">
            <wp:extent cx="6035040" cy="4023360"/>
            <wp:docPr id="4" name="Picture 4"/>
            <wp:cNvGraphicFramePr>
              <a:graphicFrameLocks noChangeAspect="1"/>
            </wp:cNvGraphicFramePr>
            <a:graphic>
              <a:graphicData uri="http://schemas.openxmlformats.org/drawingml/2006/picture">
                <pic:pic>
                  <pic:nvPicPr>
                    <pic:cNvPr id="0" name="06_philiri_reading_categories_bosy_2level_eosy_proxy_by_grade.png"/>
                    <pic:cNvPicPr/>
                  </pic:nvPicPr>
                  <pic:blipFill>
                    <a:blip r:embed="rId12"/>
                    <a:stretch>
                      <a:fillRect/>
                    </a:stretch>
                  </pic:blipFill>
                  <pic:spPr>
                    <a:xfrm>
                      <a:off x="0" y="0"/>
                      <a:ext cx="6035040" cy="4023360"/>
                    </a:xfrm>
                    <a:prstGeom prst="rect"/>
                  </pic:spPr>
                </pic:pic>
              </a:graphicData>
            </a:graphic>
          </wp:inline>
        </w:drawing>
      </w:r>
    </w:p>
    <w:p>
      <w:pPr>
        <w:pStyle w:val="Heading3"/>
      </w:pPr>
      <w:r>
        <w:t>Philippine Informal Reading Inventory Beginning of School Year 3-Level and End of School Year Proxy</w:t>
      </w:r>
    </w:p>
    <w:p>
      <w:pPr>
        <w:jc w:val="center"/>
      </w:pPr>
      <w:r>
        <w:drawing>
          <wp:inline xmlns:a="http://schemas.openxmlformats.org/drawingml/2006/main" xmlns:pic="http://schemas.openxmlformats.org/drawingml/2006/picture">
            <wp:extent cx="6035040" cy="4023360"/>
            <wp:docPr id="5" name="Picture 5"/>
            <wp:cNvGraphicFramePr>
              <a:graphicFrameLocks noChangeAspect="1"/>
            </wp:cNvGraphicFramePr>
            <a:graphic>
              <a:graphicData uri="http://schemas.openxmlformats.org/drawingml/2006/picture">
                <pic:pic>
                  <pic:nvPicPr>
                    <pic:cNvPr id="0" name="06_philiri_reading_categories_bosy_3level_eosy_proxy_by_grade.png"/>
                    <pic:cNvPicPr/>
                  </pic:nvPicPr>
                  <pic:blipFill>
                    <a:blip r:embed="rId13"/>
                    <a:stretch>
                      <a:fillRect/>
                    </a:stretch>
                  </pic:blipFill>
                  <pic:spPr>
                    <a:xfrm>
                      <a:off x="0" y="0"/>
                      <a:ext cx="6035040" cy="4023360"/>
                    </a:xfrm>
                    <a:prstGeom prst="rect"/>
                  </pic:spPr>
                </pic:pic>
              </a:graphicData>
            </a:graphic>
          </wp:inline>
        </w:drawing>
      </w:r>
    </w:p>
    <w:p>
      <w:pPr>
        <w:pStyle w:val="Heading1"/>
      </w:pPr>
      <w:r>
        <w:t>Subgroup patterns</w:t>
      </w:r>
    </w:p>
    <w:p>
      <w:r>
        <w:t>The subgroup tables below compare the main math and reading indicators for Control and Treatment schools. The full grade-level subgroup tables are saved in the outputs/tables folder.</w:t>
      </w:r>
    </w:p>
    <w:p>
      <w:pPr>
        <w:pStyle w:val="Heading2"/>
      </w:pPr>
      <w:r>
        <w:t>RMA not proficient share</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Georgia" w:hAnsi="Georgia"/>
                <w:b/>
                <w:sz w:val="18"/>
              </w:rPr>
              <w:t>Treatment status</w:t>
            </w:r>
          </w:p>
        </w:tc>
        <w:tc>
          <w:tcPr>
            <w:tcW w:type="dxa" w:w="3312"/>
          </w:tcPr>
          <w:p>
            <w:r>
              <w:rPr>
                <w:rFonts w:ascii="Georgia" w:hAnsi="Georgia"/>
                <w:b/>
                <w:sz w:val="18"/>
              </w:rPr>
              <w:t>Beginning of School Year</w:t>
            </w:r>
          </w:p>
        </w:tc>
        <w:tc>
          <w:tcPr>
            <w:tcW w:type="dxa" w:w="3312"/>
          </w:tcPr>
          <w:p>
            <w:r>
              <w:rPr>
                <w:rFonts w:ascii="Georgia" w:hAnsi="Georgia"/>
                <w:b/>
                <w:sz w:val="18"/>
              </w:rPr>
              <w:t>End of School Year</w:t>
            </w:r>
          </w:p>
        </w:tc>
      </w:tr>
      <w:tr>
        <w:tc>
          <w:tcPr>
            <w:tcW w:type="dxa" w:w="3312"/>
          </w:tcPr>
          <w:p>
            <w:r>
              <w:rPr>
                <w:rFonts w:ascii="Georgia" w:hAnsi="Georgia"/>
                <w:sz w:val="18"/>
              </w:rPr>
              <w:t>Control</w:t>
            </w:r>
          </w:p>
        </w:tc>
        <w:tc>
          <w:tcPr>
            <w:tcW w:type="dxa" w:w="3312"/>
          </w:tcPr>
          <w:p>
            <w:r>
              <w:rPr>
                <w:rFonts w:ascii="Georgia" w:hAnsi="Georgia"/>
                <w:sz w:val="18"/>
              </w:rPr>
              <w:t>88.8%</w:t>
            </w:r>
          </w:p>
        </w:tc>
        <w:tc>
          <w:tcPr>
            <w:tcW w:type="dxa" w:w="3312"/>
          </w:tcPr>
          <w:p>
            <w:r>
              <w:rPr>
                <w:rFonts w:ascii="Georgia" w:hAnsi="Georgia"/>
                <w:sz w:val="18"/>
              </w:rPr>
              <w:t>48.8%</w:t>
            </w:r>
          </w:p>
        </w:tc>
      </w:tr>
      <w:tr>
        <w:tc>
          <w:tcPr>
            <w:tcW w:type="dxa" w:w="3312"/>
          </w:tcPr>
          <w:p>
            <w:r>
              <w:rPr>
                <w:rFonts w:ascii="Georgia" w:hAnsi="Georgia"/>
                <w:sz w:val="18"/>
              </w:rPr>
              <w:t>Treatment</w:t>
            </w:r>
          </w:p>
        </w:tc>
        <w:tc>
          <w:tcPr>
            <w:tcW w:type="dxa" w:w="3312"/>
          </w:tcPr>
          <w:p>
            <w:r>
              <w:rPr>
                <w:rFonts w:ascii="Georgia" w:hAnsi="Georgia"/>
                <w:sz w:val="18"/>
              </w:rPr>
              <w:t>79.6%</w:t>
            </w:r>
          </w:p>
        </w:tc>
        <w:tc>
          <w:tcPr>
            <w:tcW w:type="dxa" w:w="3312"/>
          </w:tcPr>
          <w:p>
            <w:r>
              <w:rPr>
                <w:rFonts w:ascii="Georgia" w:hAnsi="Georgia"/>
                <w:sz w:val="18"/>
              </w:rPr>
              <w:t>42.9%</w:t>
            </w:r>
          </w:p>
        </w:tc>
      </w:tr>
    </w:tbl>
    <w:p/>
    <w:p>
      <w:pPr>
        <w:pStyle w:val="Heading3"/>
      </w:pPr>
      <w:r>
        <w:t>RMA not proficient share by treatment status</w:t>
      </w:r>
    </w:p>
    <w:p>
      <w:pPr>
        <w:jc w:val="center"/>
      </w:pPr>
      <w:r>
        <w:drawing>
          <wp:inline xmlns:a="http://schemas.openxmlformats.org/drawingml/2006/main" xmlns:pic="http://schemas.openxmlformats.org/drawingml/2006/picture">
            <wp:extent cx="6035040" cy="4022586"/>
            <wp:docPr id="6" name="Picture 6"/>
            <wp:cNvGraphicFramePr>
              <a:graphicFrameLocks noChangeAspect="1"/>
            </wp:cNvGraphicFramePr>
            <a:graphic>
              <a:graphicData uri="http://schemas.openxmlformats.org/drawingml/2006/picture">
                <pic:pic>
                  <pic:nvPicPr>
                    <pic:cNvPr id="0" name="06_subgroup_rma_not_proficient_by_treatment_status.png"/>
                    <pic:cNvPicPr/>
                  </pic:nvPicPr>
                  <pic:blipFill>
                    <a:blip r:embed="rId14"/>
                    <a:stretch>
                      <a:fillRect/>
                    </a:stretch>
                  </pic:blipFill>
                  <pic:spPr>
                    <a:xfrm>
                      <a:off x="0" y="0"/>
                      <a:ext cx="6035040" cy="4022586"/>
                    </a:xfrm>
                    <a:prstGeom prst="rect"/>
                  </pic:spPr>
                </pic:pic>
              </a:graphicData>
            </a:graphic>
          </wp:inline>
        </w:drawing>
      </w:r>
    </w:p>
    <w:p>
      <w:pPr>
        <w:pStyle w:val="Heading2"/>
      </w:pPr>
      <w:r>
        <w:t>Phil-IRI grade ready and proxy share</w:t>
      </w:r>
    </w:p>
    <w:p>
      <w:r>
        <w:t>For Phil-IRI, Beginning of School Year uses the 2-level and 3-level independent categories. End of School Year independent is shown as a proxy because the End of School Year file does not include the same 2-level and 3-level fields.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rFonts w:ascii="Georgia" w:hAnsi="Georgia"/>
                <w:b/>
                <w:sz w:val="18"/>
              </w:rPr>
              <w:t>Treatment status</w:t>
            </w:r>
          </w:p>
        </w:tc>
        <w:tc>
          <w:tcPr>
            <w:tcW w:type="dxa" w:w="2484"/>
          </w:tcPr>
          <w:p>
            <w:r>
              <w:rPr>
                <w:rFonts w:ascii="Georgia" w:hAnsi="Georgia"/>
                <w:b/>
                <w:sz w:val="18"/>
              </w:rPr>
              <w:t>BoSY 2-Level</w:t>
            </w:r>
          </w:p>
        </w:tc>
        <w:tc>
          <w:tcPr>
            <w:tcW w:type="dxa" w:w="2484"/>
          </w:tcPr>
          <w:p>
            <w:r>
              <w:rPr>
                <w:rFonts w:ascii="Georgia" w:hAnsi="Georgia"/>
                <w:b/>
                <w:sz w:val="18"/>
              </w:rPr>
              <w:t>BoSY 3-Level</w:t>
            </w:r>
          </w:p>
        </w:tc>
        <w:tc>
          <w:tcPr>
            <w:tcW w:type="dxa" w:w="2484"/>
          </w:tcPr>
          <w:p>
            <w:r>
              <w:rPr>
                <w:rFonts w:ascii="Georgia" w:hAnsi="Georgia"/>
                <w:b/>
                <w:sz w:val="18"/>
              </w:rPr>
              <w:t>EoSY Proxy</w:t>
            </w:r>
          </w:p>
        </w:tc>
      </w:tr>
      <w:tr>
        <w:tc>
          <w:tcPr>
            <w:tcW w:type="dxa" w:w="2484"/>
          </w:tcPr>
          <w:p>
            <w:r>
              <w:rPr>
                <w:rFonts w:ascii="Georgia" w:hAnsi="Georgia"/>
                <w:sz w:val="18"/>
              </w:rPr>
              <w:t>Control</w:t>
            </w:r>
          </w:p>
        </w:tc>
        <w:tc>
          <w:tcPr>
            <w:tcW w:type="dxa" w:w="2484"/>
          </w:tcPr>
          <w:p>
            <w:r>
              <w:rPr>
                <w:rFonts w:ascii="Georgia" w:hAnsi="Georgia"/>
                <w:sz w:val="18"/>
              </w:rPr>
              <w:t>32.4%</w:t>
            </w:r>
          </w:p>
        </w:tc>
        <w:tc>
          <w:tcPr>
            <w:tcW w:type="dxa" w:w="2484"/>
          </w:tcPr>
          <w:p>
            <w:r>
              <w:rPr>
                <w:rFonts w:ascii="Georgia" w:hAnsi="Georgia"/>
                <w:sz w:val="18"/>
              </w:rPr>
              <w:t>26.3%</w:t>
            </w:r>
          </w:p>
        </w:tc>
        <w:tc>
          <w:tcPr>
            <w:tcW w:type="dxa" w:w="2484"/>
          </w:tcPr>
          <w:p>
            <w:r>
              <w:rPr>
                <w:rFonts w:ascii="Georgia" w:hAnsi="Georgia"/>
                <w:sz w:val="18"/>
              </w:rPr>
              <w:t>42.2%</w:t>
            </w:r>
          </w:p>
        </w:tc>
      </w:tr>
      <w:tr>
        <w:tc>
          <w:tcPr>
            <w:tcW w:type="dxa" w:w="2484"/>
          </w:tcPr>
          <w:p>
            <w:r>
              <w:rPr>
                <w:rFonts w:ascii="Georgia" w:hAnsi="Georgia"/>
                <w:sz w:val="18"/>
              </w:rPr>
              <w:t>Treatment</w:t>
            </w:r>
          </w:p>
        </w:tc>
        <w:tc>
          <w:tcPr>
            <w:tcW w:type="dxa" w:w="2484"/>
          </w:tcPr>
          <w:p>
            <w:r>
              <w:rPr>
                <w:rFonts w:ascii="Georgia" w:hAnsi="Georgia"/>
                <w:sz w:val="18"/>
              </w:rPr>
              <w:t>28.5%</w:t>
            </w:r>
          </w:p>
        </w:tc>
        <w:tc>
          <w:tcPr>
            <w:tcW w:type="dxa" w:w="2484"/>
          </w:tcPr>
          <w:p>
            <w:r>
              <w:rPr>
                <w:rFonts w:ascii="Georgia" w:hAnsi="Georgia"/>
                <w:sz w:val="18"/>
              </w:rPr>
              <w:t>20.8%</w:t>
            </w:r>
          </w:p>
        </w:tc>
        <w:tc>
          <w:tcPr>
            <w:tcW w:type="dxa" w:w="2484"/>
          </w:tcPr>
          <w:p>
            <w:r>
              <w:rPr>
                <w:rFonts w:ascii="Georgia" w:hAnsi="Georgia"/>
                <w:sz w:val="18"/>
              </w:rPr>
              <w:t>35.2%</w:t>
            </w:r>
          </w:p>
        </w:tc>
      </w:tr>
    </w:tbl>
    <w:p/>
    <w:p>
      <w:pPr>
        <w:pStyle w:val="Heading3"/>
      </w:pPr>
      <w:r>
        <w:t>Phil-IRI grade ready share by treatment status</w:t>
      </w:r>
    </w:p>
    <w:p>
      <w:pPr>
        <w:jc w:val="center"/>
      </w:pPr>
      <w:r>
        <w:drawing>
          <wp:inline xmlns:a="http://schemas.openxmlformats.org/drawingml/2006/main" xmlns:pic="http://schemas.openxmlformats.org/drawingml/2006/picture">
            <wp:extent cx="6035040" cy="4021923"/>
            <wp:docPr id="7" name="Picture 7"/>
            <wp:cNvGraphicFramePr>
              <a:graphicFrameLocks noChangeAspect="1"/>
            </wp:cNvGraphicFramePr>
            <a:graphic>
              <a:graphicData uri="http://schemas.openxmlformats.org/drawingml/2006/picture">
                <pic:pic>
                  <pic:nvPicPr>
                    <pic:cNvPr id="0" name="06_subgroup_philiri_grade_ready_by_treatment_status.png"/>
                    <pic:cNvPicPr/>
                  </pic:nvPicPr>
                  <pic:blipFill>
                    <a:blip r:embed="rId15"/>
                    <a:stretch>
                      <a:fillRect/>
                    </a:stretch>
                  </pic:blipFill>
                  <pic:spPr>
                    <a:xfrm>
                      <a:off x="0" y="0"/>
                      <a:ext cx="6035040" cy="4021923"/>
                    </a:xfrm>
                    <a:prstGeom prst="rect"/>
                  </pic:spPr>
                </pic:pic>
              </a:graphicData>
            </a:graphic>
          </wp:inline>
        </w:drawing>
      </w:r>
    </w:p>
    <w:p>
      <w:pPr>
        <w:pStyle w:val="Heading1"/>
      </w:pPr>
      <w:r>
        <w:t>Geographic summaries</w:t>
      </w:r>
    </w:p>
    <w:p>
      <w:r>
        <w:t>The randomized schools in this file are spread across five regions. Region 5 has the largest number of schools in the dataset. The coverage rates now use the enrollment denominators from the assessment dashboard files, so the regional rates stay below 100 percent.</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rFonts w:ascii="Georgia" w:hAnsi="Georgia"/>
                <w:b/>
                <w:sz w:val="18"/>
              </w:rPr>
              <w:t>Region</w:t>
            </w:r>
          </w:p>
        </w:tc>
        <w:tc>
          <w:tcPr>
            <w:tcW w:type="dxa" w:w="1419"/>
          </w:tcPr>
          <w:p>
            <w:r>
              <w:rPr>
                <w:rFonts w:ascii="Georgia" w:hAnsi="Georgia"/>
                <w:b/>
                <w:sz w:val="18"/>
              </w:rPr>
              <w:t>Schools</w:t>
            </w:r>
          </w:p>
        </w:tc>
        <w:tc>
          <w:tcPr>
            <w:tcW w:type="dxa" w:w="1419"/>
          </w:tcPr>
          <w:p>
            <w:r>
              <w:rPr>
                <w:rFonts w:ascii="Georgia" w:hAnsi="Georgia"/>
                <w:b/>
                <w:sz w:val="18"/>
              </w:rPr>
              <w:t>Reading BoSY coverage</w:t>
            </w:r>
          </w:p>
        </w:tc>
        <w:tc>
          <w:tcPr>
            <w:tcW w:type="dxa" w:w="1419"/>
          </w:tcPr>
          <w:p>
            <w:r>
              <w:rPr>
                <w:rFonts w:ascii="Georgia" w:hAnsi="Georgia"/>
                <w:b/>
                <w:sz w:val="18"/>
              </w:rPr>
              <w:t>Reading EoSY coverage</w:t>
            </w:r>
          </w:p>
        </w:tc>
        <w:tc>
          <w:tcPr>
            <w:tcW w:type="dxa" w:w="1419"/>
          </w:tcPr>
          <w:p>
            <w:r>
              <w:rPr>
                <w:rFonts w:ascii="Georgia" w:hAnsi="Georgia"/>
                <w:b/>
                <w:sz w:val="18"/>
              </w:rPr>
              <w:t>Math BoSY coverage</w:t>
            </w:r>
          </w:p>
        </w:tc>
        <w:tc>
          <w:tcPr>
            <w:tcW w:type="dxa" w:w="1419"/>
          </w:tcPr>
          <w:p>
            <w:r>
              <w:rPr>
                <w:rFonts w:ascii="Georgia" w:hAnsi="Georgia"/>
                <w:b/>
                <w:sz w:val="18"/>
              </w:rPr>
              <w:t>Math EoSY coverage</w:t>
            </w:r>
          </w:p>
        </w:tc>
        <w:tc>
          <w:tcPr>
            <w:tcW w:type="dxa" w:w="1419"/>
          </w:tcPr>
          <w:p>
            <w:r>
              <w:rPr>
                <w:rFonts w:ascii="Georgia" w:hAnsi="Georgia"/>
                <w:b/>
                <w:sz w:val="18"/>
              </w:rPr>
              <w:t>Compliance</w:t>
            </w:r>
          </w:p>
        </w:tc>
      </w:tr>
      <w:tr>
        <w:tc>
          <w:tcPr>
            <w:tcW w:type="dxa" w:w="1419"/>
          </w:tcPr>
          <w:p>
            <w:r>
              <w:rPr>
                <w:rFonts w:ascii="Georgia" w:hAnsi="Georgia"/>
                <w:sz w:val="18"/>
              </w:rPr>
              <w:t>Region 5</w:t>
            </w:r>
          </w:p>
        </w:tc>
        <w:tc>
          <w:tcPr>
            <w:tcW w:type="dxa" w:w="1419"/>
          </w:tcPr>
          <w:p>
            <w:r>
              <w:rPr>
                <w:rFonts w:ascii="Georgia" w:hAnsi="Georgia"/>
                <w:sz w:val="18"/>
              </w:rPr>
              <w:t>87</w:t>
            </w:r>
          </w:p>
        </w:tc>
        <w:tc>
          <w:tcPr>
            <w:tcW w:type="dxa" w:w="1419"/>
          </w:tcPr>
          <w:p>
            <w:r>
              <w:rPr>
                <w:rFonts w:ascii="Georgia" w:hAnsi="Georgia"/>
                <w:sz w:val="18"/>
              </w:rPr>
              <w:t>98.3%</w:t>
            </w:r>
          </w:p>
        </w:tc>
        <w:tc>
          <w:tcPr>
            <w:tcW w:type="dxa" w:w="1419"/>
          </w:tcPr>
          <w:p>
            <w:r>
              <w:rPr>
                <w:rFonts w:ascii="Georgia" w:hAnsi="Georgia"/>
                <w:sz w:val="18"/>
              </w:rPr>
              <w:t>93.5%</w:t>
            </w:r>
          </w:p>
        </w:tc>
        <w:tc>
          <w:tcPr>
            <w:tcW w:type="dxa" w:w="1419"/>
          </w:tcPr>
          <w:p>
            <w:r>
              <w:rPr>
                <w:rFonts w:ascii="Georgia" w:hAnsi="Georgia"/>
                <w:sz w:val="18"/>
              </w:rPr>
              <w:t>99.1%</w:t>
            </w:r>
          </w:p>
        </w:tc>
        <w:tc>
          <w:tcPr>
            <w:tcW w:type="dxa" w:w="1419"/>
          </w:tcPr>
          <w:p>
            <w:r>
              <w:rPr>
                <w:rFonts w:ascii="Georgia" w:hAnsi="Georgia"/>
                <w:sz w:val="18"/>
              </w:rPr>
              <w:t>97.6%</w:t>
            </w:r>
          </w:p>
        </w:tc>
        <w:tc>
          <w:tcPr>
            <w:tcW w:type="dxa" w:w="1419"/>
          </w:tcPr>
          <w:p>
            <w:r>
              <w:rPr>
                <w:rFonts w:ascii="Georgia" w:hAnsi="Georgia"/>
                <w:sz w:val="18"/>
              </w:rPr>
              <w:t>18.4%</w:t>
            </w:r>
          </w:p>
        </w:tc>
      </w:tr>
      <w:tr>
        <w:tc>
          <w:tcPr>
            <w:tcW w:type="dxa" w:w="1419"/>
          </w:tcPr>
          <w:p>
            <w:r>
              <w:rPr>
                <w:rFonts w:ascii="Georgia" w:hAnsi="Georgia"/>
                <w:sz w:val="18"/>
              </w:rPr>
              <w:t>Region 15</w:t>
            </w:r>
          </w:p>
        </w:tc>
        <w:tc>
          <w:tcPr>
            <w:tcW w:type="dxa" w:w="1419"/>
          </w:tcPr>
          <w:p>
            <w:r>
              <w:rPr>
                <w:rFonts w:ascii="Georgia" w:hAnsi="Georgia"/>
                <w:sz w:val="18"/>
              </w:rPr>
              <w:t>48</w:t>
            </w:r>
          </w:p>
        </w:tc>
        <w:tc>
          <w:tcPr>
            <w:tcW w:type="dxa" w:w="1419"/>
          </w:tcPr>
          <w:p>
            <w:r>
              <w:rPr>
                <w:rFonts w:ascii="Georgia" w:hAnsi="Georgia"/>
                <w:sz w:val="18"/>
              </w:rPr>
              <w:t>96.6%</w:t>
            </w:r>
          </w:p>
        </w:tc>
        <w:tc>
          <w:tcPr>
            <w:tcW w:type="dxa" w:w="1419"/>
          </w:tcPr>
          <w:p>
            <w:r>
              <w:rPr>
                <w:rFonts w:ascii="Georgia" w:hAnsi="Georgia"/>
                <w:sz w:val="18"/>
              </w:rPr>
              <w:t>76.6%</w:t>
            </w:r>
          </w:p>
        </w:tc>
        <w:tc>
          <w:tcPr>
            <w:tcW w:type="dxa" w:w="1419"/>
          </w:tcPr>
          <w:p>
            <w:r>
              <w:rPr>
                <w:rFonts w:ascii="Georgia" w:hAnsi="Georgia"/>
                <w:sz w:val="18"/>
              </w:rPr>
              <w:t>98.0%</w:t>
            </w:r>
          </w:p>
        </w:tc>
        <w:tc>
          <w:tcPr>
            <w:tcW w:type="dxa" w:w="1419"/>
          </w:tcPr>
          <w:p>
            <w:r>
              <w:rPr>
                <w:rFonts w:ascii="Georgia" w:hAnsi="Georgia"/>
                <w:sz w:val="18"/>
              </w:rPr>
              <w:t>97.4%</w:t>
            </w:r>
          </w:p>
        </w:tc>
        <w:tc>
          <w:tcPr>
            <w:tcW w:type="dxa" w:w="1419"/>
          </w:tcPr>
          <w:p>
            <w:r>
              <w:rPr>
                <w:rFonts w:ascii="Georgia" w:hAnsi="Georgia"/>
                <w:sz w:val="18"/>
              </w:rPr>
              <w:t>22.9%</w:t>
            </w:r>
          </w:p>
        </w:tc>
      </w:tr>
      <w:tr>
        <w:tc>
          <w:tcPr>
            <w:tcW w:type="dxa" w:w="1419"/>
          </w:tcPr>
          <w:p>
            <w:r>
              <w:rPr>
                <w:rFonts w:ascii="Georgia" w:hAnsi="Georgia"/>
                <w:sz w:val="18"/>
              </w:rPr>
              <w:t>Region 7</w:t>
            </w:r>
          </w:p>
        </w:tc>
        <w:tc>
          <w:tcPr>
            <w:tcW w:type="dxa" w:w="1419"/>
          </w:tcPr>
          <w:p>
            <w:r>
              <w:rPr>
                <w:rFonts w:ascii="Georgia" w:hAnsi="Georgia"/>
                <w:sz w:val="18"/>
              </w:rPr>
              <w:t>48</w:t>
            </w:r>
          </w:p>
        </w:tc>
        <w:tc>
          <w:tcPr>
            <w:tcW w:type="dxa" w:w="1419"/>
          </w:tcPr>
          <w:p>
            <w:r>
              <w:rPr>
                <w:rFonts w:ascii="Georgia" w:hAnsi="Georgia"/>
                <w:sz w:val="18"/>
              </w:rPr>
              <w:t>97.7%</w:t>
            </w:r>
          </w:p>
        </w:tc>
        <w:tc>
          <w:tcPr>
            <w:tcW w:type="dxa" w:w="1419"/>
          </w:tcPr>
          <w:p>
            <w:r>
              <w:rPr>
                <w:rFonts w:ascii="Georgia" w:hAnsi="Georgia"/>
                <w:sz w:val="18"/>
              </w:rPr>
              <w:t>93.0%</w:t>
            </w:r>
          </w:p>
        </w:tc>
        <w:tc>
          <w:tcPr>
            <w:tcW w:type="dxa" w:w="1419"/>
          </w:tcPr>
          <w:p>
            <w:r>
              <w:rPr>
                <w:rFonts w:ascii="Georgia" w:hAnsi="Georgia"/>
                <w:sz w:val="18"/>
              </w:rPr>
              <w:t>99.0%</w:t>
            </w:r>
          </w:p>
        </w:tc>
        <w:tc>
          <w:tcPr>
            <w:tcW w:type="dxa" w:w="1419"/>
          </w:tcPr>
          <w:p>
            <w:r>
              <w:rPr>
                <w:rFonts w:ascii="Georgia" w:hAnsi="Georgia"/>
                <w:sz w:val="18"/>
              </w:rPr>
              <w:t>97.7%</w:t>
            </w:r>
          </w:p>
        </w:tc>
        <w:tc>
          <w:tcPr>
            <w:tcW w:type="dxa" w:w="1419"/>
          </w:tcPr>
          <w:p>
            <w:r>
              <w:rPr>
                <w:rFonts w:ascii="Georgia" w:hAnsi="Georgia"/>
                <w:sz w:val="18"/>
              </w:rPr>
              <w:t>12.5%</w:t>
            </w:r>
          </w:p>
        </w:tc>
      </w:tr>
      <w:tr>
        <w:tc>
          <w:tcPr>
            <w:tcW w:type="dxa" w:w="1419"/>
          </w:tcPr>
          <w:p>
            <w:r>
              <w:rPr>
                <w:rFonts w:ascii="Georgia" w:hAnsi="Georgia"/>
                <w:sz w:val="18"/>
              </w:rPr>
              <w:t>Region 4</w:t>
            </w:r>
          </w:p>
        </w:tc>
        <w:tc>
          <w:tcPr>
            <w:tcW w:type="dxa" w:w="1419"/>
          </w:tcPr>
          <w:p>
            <w:r>
              <w:rPr>
                <w:rFonts w:ascii="Georgia" w:hAnsi="Georgia"/>
                <w:sz w:val="18"/>
              </w:rPr>
              <w:t>38</w:t>
            </w:r>
          </w:p>
        </w:tc>
        <w:tc>
          <w:tcPr>
            <w:tcW w:type="dxa" w:w="1419"/>
          </w:tcPr>
          <w:p>
            <w:r>
              <w:rPr>
                <w:rFonts w:ascii="Georgia" w:hAnsi="Georgia"/>
                <w:sz w:val="18"/>
              </w:rPr>
              <w:t>97.9%</w:t>
            </w:r>
          </w:p>
        </w:tc>
        <w:tc>
          <w:tcPr>
            <w:tcW w:type="dxa" w:w="1419"/>
          </w:tcPr>
          <w:p>
            <w:r>
              <w:rPr>
                <w:rFonts w:ascii="Georgia" w:hAnsi="Georgia"/>
                <w:sz w:val="18"/>
              </w:rPr>
              <w:t>92.9%</w:t>
            </w:r>
          </w:p>
        </w:tc>
        <w:tc>
          <w:tcPr>
            <w:tcW w:type="dxa" w:w="1419"/>
          </w:tcPr>
          <w:p>
            <w:r>
              <w:rPr>
                <w:rFonts w:ascii="Georgia" w:hAnsi="Georgia"/>
                <w:sz w:val="18"/>
              </w:rPr>
              <w:t>99.5%</w:t>
            </w:r>
          </w:p>
        </w:tc>
        <w:tc>
          <w:tcPr>
            <w:tcW w:type="dxa" w:w="1419"/>
          </w:tcPr>
          <w:p>
            <w:r>
              <w:rPr>
                <w:rFonts w:ascii="Georgia" w:hAnsi="Georgia"/>
                <w:sz w:val="18"/>
              </w:rPr>
              <w:t>96.7%</w:t>
            </w:r>
          </w:p>
        </w:tc>
        <w:tc>
          <w:tcPr>
            <w:tcW w:type="dxa" w:w="1419"/>
          </w:tcPr>
          <w:p>
            <w:r>
              <w:rPr>
                <w:rFonts w:ascii="Georgia" w:hAnsi="Georgia"/>
                <w:sz w:val="18"/>
              </w:rPr>
              <w:t>10.5%</w:t>
            </w:r>
          </w:p>
        </w:tc>
      </w:tr>
      <w:tr>
        <w:tc>
          <w:tcPr>
            <w:tcW w:type="dxa" w:w="1419"/>
          </w:tcPr>
          <w:p>
            <w:r>
              <w:rPr>
                <w:rFonts w:ascii="Georgia" w:hAnsi="Georgia"/>
                <w:sz w:val="18"/>
              </w:rPr>
              <w:t>Region 11</w:t>
            </w:r>
          </w:p>
        </w:tc>
        <w:tc>
          <w:tcPr>
            <w:tcW w:type="dxa" w:w="1419"/>
          </w:tcPr>
          <w:p>
            <w:r>
              <w:rPr>
                <w:rFonts w:ascii="Georgia" w:hAnsi="Georgia"/>
                <w:sz w:val="18"/>
              </w:rPr>
              <w:t>37</w:t>
            </w:r>
          </w:p>
        </w:tc>
        <w:tc>
          <w:tcPr>
            <w:tcW w:type="dxa" w:w="1419"/>
          </w:tcPr>
          <w:p>
            <w:r>
              <w:rPr>
                <w:rFonts w:ascii="Georgia" w:hAnsi="Georgia"/>
                <w:sz w:val="18"/>
              </w:rPr>
              <w:t>98.4%</w:t>
            </w:r>
          </w:p>
        </w:tc>
        <w:tc>
          <w:tcPr>
            <w:tcW w:type="dxa" w:w="1419"/>
          </w:tcPr>
          <w:p>
            <w:r>
              <w:rPr>
                <w:rFonts w:ascii="Georgia" w:hAnsi="Georgia"/>
                <w:sz w:val="18"/>
              </w:rPr>
              <w:t>93.6%</w:t>
            </w:r>
          </w:p>
        </w:tc>
        <w:tc>
          <w:tcPr>
            <w:tcW w:type="dxa" w:w="1419"/>
          </w:tcPr>
          <w:p>
            <w:r>
              <w:rPr>
                <w:rFonts w:ascii="Georgia" w:hAnsi="Georgia"/>
                <w:sz w:val="18"/>
              </w:rPr>
              <w:t>98.1%</w:t>
            </w:r>
          </w:p>
        </w:tc>
        <w:tc>
          <w:tcPr>
            <w:tcW w:type="dxa" w:w="1419"/>
          </w:tcPr>
          <w:p>
            <w:r>
              <w:rPr>
                <w:rFonts w:ascii="Georgia" w:hAnsi="Georgia"/>
                <w:sz w:val="18"/>
              </w:rPr>
              <w:t>95.0%</w:t>
            </w:r>
          </w:p>
        </w:tc>
        <w:tc>
          <w:tcPr>
            <w:tcW w:type="dxa" w:w="1419"/>
          </w:tcPr>
          <w:p>
            <w:r>
              <w:rPr>
                <w:rFonts w:ascii="Georgia" w:hAnsi="Georgia"/>
                <w:sz w:val="18"/>
              </w:rPr>
              <w:t>10.8%</w:t>
            </w:r>
          </w:p>
        </w:tc>
      </w:tr>
    </w:tbl>
    <w:p/>
    <w:p>
      <w:pPr>
        <w:pStyle w:val="Heading3"/>
      </w:pPr>
      <w:r>
        <w:t>Beginning and End of School Year regional assessment coverage</w:t>
      </w:r>
    </w:p>
    <w:p>
      <w:pPr>
        <w:jc w:val="center"/>
      </w:pPr>
      <w:r>
        <w:drawing>
          <wp:inline xmlns:a="http://schemas.openxmlformats.org/drawingml/2006/main" xmlns:pic="http://schemas.openxmlformats.org/drawingml/2006/picture">
            <wp:extent cx="6035040" cy="4023360"/>
            <wp:docPr id="8" name="Picture 8"/>
            <wp:cNvGraphicFramePr>
              <a:graphicFrameLocks noChangeAspect="1"/>
            </wp:cNvGraphicFramePr>
            <a:graphic>
              <a:graphicData uri="http://schemas.openxmlformats.org/drawingml/2006/picture">
                <pic:pic>
                  <pic:nvPicPr>
                    <pic:cNvPr id="0" name="07_regional_assessment_coverage_bosy_eosy.png"/>
                    <pic:cNvPicPr/>
                  </pic:nvPicPr>
                  <pic:blipFill>
                    <a:blip r:embed="rId16"/>
                    <a:stretch>
                      <a:fillRect/>
                    </a:stretch>
                  </pic:blipFill>
                  <pic:spPr>
                    <a:xfrm>
                      <a:off x="0" y="0"/>
                      <a:ext cx="6035040" cy="4023360"/>
                    </a:xfrm>
                    <a:prstGeom prst="rect"/>
                  </pic:spPr>
                </pic:pic>
              </a:graphicData>
            </a:graphic>
          </wp:inline>
        </w:drawing>
      </w:r>
    </w:p>
    <w:p>
      <w:pPr>
        <w:pStyle w:val="Heading3"/>
      </w:pPr>
      <w:r>
        <w:t>Regional compliance rate</w:t>
      </w:r>
    </w:p>
    <w:p>
      <w:pPr>
        <w:jc w:val="center"/>
      </w:pPr>
      <w:r>
        <w:drawing>
          <wp:inline xmlns:a="http://schemas.openxmlformats.org/drawingml/2006/main" xmlns:pic="http://schemas.openxmlformats.org/drawingml/2006/picture">
            <wp:extent cx="6035040" cy="4021923"/>
            <wp:docPr id="9" name="Picture 9"/>
            <wp:cNvGraphicFramePr>
              <a:graphicFrameLocks noChangeAspect="1"/>
            </wp:cNvGraphicFramePr>
            <a:graphic>
              <a:graphicData uri="http://schemas.openxmlformats.org/drawingml/2006/picture">
                <pic:pic>
                  <pic:nvPicPr>
                    <pic:cNvPr id="0" name="07_regional_compliance_rate.png"/>
                    <pic:cNvPicPr/>
                  </pic:nvPicPr>
                  <pic:blipFill>
                    <a:blip r:embed="rId17"/>
                    <a:stretch>
                      <a:fillRect/>
                    </a:stretch>
                  </pic:blipFill>
                  <pic:spPr>
                    <a:xfrm>
                      <a:off x="0" y="0"/>
                      <a:ext cx="6035040" cy="4021923"/>
                    </a:xfrm>
                    <a:prstGeom prst="rect"/>
                  </pic:spPr>
                </pic:pic>
              </a:graphicData>
            </a:graphic>
          </wp:inline>
        </w:drawing>
      </w:r>
    </w:p>
    <w:p>
      <w:pPr>
        <w:sectPr>
          <w:pgSz w:w="12240" w:h="15840"/>
          <w:pgMar w:top="1008" w:right="1152" w:bottom="1008" w:left="1152" w:header="720" w:footer="720" w:gutter="0"/>
          <w:cols w:space="720"/>
          <w:docGrid w:linePitch="360"/>
        </w:sectPr>
      </w:pPr>
    </w:p>
    <w:p>
      <w:pPr>
        <w:pStyle w:val="Heading1"/>
      </w:pPr>
      <w:r>
        <w:t>Files to share</w:t>
      </w:r>
    </w:p>
    <w:p>
      <w:r>
        <w:t>The do-files are in scripts/. Cleaned data is in data/. Tables, logs, this brief, and individual PNG figures are in outputs/.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2E5E9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Georgia" w:hAnsi="Georgia"/>
      <w:b/>
      <w:bCs/>
      <w:color w:val="2E5E9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