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t>DLP Pilot Descriptive Results</w:t>
      </w:r>
    </w:p>
    <w:p w:rsidR="00000000" w:rsidDel="00000000" w:rsidP="00000000" w:rsidRDefault="00000000" w:rsidRPr="00000000" w14:paraId="00000002">
      <w:pPr>
        <w:jc w:val="center"/>
        <w:rPr/>
      </w:pPr>
      <w:r w:rsidDel="00000000" w:rsidR="00000000" w:rsidRPr="00000000">
        <w:rPr>
          <w:sz w:val="20"/>
          <w:szCs w:val="20"/>
          <w:rtl w:val="0"/>
        </w:rPr>
        <w:t xml:space="preserve">June 22, 2026</w:t>
      </w:r>
      <w:r w:rsidDel="00000000" w:rsidR="00000000" w:rsidRPr="00000000">
        <w:rPr>
          <w:rtl w:val="0"/>
        </w:rPr>
      </w:r>
    </w:p>
    <w:p w:rsidR="00000000" w:rsidDel="00000000" w:rsidP="00000000" w:rsidRDefault="00000000" w:rsidRPr="00000000" w14:paraId="00000003">
      <w:pPr>
        <w:pStyle w:val="Heading1"/>
        <w:rPr>
          <w:color w:val="77c181"/>
        </w:rPr>
      </w:pPr>
      <w:r>
        <w:t>Overview</w:t>
      </w:r>
    </w:p>
    <w:p w:rsidR="00000000" w:rsidDel="00000000" w:rsidP="00000000" w:rsidRDefault="00000000" w:rsidRPr="00000000" w14:paraId="00000004">
      <w:pPr>
        <w:rPr>
          <w:rFonts w:ascii="Arial" w:cs="Arial" w:eastAsia="Arial" w:hAnsi="Arial"/>
          <w:sz w:val="22"/>
          <w:szCs w:val="22"/>
        </w:rPr>
      </w:pPr>
      <w:r>
        <w:t>The Dynamic Learning Program (DLP), developed by Dr. Christopher Bernido and Dr. Maria Victoria Carpio-Bernido, is an activity-based instructional model that places greater responsibility on students to read, write, and work through exercises before formal classroom discussion. DepEd has recognized DLP as an alternative delivery modality for contexts where conventional instruction is constrained by large class sizes, multiple shifts, or recurring class disruptions.</w:t>
      </w:r>
    </w:p>
    <w:p w:rsidR="00000000" w:rsidDel="00000000" w:rsidP="00000000" w:rsidRDefault="00000000" w:rsidRPr="00000000" w14:paraId="00000005">
      <w:pPr>
        <w:rPr>
          <w:rFonts w:ascii="Arial" w:cs="Arial" w:eastAsia="Arial" w:hAnsi="Arial"/>
          <w:sz w:val="22"/>
          <w:szCs w:val="22"/>
        </w:rPr>
      </w:pPr>
      <w:r>
        <w:t>The pilot was designed to assess DLP across three implementation contexts: mainstream schools with large classes, schools operating multiple shifts, and schools affected by emergencies or repeated disruptions. One hundred schools were randomly assigned to each treatment context. Because procurement delays limited the planned rollout, the current data mainly describe schools that were able to proceed using their own resources. This brief summarizes the available monitoring and assessment data and should be read as descriptive evidence rather than an estimate of program impact.</w:t>
      </w:r>
    </w:p>
    <w:p w:rsidR="00000000" w:rsidDel="00000000" w:rsidP="00000000" w:rsidRDefault="00000000" w:rsidRPr="00000000" w14:paraId="000000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pStyle w:val="Heading1"/>
        <w:rPr/>
      </w:pPr>
      <w:r>
        <w:t>Dataset Processing</w:t>
      </w:r>
    </w:p>
    <w:p w:rsidR="00000000" w:rsidDel="00000000" w:rsidP="00000000" w:rsidRDefault="00000000" w:rsidRPr="00000000" w14:paraId="00000008">
      <w:pPr>
        <w:rPr>
          <w:rFonts w:ascii="Arial" w:cs="Arial" w:eastAsia="Arial" w:hAnsi="Arial"/>
          <w:sz w:val="22"/>
          <w:szCs w:val="22"/>
        </w:rPr>
      </w:pPr>
      <w:r>
        <w:t>The monitoring file identifies 258 schools with final implementation status. Of these, 41 schools were recorded as having implemented a DLP model.</w:t>
      </w:r>
    </w:p>
    <w:p w:rsidR="00000000" w:rsidDel="00000000" w:rsidP="00000000" w:rsidRDefault="00000000" w:rsidRPr="00000000" w14:paraId="00000009">
      <w:pPr>
        <w:rPr>
          <w:rFonts w:ascii="Arial" w:cs="Arial" w:eastAsia="Arial" w:hAnsi="Arial"/>
          <w:sz w:val="22"/>
          <w:szCs w:val="22"/>
        </w:rPr>
      </w:pPr>
      <w:r>
        <w:t>Figure 1 compares enrollment with available assessment records for mathematics and reading. The pilot schools enrolled 313,009 junior high school students. Phil-IRI coverage was 94 percent at the beginning of the school year and 80 percent at the end of the school year. RMA coverage was 94 percent at the beginning of the school year and 91 percent at the end of the school year.</w:t>
      </w:r>
    </w:p>
    <w:p w:rsidR="00000000" w:rsidDel="00000000" w:rsidP="00000000" w:rsidRDefault="00000000" w:rsidRPr="00000000" w14:paraId="0000000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rPr>
          <w:rFonts w:ascii="Arial" w:cs="Arial" w:eastAsia="Arial" w:hAnsi="Arial"/>
          <w:sz w:val="22"/>
          <w:szCs w:val="22"/>
        </w:rPr>
      </w:pPr>
      <w:r>
        <w:t>Scope of Analysis</w:t>
      </w:r>
    </w:p>
    <w:p w:rsidR="00000000" w:rsidDel="00000000" w:rsidP="00000000" w:rsidRDefault="00000000" w:rsidRPr="00000000" w14:paraId="0000000C">
      <w:pPr>
        <w:rPr>
          <w:rFonts w:ascii="Arial" w:cs="Arial" w:eastAsia="Arial" w:hAnsi="Arial"/>
          <w:sz w:val="22"/>
          <w:szCs w:val="22"/>
        </w:rPr>
      </w:pPr>
      <w:r>
        <w:t>The analysis uses datasets provided by DepEd: baseline and endline rounds of the Rapid Mathematics Assessment, the Philippine Informal Reading Inventory, and monitoring data from the implementing unit. The monitoring data identify whether a school implemented DLP, but not the specific model used, the intensity or fidelity of implementation, or the timing of implementation during the school year.</w:t>
      </w:r>
    </w:p>
    <w:p w:rsidR="00000000" w:rsidDel="00000000" w:rsidP="00000000" w:rsidRDefault="00000000" w:rsidRPr="00000000" w14:paraId="0000000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Figure 1. Enrollment and Assessment Counts among DLP Schools</w:t>
      </w:r>
    </w:p>
    <w:p w:rsidR="00000000" w:rsidDel="00000000" w:rsidP="00000000" w:rsidRDefault="00000000" w:rsidRPr="00000000" w14:paraId="00000010">
      <w:pPr>
        <w:rPr>
          <w:color w:val="666666"/>
        </w:rPr>
      </w:pPr>
      <w:r w:rsidDel="00000000" w:rsidR="00000000" w:rsidRPr="00000000">
        <w:rPr>
          <w:b w:val="1"/>
          <w:bCs w:val="1"/>
          <w:color w:val="666666"/>
          <w:sz w:val="32"/>
          <w:szCs w:val="32"/>
        </w:rPr>
        <w:drawing>
          <wp:inline distB="114300" distT="114300" distL="114300" distR="114300">
            <wp:extent cx="5607368" cy="3121802"/>
            <wp:effectExtent b="0" l="0" r="0" t="0"/>
            <wp:docPr id="1" name="image8.png"/>
            <a:graphic>
              <a:graphicData uri="http://schemas.openxmlformats.org/drawingml/2006/picture">
                <pic:pic>
                  <pic:nvPicPr>
                    <pic:cNvPr id="0" name="image8.png"/>
                    <pic:cNvPicPr preferRelativeResize="0"/>
                  </pic:nvPicPr>
                  <pic:blipFill>
                    <a:blip r:embed="rId8"/>
                    <a:srcRect b="0" l="0" r="0" t="15635"/>
                    <a:stretch>
                      <a:fillRect/>
                    </a:stretch>
                  </pic:blipFill>
                  <pic:spPr>
                    <a:xfrm>
                      <a:off x="0" y="0"/>
                      <a:ext cx="5607368" cy="312180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pStyle w:val="Heading1"/>
        <w:rPr/>
      </w:pPr>
      <w:r>
        <w:t>Program Implementation</w:t>
      </w:r>
    </w:p>
    <w:p w:rsidR="00000000" w:rsidDel="00000000" w:rsidP="00000000" w:rsidRDefault="00000000" w:rsidRPr="00000000" w14:paraId="00000013">
      <w:pPr>
        <w:rPr>
          <w:rFonts w:ascii="Arial" w:cs="Arial" w:eastAsia="Arial" w:hAnsi="Arial"/>
          <w:sz w:val="22"/>
          <w:szCs w:val="22"/>
        </w:rPr>
      </w:pPr>
      <w:r>
        <w:t>Among schools assigned to a treatment arm, 16 percent were recorded as implementing DLP. These figures reflect implementation ahead of the standard rollout and should be interpreted as early take-up under resource constraints. Implementation was highest among schools assigned to the emergency model and lowest among those assigned to the mainstream model.</w:t>
      </w:r>
    </w:p>
    <w:p w:rsidR="00000000" w:rsidDel="00000000" w:rsidP="00000000" w:rsidRDefault="00000000" w:rsidRPr="00000000" w14:paraId="0000001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Table 1. Implementation rates, by treatment arm</w:t>
      </w:r>
    </w:p>
    <w:tbl>
      <w:tblPr>
        <w:tblStyle w:val="Table1"/>
        <w:tblW w:w="9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2295"/>
        <w:gridCol w:w="2685"/>
        <w:gridCol w:w="2490"/>
        <w:tblGridChange w:id="0">
          <w:tblGrid>
            <w:gridCol w:w="2490"/>
            <w:gridCol w:w="2295"/>
            <w:gridCol w:w="2685"/>
            <w:gridCol w:w="2490"/>
          </w:tblGrid>
        </w:tblGridChange>
      </w:tblGrid>
      <w:tr>
        <w:trPr>
          <w:cantSplit w:val="0"/>
          <w:tblHeader w:val="0"/>
        </w:trPr>
        <w:tc>
          <w:tcPr/>
          <w:p w:rsidR="00000000" w:rsidDel="00000000" w:rsidP="00000000" w:rsidRDefault="00000000" w:rsidRPr="00000000" w14:paraId="00000015">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Assignment group</w:t>
            </w:r>
            <w:r w:rsidDel="00000000" w:rsidR="00000000" w:rsidRPr="00000000">
              <w:rPr>
                <w:rtl w:val="0"/>
              </w:rPr>
            </w:r>
          </w:p>
        </w:tc>
        <w:tc>
          <w:tcPr/>
          <w:p w:rsidR="00000000" w:rsidDel="00000000" w:rsidP="00000000" w:rsidRDefault="00000000" w:rsidRPr="00000000" w14:paraId="0000001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Schools</w:t>
            </w:r>
            <w:r w:rsidDel="00000000" w:rsidR="00000000" w:rsidRPr="00000000">
              <w:rPr>
                <w:rtl w:val="0"/>
              </w:rPr>
            </w:r>
          </w:p>
        </w:tc>
        <w:tc>
          <w:tcPr/>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Implementing schools</w:t>
            </w:r>
            <w:r w:rsidDel="00000000" w:rsidR="00000000" w:rsidRPr="00000000">
              <w:rPr>
                <w:rtl w:val="0"/>
              </w:rPr>
            </w:r>
          </w:p>
        </w:tc>
        <w:tc>
          <w:tcPr/>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Implementation rate</w:t>
            </w:r>
            <w:r w:rsidDel="00000000" w:rsidR="00000000" w:rsidRPr="00000000">
              <w:rPr>
                <w:rtl w:val="0"/>
              </w:rPr>
            </w:r>
          </w:p>
        </w:tc>
      </w:tr>
      <w:tr>
        <w:trPr>
          <w:cantSplit w:val="0"/>
          <w:tblHeader w:val="0"/>
        </w:trPr>
        <w:tc>
          <w:tcPr/>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Emergency</w:t>
            </w:r>
          </w:p>
        </w:tc>
        <w:tc>
          <w:tcPr/>
          <w:p w:rsidR="00000000" w:rsidDel="00000000" w:rsidP="00000000" w:rsidRDefault="00000000" w:rsidRPr="00000000" w14:paraId="0000001A">
            <w:pPr>
              <w:rPr>
                <w:rFonts w:ascii="Arial" w:cs="Arial" w:eastAsia="Arial" w:hAnsi="Arial"/>
                <w:sz w:val="22"/>
                <w:szCs w:val="22"/>
              </w:rPr>
            </w:pPr>
            <w:r w:rsidDel="00000000" w:rsidR="00000000" w:rsidRPr="00000000">
              <w:rPr>
                <w:rFonts w:ascii="Arial" w:cs="Arial" w:eastAsia="Arial" w:hAnsi="Arial"/>
                <w:sz w:val="22"/>
                <w:szCs w:val="22"/>
                <w:rtl w:val="0"/>
              </w:rPr>
              <w:t xml:space="preserve">87</w:t>
            </w:r>
          </w:p>
        </w:tc>
        <w:tc>
          <w:tcPr/>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18.4%</w:t>
            </w:r>
          </w:p>
        </w:tc>
      </w:tr>
      <w:tr>
        <w:trPr>
          <w:cantSplit w:val="0"/>
          <w:tblHeader w:val="0"/>
        </w:trPr>
        <w:tc>
          <w:tcPr/>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sz w:val="22"/>
                <w:szCs w:val="22"/>
                <w:rtl w:val="0"/>
              </w:rPr>
              <w:t xml:space="preserve">Mainstream</w:t>
            </w:r>
          </w:p>
        </w:tc>
        <w:tc>
          <w:tcPr/>
          <w:p w:rsidR="00000000" w:rsidDel="00000000" w:rsidP="00000000" w:rsidRDefault="00000000" w:rsidRPr="00000000" w14:paraId="0000001E">
            <w:pPr>
              <w:rPr>
                <w:rFonts w:ascii="Arial" w:cs="Arial" w:eastAsia="Arial" w:hAnsi="Arial"/>
                <w:sz w:val="22"/>
                <w:szCs w:val="22"/>
              </w:rPr>
            </w:pPr>
            <w:r w:rsidDel="00000000" w:rsidR="00000000" w:rsidRPr="00000000">
              <w:rPr>
                <w:rFonts w:ascii="Arial" w:cs="Arial" w:eastAsia="Arial" w:hAnsi="Arial"/>
                <w:sz w:val="22"/>
                <w:szCs w:val="22"/>
                <w:rtl w:val="0"/>
              </w:rPr>
              <w:t xml:space="preserve">85</w:t>
            </w:r>
          </w:p>
        </w:tc>
        <w:tc>
          <w:tcPr/>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tr>
      <w:tr>
        <w:trPr>
          <w:cantSplit w:val="0"/>
          <w:tblHeader w:val="0"/>
        </w:trPr>
        <w:tc>
          <w:tcPr/>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sz w:val="22"/>
                <w:szCs w:val="22"/>
                <w:rtl w:val="0"/>
              </w:rPr>
              <w:t xml:space="preserve">Shifting</w:t>
            </w:r>
          </w:p>
        </w:tc>
        <w:tc>
          <w:tcPr/>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sz w:val="22"/>
                <w:szCs w:val="22"/>
                <w:rtl w:val="0"/>
              </w:rPr>
              <w:t xml:space="preserve">86</w:t>
            </w:r>
          </w:p>
        </w:tc>
        <w:tc>
          <w:tcPr/>
          <w:p w:rsidR="00000000" w:rsidDel="00000000" w:rsidP="00000000" w:rsidRDefault="00000000" w:rsidRPr="00000000" w14:paraId="00000023">
            <w:pP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p w:rsidR="00000000" w:rsidDel="00000000" w:rsidP="00000000" w:rsidRDefault="00000000" w:rsidRPr="00000000" w14:paraId="00000024">
            <w:pPr>
              <w:rPr>
                <w:rFonts w:ascii="Arial" w:cs="Arial" w:eastAsia="Arial" w:hAnsi="Arial"/>
                <w:sz w:val="22"/>
                <w:szCs w:val="22"/>
              </w:rPr>
            </w:pPr>
            <w:r w:rsidDel="00000000" w:rsidR="00000000" w:rsidRPr="00000000">
              <w:rPr>
                <w:rFonts w:ascii="Arial" w:cs="Arial" w:eastAsia="Arial" w:hAnsi="Arial"/>
                <w:sz w:val="22"/>
                <w:szCs w:val="22"/>
                <w:rtl w:val="0"/>
              </w:rPr>
              <w:t xml:space="preserve">17.4%</w:t>
            </w:r>
          </w:p>
        </w:tc>
      </w:tr>
    </w:tbl>
    <w:p w:rsidR="00000000" w:rsidDel="00000000" w:rsidP="00000000" w:rsidRDefault="00000000" w:rsidRPr="00000000" w14:paraId="00000025">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rPr>
          <w:rFonts w:ascii="Arial" w:cs="Arial" w:eastAsia="Arial" w:hAnsi="Arial"/>
          <w:i w:val="1"/>
          <w:iCs w:val="1"/>
          <w:sz w:val="22"/>
          <w:szCs w:val="22"/>
        </w:rPr>
      </w:pPr>
      <w:r>
        <w:t>Note: The current dataset does not identify the DLP model actually implemented by each school. Compliance is therefore defined as implementation of any DLP model among schools assigned to a treatment arm.</w:t>
      </w:r>
    </w:p>
    <w:p w:rsidR="00000000" w:rsidDel="00000000" w:rsidP="00000000" w:rsidRDefault="00000000" w:rsidRPr="00000000" w14:paraId="00000027">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8">
      <w:pPr>
        <w:rPr>
          <w:rFonts w:ascii="Arial" w:cs="Arial" w:eastAsia="Arial" w:hAnsi="Arial"/>
          <w:sz w:val="22"/>
          <w:szCs w:val="22"/>
        </w:rPr>
      </w:pPr>
      <w:r>
        <w:t>Figure 2 shows implementation rates by treatment assignment. Schools assigned to the emergency and shifting arms had implementation rates of roughly 17 to 18 percent.</w:t>
      </w:r>
    </w:p>
    <w:p w:rsidR="00000000" w:rsidDel="00000000" w:rsidP="00000000" w:rsidRDefault="00000000" w:rsidRPr="00000000" w14:paraId="00000029">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C">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Figure 2. Implementation Rates by Treatment Assignment</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114300" distT="114300" distL="114300" distR="114300">
            <wp:extent cx="5131118" cy="2906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31118" cy="2906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rPr/>
      </w:pPr>
      <w:r>
        <w:t>Figure 3 shows regional variation in implementation. NCR and Bicol recorded the highest implementation rates, at 23 percent and 18 percent, respectively.</w:t>
      </w:r>
    </w:p>
    <w:p w:rsidR="00000000" w:rsidDel="00000000" w:rsidP="00000000" w:rsidRDefault="00000000" w:rsidRPr="00000000" w14:paraId="00000033">
      <w:pPr>
        <w:rPr/>
      </w:pPr>
      <w:r w:rsidDel="00000000" w:rsidR="00000000" w:rsidRPr="00000000">
        <w:rPr>
          <w:rFonts w:ascii="Arial" w:cs="Arial" w:eastAsia="Arial" w:hAnsi="Arial"/>
          <w:b w:val="1"/>
          <w:bCs w:val="1"/>
          <w:sz w:val="22"/>
          <w:szCs w:val="22"/>
          <w:rtl w:val="0"/>
        </w:rPr>
        <w:t xml:space="preserve">Figure 3. Implementation Rates by Region</w:t>
      </w:r>
      <w:r w:rsidDel="00000000" w:rsidR="00000000" w:rsidRPr="00000000">
        <w:rPr>
          <w:rtl w:val="0"/>
        </w:rPr>
      </w:r>
    </w:p>
    <w:p w:rsidR="00000000" w:rsidDel="00000000" w:rsidP="00000000" w:rsidRDefault="00000000" w:rsidRPr="00000000" w14:paraId="00000034">
      <w:pPr>
        <w:jc w:val="center"/>
        <w:rPr/>
      </w:pPr>
      <w:r w:rsidDel="00000000" w:rsidR="00000000" w:rsidRPr="00000000">
        <w:rPr/>
        <w:drawing>
          <wp:inline distB="114300" distT="114300" distL="114300" distR="114300">
            <wp:extent cx="5139431" cy="2895454"/>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139431" cy="289545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1"/>
        <w:rPr>
          <w:color w:val="77c181"/>
        </w:rPr>
      </w:pPr>
      <w:r w:rsidDel="00000000" w:rsidR="00000000" w:rsidRPr="00000000">
        <w:rPr>
          <w:rtl w:val="0"/>
        </w:rPr>
      </w:r>
    </w:p>
    <w:p w:rsidR="00000000" w:rsidDel="00000000" w:rsidP="00000000" w:rsidRDefault="00000000" w:rsidRPr="00000000" w14:paraId="00000036">
      <w:pPr>
        <w:pStyle w:val="Heading1"/>
        <w:rPr>
          <w:color w:val="666666"/>
        </w:rPr>
      </w:pPr>
      <w:r>
        <w:t>Geographic Summaries</w:t>
      </w:r>
    </w:p>
    <w:p w:rsidR="00000000" w:rsidDel="00000000" w:rsidP="00000000" w:rsidRDefault="00000000" w:rsidRPr="00000000" w14:paraId="00000037">
      <w:pPr>
        <w:rPr>
          <w:rFonts w:ascii="Arial" w:cs="Arial" w:eastAsia="Arial" w:hAnsi="Arial"/>
          <w:sz w:val="22"/>
          <w:szCs w:val="22"/>
        </w:rPr>
      </w:pPr>
      <w:r>
        <w:t>The randomized schools are distributed across five regions, with Region V accounting for the largest share of schools in the dataset. Assessment coverage is calculated using enrollment denominators from the assessment dashboard files.</w:t>
      </w:r>
    </w:p>
    <w:p w:rsidR="00000000" w:rsidDel="00000000" w:rsidP="00000000" w:rsidRDefault="00000000" w:rsidRPr="00000000" w14:paraId="00000038">
      <w:pPr>
        <w:rPr>
          <w:rFonts w:ascii="Arial" w:cs="Arial" w:eastAsia="Arial" w:hAnsi="Arial"/>
          <w:sz w:val="22"/>
          <w:szCs w:val="22"/>
        </w:rPr>
      </w:pPr>
      <w:r>
        <w:t>Figure 4 indicates that assessment coverage remained relatively high across regions between the beginning and end of the school year.</w:t>
      </w:r>
    </w:p>
    <w:p w:rsidR="00000000" w:rsidDel="00000000" w:rsidP="00000000" w:rsidRDefault="00000000" w:rsidRPr="00000000" w14:paraId="0000003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Table 2. Implementation rates, by region</w:t>
      </w:r>
    </w:p>
    <w:tbl>
      <w:tblPr>
        <w:tblStyle w:val="Table2"/>
        <w:tblW w:w="99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1080"/>
        <w:gridCol w:w="1470"/>
        <w:gridCol w:w="1470"/>
        <w:gridCol w:w="1365"/>
        <w:gridCol w:w="1230"/>
        <w:gridCol w:w="1935"/>
        <w:tblGridChange w:id="0">
          <w:tblGrid>
            <w:gridCol w:w="1425"/>
            <w:gridCol w:w="1080"/>
            <w:gridCol w:w="1470"/>
            <w:gridCol w:w="1470"/>
            <w:gridCol w:w="1365"/>
            <w:gridCol w:w="1230"/>
            <w:gridCol w:w="1935"/>
          </w:tblGrid>
        </w:tblGridChange>
      </w:tblGrid>
      <w:tr>
        <w:trPr>
          <w:cantSplit w:val="0"/>
          <w:tblHeader w:val="0"/>
        </w:trPr>
        <w:tc>
          <w:tcPr/>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Region</w:t>
            </w:r>
            <w:r w:rsidDel="00000000" w:rsidR="00000000" w:rsidRPr="00000000">
              <w:rPr>
                <w:rtl w:val="0"/>
              </w:rPr>
            </w:r>
          </w:p>
        </w:tc>
        <w:tc>
          <w:tcPr/>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Schools</w:t>
            </w: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Reading BoSY coverage</w:t>
            </w: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Reading EoSY coverage</w:t>
            </w: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Math BoSY coverage</w:t>
            </w: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Math EoSY coverage</w:t>
            </w:r>
            <w:r w:rsidDel="00000000" w:rsidR="00000000" w:rsidRPr="00000000">
              <w:rPr>
                <w:rtl w:val="0"/>
              </w:rPr>
            </w:r>
          </w:p>
        </w:tc>
        <w:tc>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Implementation Rate</w:t>
            </w: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sz w:val="22"/>
                <w:szCs w:val="22"/>
                <w:rtl w:val="0"/>
              </w:rPr>
              <w:t xml:space="preserve">Region 5</w:t>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sz w:val="22"/>
                <w:szCs w:val="22"/>
                <w:rtl w:val="0"/>
              </w:rPr>
              <w:t xml:space="preserve">87</w:t>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98.3%</w:t>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Fonts w:ascii="Arial" w:cs="Arial" w:eastAsia="Arial" w:hAnsi="Arial"/>
                <w:sz w:val="22"/>
                <w:szCs w:val="22"/>
                <w:rtl w:val="0"/>
              </w:rPr>
              <w:t xml:space="preserve">93.5%</w:t>
            </w:r>
          </w:p>
        </w:tc>
        <w:tc>
          <w:tcPr/>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2"/>
                <w:szCs w:val="22"/>
                <w:rtl w:val="0"/>
              </w:rPr>
              <w:t xml:space="preserve">99.1%</w:t>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97.6%</w:t>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sz w:val="22"/>
                <w:szCs w:val="22"/>
                <w:rtl w:val="0"/>
              </w:rPr>
              <w:t xml:space="preserve">18.4%</w:t>
            </w:r>
          </w:p>
        </w:tc>
      </w:tr>
      <w:tr>
        <w:trPr>
          <w:cantSplit w:val="0"/>
          <w:tblHeader w:val="0"/>
        </w:trPr>
        <w:tc>
          <w:tcPr/>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sz w:val="22"/>
                <w:szCs w:val="22"/>
                <w:rtl w:val="0"/>
              </w:rPr>
              <w:t xml:space="preserve">Region 15</w:t>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Fonts w:ascii="Arial" w:cs="Arial" w:eastAsia="Arial" w:hAnsi="Arial"/>
                <w:sz w:val="22"/>
                <w:szCs w:val="22"/>
                <w:rtl w:val="0"/>
              </w:rPr>
              <w:t xml:space="preserve">48</w:t>
            </w:r>
          </w:p>
        </w:tc>
        <w:tc>
          <w:tcPr/>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sz w:val="22"/>
                <w:szCs w:val="22"/>
                <w:rtl w:val="0"/>
              </w:rPr>
              <w:t xml:space="preserve">96.6%</w:t>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sz w:val="22"/>
                <w:szCs w:val="22"/>
                <w:rtl w:val="0"/>
              </w:rPr>
              <w:t xml:space="preserve">76.6%</w:t>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w:cs="Arial" w:eastAsia="Arial" w:hAnsi="Arial"/>
                <w:sz w:val="22"/>
                <w:szCs w:val="22"/>
                <w:rtl w:val="0"/>
              </w:rPr>
              <w:t xml:space="preserve">98.0%</w:t>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sz w:val="22"/>
                <w:szCs w:val="22"/>
                <w:rtl w:val="0"/>
              </w:rPr>
              <w:t xml:space="preserve">97.4%</w:t>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Fonts w:ascii="Arial" w:cs="Arial" w:eastAsia="Arial" w:hAnsi="Arial"/>
                <w:sz w:val="22"/>
                <w:szCs w:val="22"/>
                <w:rtl w:val="0"/>
              </w:rPr>
              <w:t xml:space="preserve">22.9%</w:t>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Fonts w:ascii="Arial" w:cs="Arial" w:eastAsia="Arial" w:hAnsi="Arial"/>
                <w:sz w:val="22"/>
                <w:szCs w:val="22"/>
                <w:rtl w:val="0"/>
              </w:rPr>
              <w:t xml:space="preserve">Region 7</w:t>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Fonts w:ascii="Arial" w:cs="Arial" w:eastAsia="Arial" w:hAnsi="Arial"/>
                <w:sz w:val="22"/>
                <w:szCs w:val="22"/>
                <w:rtl w:val="0"/>
              </w:rPr>
              <w:t xml:space="preserve">48</w:t>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Fonts w:ascii="Arial" w:cs="Arial" w:eastAsia="Arial" w:hAnsi="Arial"/>
                <w:sz w:val="22"/>
                <w:szCs w:val="22"/>
                <w:rtl w:val="0"/>
              </w:rPr>
              <w:t xml:space="preserve">97.7%</w:t>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w:cs="Arial" w:eastAsia="Arial" w:hAnsi="Arial"/>
                <w:sz w:val="22"/>
                <w:szCs w:val="22"/>
                <w:rtl w:val="0"/>
              </w:rPr>
              <w:t xml:space="preserve">93.0%</w:t>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Fonts w:ascii="Arial" w:cs="Arial" w:eastAsia="Arial" w:hAnsi="Arial"/>
                <w:sz w:val="22"/>
                <w:szCs w:val="22"/>
                <w:rtl w:val="0"/>
              </w:rPr>
              <w:t xml:space="preserve">99.0%</w:t>
            </w:r>
          </w:p>
        </w:tc>
        <w:tc>
          <w:tcPr/>
          <w:p w:rsidR="00000000" w:rsidDel="00000000" w:rsidP="00000000" w:rsidRDefault="00000000" w:rsidRPr="00000000" w14:paraId="00000054">
            <w:pPr>
              <w:rPr>
                <w:rFonts w:ascii="Arial" w:cs="Arial" w:eastAsia="Arial" w:hAnsi="Arial"/>
                <w:sz w:val="22"/>
                <w:szCs w:val="22"/>
              </w:rPr>
            </w:pPr>
            <w:r w:rsidDel="00000000" w:rsidR="00000000" w:rsidRPr="00000000">
              <w:rPr>
                <w:rFonts w:ascii="Arial" w:cs="Arial" w:eastAsia="Arial" w:hAnsi="Arial"/>
                <w:sz w:val="22"/>
                <w:szCs w:val="22"/>
                <w:rtl w:val="0"/>
              </w:rPr>
              <w:t xml:space="preserve">97.7%</w:t>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Fonts w:ascii="Arial" w:cs="Arial" w:eastAsia="Arial" w:hAnsi="Arial"/>
                <w:sz w:val="22"/>
                <w:szCs w:val="22"/>
                <w:rtl w:val="0"/>
              </w:rPr>
              <w:t xml:space="preserve">12.5%</w:t>
            </w:r>
          </w:p>
        </w:tc>
      </w:tr>
      <w:tr>
        <w:trPr>
          <w:cantSplit w:val="0"/>
          <w:tblHeader w:val="0"/>
        </w:trPr>
        <w:tc>
          <w:tcPr/>
          <w:p w:rsidR="00000000" w:rsidDel="00000000" w:rsidP="00000000" w:rsidRDefault="00000000" w:rsidRPr="00000000" w14:paraId="00000056">
            <w:pPr>
              <w:rPr>
                <w:rFonts w:ascii="Arial" w:cs="Arial" w:eastAsia="Arial" w:hAnsi="Arial"/>
                <w:sz w:val="22"/>
                <w:szCs w:val="22"/>
              </w:rPr>
            </w:pPr>
            <w:r w:rsidDel="00000000" w:rsidR="00000000" w:rsidRPr="00000000">
              <w:rPr>
                <w:rFonts w:ascii="Arial" w:cs="Arial" w:eastAsia="Arial" w:hAnsi="Arial"/>
                <w:sz w:val="22"/>
                <w:szCs w:val="22"/>
                <w:rtl w:val="0"/>
              </w:rPr>
              <w:t xml:space="preserve">Region 4</w:t>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Fonts w:ascii="Arial" w:cs="Arial" w:eastAsia="Arial" w:hAnsi="Arial"/>
                <w:sz w:val="22"/>
                <w:szCs w:val="22"/>
                <w:rtl w:val="0"/>
              </w:rPr>
              <w:t xml:space="preserve">38</w:t>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sz w:val="22"/>
                <w:szCs w:val="22"/>
                <w:rtl w:val="0"/>
              </w:rPr>
              <w:t xml:space="preserve">97.9%</w:t>
            </w:r>
          </w:p>
        </w:tc>
        <w:tc>
          <w:tcPr/>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w:cs="Arial" w:eastAsia="Arial" w:hAnsi="Arial"/>
                <w:sz w:val="22"/>
                <w:szCs w:val="22"/>
                <w:rtl w:val="0"/>
              </w:rPr>
              <w:t xml:space="preserve">92.9%</w:t>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Fonts w:ascii="Arial" w:cs="Arial" w:eastAsia="Arial" w:hAnsi="Arial"/>
                <w:sz w:val="22"/>
                <w:szCs w:val="22"/>
                <w:rtl w:val="0"/>
              </w:rPr>
              <w:t xml:space="preserve">99.5%</w:t>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Fonts w:ascii="Arial" w:cs="Arial" w:eastAsia="Arial" w:hAnsi="Arial"/>
                <w:sz w:val="22"/>
                <w:szCs w:val="22"/>
                <w:rtl w:val="0"/>
              </w:rPr>
              <w:t xml:space="preserve">96.7%</w:t>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sz w:val="22"/>
                <w:szCs w:val="22"/>
                <w:rtl w:val="0"/>
              </w:rPr>
              <w:t xml:space="preserve">10.5%</w:t>
            </w:r>
          </w:p>
        </w:tc>
      </w:tr>
      <w:tr>
        <w:trPr>
          <w:cantSplit w:val="0"/>
          <w:tblHeader w:val="0"/>
        </w:trPr>
        <w:tc>
          <w:tcPr/>
          <w:p w:rsidR="00000000" w:rsidDel="00000000" w:rsidP="00000000" w:rsidRDefault="00000000" w:rsidRPr="00000000" w14:paraId="0000005D">
            <w:pPr>
              <w:rPr>
                <w:rFonts w:ascii="Arial" w:cs="Arial" w:eastAsia="Arial" w:hAnsi="Arial"/>
                <w:sz w:val="22"/>
                <w:szCs w:val="22"/>
              </w:rPr>
            </w:pPr>
            <w:r w:rsidDel="00000000" w:rsidR="00000000" w:rsidRPr="00000000">
              <w:rPr>
                <w:rFonts w:ascii="Arial" w:cs="Arial" w:eastAsia="Arial" w:hAnsi="Arial"/>
                <w:sz w:val="22"/>
                <w:szCs w:val="22"/>
                <w:rtl w:val="0"/>
              </w:rPr>
              <w:t xml:space="preserve">Region 11</w:t>
            </w:r>
          </w:p>
        </w:tc>
        <w:tc>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sz w:val="22"/>
                <w:szCs w:val="22"/>
                <w:rtl w:val="0"/>
              </w:rPr>
              <w:t xml:space="preserve">37</w:t>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sz w:val="22"/>
                <w:szCs w:val="22"/>
                <w:rtl w:val="0"/>
              </w:rPr>
              <w:t xml:space="preserve">98.4%</w:t>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2"/>
                <w:szCs w:val="22"/>
                <w:rtl w:val="0"/>
              </w:rPr>
              <w:t xml:space="preserve">93.6%</w:t>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2"/>
                <w:szCs w:val="22"/>
                <w:rtl w:val="0"/>
              </w:rPr>
              <w:t xml:space="preserve">98.1%</w:t>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sz w:val="22"/>
                <w:szCs w:val="22"/>
                <w:rtl w:val="0"/>
              </w:rPr>
              <w:t xml:space="preserve">95.0%</w:t>
            </w:r>
          </w:p>
        </w:tc>
        <w:tc>
          <w:tcPr/>
          <w:p w:rsidR="00000000" w:rsidDel="00000000" w:rsidP="00000000" w:rsidRDefault="00000000" w:rsidRPr="00000000" w14:paraId="00000063">
            <w:pPr>
              <w:rPr>
                <w:rFonts w:ascii="Arial" w:cs="Arial" w:eastAsia="Arial" w:hAnsi="Arial"/>
                <w:sz w:val="22"/>
                <w:szCs w:val="22"/>
              </w:rPr>
            </w:pPr>
            <w:r w:rsidDel="00000000" w:rsidR="00000000" w:rsidRPr="00000000">
              <w:rPr>
                <w:rFonts w:ascii="Arial" w:cs="Arial" w:eastAsia="Arial" w:hAnsi="Arial"/>
                <w:sz w:val="22"/>
                <w:szCs w:val="22"/>
                <w:rtl w:val="0"/>
              </w:rPr>
              <w:t xml:space="preserve">10.8%</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b w:val="1"/>
          <w:bCs w:val="1"/>
          <w:sz w:val="22"/>
          <w:szCs w:val="22"/>
          <w:rtl w:val="0"/>
        </w:rPr>
        <w:t xml:space="preserve">Figure 4. BoSY and EoSY assessment coverage by region</w:t>
      </w:r>
      <w:r w:rsidDel="00000000" w:rsidR="00000000" w:rsidRPr="00000000">
        <w:rPr>
          <w:rtl w:val="0"/>
        </w:rPr>
      </w:r>
    </w:p>
    <w:p w:rsidR="00000000" w:rsidDel="00000000" w:rsidP="00000000" w:rsidRDefault="00000000" w:rsidRPr="00000000" w14:paraId="00000066">
      <w:pPr>
        <w:jc w:val="center"/>
        <w:rPr/>
      </w:pPr>
      <w:r w:rsidDel="00000000" w:rsidR="00000000" w:rsidRPr="00000000">
        <w:rPr/>
        <w:drawing>
          <wp:inline distB="0" distT="0" distL="114300" distR="114300">
            <wp:extent cx="6038850" cy="3466426"/>
            <wp:effectExtent b="0" l="0" r="0" t="0"/>
            <wp:docPr id="7" name="image4.png"/>
            <a:graphic>
              <a:graphicData uri="http://schemas.openxmlformats.org/drawingml/2006/picture">
                <pic:pic>
                  <pic:nvPicPr>
                    <pic:cNvPr id="0" name="image4.png"/>
                    <pic:cNvPicPr preferRelativeResize="0"/>
                  </pic:nvPicPr>
                  <pic:blipFill>
                    <a:blip r:embed="rId11"/>
                    <a:srcRect b="0" l="0" r="0" t="13761"/>
                    <a:stretch>
                      <a:fillRect/>
                    </a:stretch>
                  </pic:blipFill>
                  <pic:spPr>
                    <a:xfrm>
                      <a:off x="0" y="0"/>
                      <a:ext cx="6038850" cy="346642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pStyle w:val="Heading1"/>
        <w:rPr/>
      </w:pPr>
      <w:r>
        <w:t>Proficiency and Reading Categories (All Pilot Schools)</w:t>
      </w:r>
    </w:p>
    <w:p w:rsidR="00000000" w:rsidDel="00000000" w:rsidP="00000000" w:rsidRDefault="00000000" w:rsidRPr="00000000" w14:paraId="00000069">
      <w:pPr>
        <w:rPr>
          <w:rFonts w:ascii="Arial" w:cs="Arial" w:eastAsia="Arial" w:hAnsi="Arial"/>
          <w:sz w:val="22"/>
          <w:szCs w:val="22"/>
        </w:rPr>
      </w:pPr>
      <w:r>
        <w:t>Student performance is summarized using the Rapid Mathematics Assessment for mathematics and Phil-IRI for reading. The figures compare beginning- and end-of-school-year assessment distributions among assessed students.</w:t>
      </w:r>
    </w:p>
    <w:p w:rsidR="00000000" w:rsidDel="00000000" w:rsidP="00000000" w:rsidRDefault="00000000" w:rsidRPr="00000000" w14:paraId="0000006A">
      <w:pPr>
        <w:rPr>
          <w:rFonts w:ascii="Arial" w:cs="Arial" w:eastAsia="Arial" w:hAnsi="Arial"/>
          <w:sz w:val="22"/>
          <w:szCs w:val="22"/>
        </w:rPr>
      </w:pPr>
      <w:r>
        <w:t>In mathematics, the beginning-of-year distribution was concentrated in the not proficient category. By endline, the share of assessed students in this category was substantially lower across Grades 7 to 10.</w:t>
      </w:r>
    </w:p>
    <w:p>
      <w:r>
        <w:br w:type="page"/>
      </w:r>
    </w:p>
    <w:p w:rsidR="00000000" w:rsidDel="00000000" w:rsidP="00000000" w:rsidRDefault="00000000" w:rsidRPr="00000000" w14:paraId="0000006B">
      <w:pPr>
        <w:rPr>
          <w:rFonts w:ascii="Arial" w:cs="Arial" w:eastAsia="Arial" w:hAnsi="Arial"/>
          <w:b w:val="1"/>
          <w:bCs w:val="1"/>
          <w:sz w:val="22"/>
          <w:szCs w:val="22"/>
        </w:rPr>
      </w:pPr>
      <w:r>
        <w:t>Table 3. Share of assessed students across Grade 7 to 10</w:t>
      </w:r>
    </w:p>
    <w:tbl>
      <w:tblPr>
        <w:tblStyle w:val="Table3"/>
        <w:tblW w:w="9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3150"/>
        <w:gridCol w:w="2490"/>
        <w:gridCol w:w="2490"/>
        <w:tblGridChange w:id="0">
          <w:tblGrid>
            <w:gridCol w:w="1830"/>
            <w:gridCol w:w="3150"/>
            <w:gridCol w:w="2490"/>
            <w:gridCol w:w="2490"/>
          </w:tblGrid>
        </w:tblGridChange>
      </w:tblGrid>
      <w:tr>
        <w:trPr>
          <w:cantSplit w:val="0"/>
          <w:tblHeader w:val="0"/>
        </w:trPr>
        <w:tc>
          <w:tcPr/>
          <w:p w:rsidR="00000000" w:rsidDel="00000000" w:rsidP="00000000" w:rsidRDefault="00000000" w:rsidRPr="00000000" w14:paraId="0000006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Period</w:t>
            </w:r>
            <w:r w:rsidDel="00000000" w:rsidR="00000000" w:rsidRPr="00000000">
              <w:rPr>
                <w:rtl w:val="0"/>
              </w:rPr>
            </w:r>
          </w:p>
        </w:tc>
        <w:tc>
          <w:tcPr/>
          <w:p w:rsidR="00000000" w:rsidDel="00000000" w:rsidP="00000000" w:rsidRDefault="00000000" w:rsidRPr="00000000" w14:paraId="0000006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Group</w:t>
            </w:r>
            <w:r w:rsidDel="00000000" w:rsidR="00000000" w:rsidRPr="00000000">
              <w:rPr>
                <w:rtl w:val="0"/>
              </w:rPr>
            </w:r>
          </w:p>
        </w:tc>
        <w:tc>
          <w:tcPr/>
          <w:p w:rsidR="00000000" w:rsidDel="00000000" w:rsidP="00000000" w:rsidRDefault="00000000" w:rsidRPr="00000000" w14:paraId="0000006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Students</w:t>
            </w:r>
            <w:r w:rsidDel="00000000" w:rsidR="00000000" w:rsidRPr="00000000">
              <w:rPr>
                <w:rtl w:val="0"/>
              </w:rPr>
            </w:r>
          </w:p>
        </w:tc>
        <w:tc>
          <w:tcPr/>
          <w:p w:rsidR="00000000" w:rsidDel="00000000" w:rsidP="00000000" w:rsidRDefault="00000000" w:rsidRPr="00000000" w14:paraId="0000006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Share of assessed</w:t>
            </w:r>
            <w:r w:rsidDel="00000000" w:rsidR="00000000" w:rsidRPr="00000000">
              <w:rPr>
                <w:rtl w:val="0"/>
              </w:rPr>
            </w:r>
          </w:p>
        </w:tc>
      </w:tr>
      <w:tr>
        <w:trPr>
          <w:cantSplit w:val="0"/>
          <w:tblHeader w:val="0"/>
        </w:trPr>
        <w:tc>
          <w:tcPr/>
          <w:p w:rsidR="00000000" w:rsidDel="00000000" w:rsidP="00000000" w:rsidRDefault="00000000" w:rsidRPr="00000000" w14:paraId="00000070">
            <w:pPr>
              <w:rPr>
                <w:rFonts w:ascii="Arial" w:cs="Arial" w:eastAsia="Arial" w:hAnsi="Arial"/>
                <w:sz w:val="22"/>
                <w:szCs w:val="22"/>
              </w:rPr>
            </w:pPr>
            <w:r w:rsidDel="00000000" w:rsidR="00000000" w:rsidRPr="00000000">
              <w:rPr>
                <w:rFonts w:ascii="Arial" w:cs="Arial" w:eastAsia="Arial" w:hAnsi="Arial"/>
                <w:sz w:val="22"/>
                <w:szCs w:val="22"/>
                <w:rtl w:val="0"/>
              </w:rPr>
              <w:t xml:space="preserve">BoSY</w:t>
            </w:r>
          </w:p>
        </w:tc>
        <w:tc>
          <w:tcPr/>
          <w:p w:rsidR="00000000" w:rsidDel="00000000" w:rsidP="00000000" w:rsidRDefault="00000000" w:rsidRPr="00000000" w14:paraId="00000071">
            <w:pPr>
              <w:rPr>
                <w:rFonts w:ascii="Arial" w:cs="Arial" w:eastAsia="Arial" w:hAnsi="Arial"/>
                <w:sz w:val="22"/>
                <w:szCs w:val="22"/>
              </w:rPr>
            </w:pPr>
            <w:r w:rsidDel="00000000" w:rsidR="00000000" w:rsidRPr="00000000">
              <w:rPr>
                <w:rFonts w:ascii="Arial" w:cs="Arial" w:eastAsia="Arial" w:hAnsi="Arial"/>
                <w:sz w:val="22"/>
                <w:szCs w:val="22"/>
                <w:rtl w:val="0"/>
              </w:rPr>
              <w:t xml:space="preserve">Not proficient</w:t>
            </w:r>
          </w:p>
        </w:tc>
        <w:tc>
          <w:tcPr/>
          <w:p w:rsidR="00000000" w:rsidDel="00000000" w:rsidP="00000000" w:rsidRDefault="00000000" w:rsidRPr="00000000" w14:paraId="00000072">
            <w:pPr>
              <w:rPr>
                <w:rFonts w:ascii="Arial" w:cs="Arial" w:eastAsia="Arial" w:hAnsi="Arial"/>
                <w:sz w:val="22"/>
                <w:szCs w:val="22"/>
              </w:rPr>
            </w:pPr>
            <w:r w:rsidDel="00000000" w:rsidR="00000000" w:rsidRPr="00000000">
              <w:rPr>
                <w:rFonts w:ascii="Arial" w:cs="Arial" w:eastAsia="Arial" w:hAnsi="Arial"/>
                <w:sz w:val="22"/>
                <w:szCs w:val="22"/>
                <w:rtl w:val="0"/>
              </w:rPr>
              <w:t xml:space="preserve">257,630</w:t>
            </w:r>
          </w:p>
        </w:tc>
        <w:tc>
          <w:tcPr/>
          <w:p w:rsidR="00000000" w:rsidDel="00000000" w:rsidP="00000000" w:rsidRDefault="00000000" w:rsidRPr="00000000" w14:paraId="00000073">
            <w:pPr>
              <w:rPr>
                <w:rFonts w:ascii="Arial" w:cs="Arial" w:eastAsia="Arial" w:hAnsi="Arial"/>
                <w:sz w:val="22"/>
                <w:szCs w:val="22"/>
              </w:rPr>
            </w:pPr>
            <w:r w:rsidDel="00000000" w:rsidR="00000000" w:rsidRPr="00000000">
              <w:rPr>
                <w:rFonts w:ascii="Arial" w:cs="Arial" w:eastAsia="Arial" w:hAnsi="Arial"/>
                <w:sz w:val="22"/>
                <w:szCs w:val="22"/>
                <w:rtl w:val="0"/>
              </w:rPr>
              <w:t xml:space="preserve">87.4%</w:t>
            </w:r>
          </w:p>
        </w:tc>
      </w:tr>
      <w:tr>
        <w:trPr>
          <w:cantSplit w:val="0"/>
          <w:tblHeader w:val="0"/>
        </w:trPr>
        <w:tc>
          <w:tcPr/>
          <w:p w:rsidR="00000000" w:rsidDel="00000000" w:rsidP="00000000" w:rsidRDefault="00000000" w:rsidRPr="00000000" w14:paraId="00000074">
            <w:pPr>
              <w:rPr>
                <w:rFonts w:ascii="Arial" w:cs="Arial" w:eastAsia="Arial" w:hAnsi="Arial"/>
                <w:sz w:val="22"/>
                <w:szCs w:val="22"/>
              </w:rPr>
            </w:pPr>
            <w:r w:rsidDel="00000000" w:rsidR="00000000" w:rsidRPr="00000000">
              <w:rPr>
                <w:rFonts w:ascii="Arial" w:cs="Arial" w:eastAsia="Arial" w:hAnsi="Arial"/>
                <w:sz w:val="22"/>
                <w:szCs w:val="22"/>
                <w:rtl w:val="0"/>
              </w:rPr>
              <w:t xml:space="preserve">EoSY</w:t>
            </w:r>
          </w:p>
        </w:tc>
        <w:tc>
          <w:tcPr/>
          <w:p w:rsidR="00000000" w:rsidDel="00000000" w:rsidP="00000000" w:rsidRDefault="00000000" w:rsidRPr="00000000" w14:paraId="00000075">
            <w:pPr>
              <w:rPr>
                <w:rFonts w:ascii="Arial" w:cs="Arial" w:eastAsia="Arial" w:hAnsi="Arial"/>
                <w:sz w:val="22"/>
                <w:szCs w:val="22"/>
              </w:rPr>
            </w:pPr>
            <w:r w:rsidDel="00000000" w:rsidR="00000000" w:rsidRPr="00000000">
              <w:rPr>
                <w:rFonts w:ascii="Arial" w:cs="Arial" w:eastAsia="Arial" w:hAnsi="Arial"/>
                <w:sz w:val="22"/>
                <w:szCs w:val="22"/>
                <w:rtl w:val="0"/>
              </w:rPr>
              <w:t xml:space="preserve">Not proficient</w:t>
            </w:r>
          </w:p>
        </w:tc>
        <w:tc>
          <w:tcPr/>
          <w:p w:rsidR="00000000" w:rsidDel="00000000" w:rsidP="00000000" w:rsidRDefault="00000000" w:rsidRPr="00000000" w14:paraId="00000076">
            <w:pPr>
              <w:rPr>
                <w:rFonts w:ascii="Arial" w:cs="Arial" w:eastAsia="Arial" w:hAnsi="Arial"/>
                <w:sz w:val="22"/>
                <w:szCs w:val="22"/>
              </w:rPr>
            </w:pPr>
            <w:r w:rsidDel="00000000" w:rsidR="00000000" w:rsidRPr="00000000">
              <w:rPr>
                <w:rFonts w:ascii="Arial" w:cs="Arial" w:eastAsia="Arial" w:hAnsi="Arial"/>
                <w:sz w:val="22"/>
                <w:szCs w:val="22"/>
                <w:rtl w:val="0"/>
              </w:rPr>
              <w:t xml:space="preserve">135,932</w:t>
            </w:r>
          </w:p>
        </w:tc>
        <w:tc>
          <w:tcPr/>
          <w:p w:rsidR="00000000" w:rsidDel="00000000" w:rsidP="00000000" w:rsidRDefault="00000000" w:rsidRPr="00000000" w14:paraId="00000077">
            <w:pPr>
              <w:rPr>
                <w:rFonts w:ascii="Arial" w:cs="Arial" w:eastAsia="Arial" w:hAnsi="Arial"/>
                <w:sz w:val="22"/>
                <w:szCs w:val="22"/>
              </w:rPr>
            </w:pPr>
            <w:r w:rsidDel="00000000" w:rsidR="00000000" w:rsidRPr="00000000">
              <w:rPr>
                <w:rFonts w:ascii="Arial" w:cs="Arial" w:eastAsia="Arial" w:hAnsi="Arial"/>
                <w:sz w:val="22"/>
                <w:szCs w:val="22"/>
                <w:rtl w:val="0"/>
              </w:rPr>
              <w:t xml:space="preserve">47.9%</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Arial" w:cs="Arial" w:eastAsia="Arial" w:hAnsi="Arial"/>
          <w:sz w:val="22"/>
          <w:szCs w:val="22"/>
        </w:rPr>
      </w:pPr>
      <w:r>
        <w:t>For Phil-IRI, beginning-of-year data include both 2-level and 3-level reading categories. The end-of-year file does not contain the same fields, so the independent category is used as the closest available proxy for grade readiness in the comparison figures.</w:t>
      </w:r>
    </w:p>
    <w:p w:rsidR="00000000" w:rsidDel="00000000" w:rsidP="00000000" w:rsidRDefault="00000000" w:rsidRPr="00000000" w14:paraId="0000007A">
      <w:pPr>
        <w:rPr>
          <w:rFonts w:ascii="Arial" w:cs="Arial" w:eastAsia="Arial" w:hAnsi="Arial"/>
          <w:b w:val="1"/>
          <w:bCs w:val="1"/>
          <w:sz w:val="22"/>
          <w:szCs w:val="22"/>
        </w:rPr>
      </w:pPr>
      <w:r>
        <w:t>Figure 5 presents the mathematics proficiency distribution by grade and assessment round. Figure 6 presents the comparable reading pattern, using the available Phil-IRI categories and the endline proxy described above.</w:t>
      </w:r>
    </w:p>
    <w:p w:rsidR="00000000" w:rsidDel="00000000" w:rsidP="00000000" w:rsidRDefault="00000000" w:rsidRPr="00000000" w14:paraId="0000007B">
      <w:pPr>
        <w:rPr>
          <w:rFonts w:ascii="Arial" w:cs="Arial" w:eastAsia="Arial" w:hAnsi="Arial"/>
          <w:b w:val="1"/>
          <w:bCs w:val="1"/>
          <w:sz w:val="22"/>
          <w:szCs w:val="22"/>
        </w:rPr>
      </w:pPr>
      <w:r>
        <w:t>Table 4. Share of independent readers from BoSY to EoSY</w:t>
      </w:r>
    </w:p>
    <w:tbl>
      <w:tblPr>
        <w:tblStyle w:val="Table4"/>
        <w:tblW w:w="100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5"/>
        <w:gridCol w:w="2580"/>
        <w:gridCol w:w="3210"/>
        <w:tblGridChange w:id="0">
          <w:tblGrid>
            <w:gridCol w:w="4275"/>
            <w:gridCol w:w="2580"/>
            <w:gridCol w:w="3210"/>
          </w:tblGrid>
        </w:tblGridChange>
      </w:tblGrid>
      <w:tr>
        <w:trPr>
          <w:cantSplit w:val="0"/>
          <w:tblHeader w:val="0"/>
        </w:trPr>
        <w:tc>
          <w:tcPr/>
          <w:p w:rsidR="00000000" w:rsidDel="00000000" w:rsidP="00000000" w:rsidRDefault="00000000" w:rsidRPr="00000000" w14:paraId="0000007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Reading measure</w:t>
            </w:r>
            <w:r w:rsidDel="00000000" w:rsidR="00000000" w:rsidRPr="00000000">
              <w:rPr>
                <w:rtl w:val="0"/>
              </w:rPr>
            </w:r>
          </w:p>
        </w:tc>
        <w:tc>
          <w:tcPr/>
          <w:p w:rsidR="00000000" w:rsidDel="00000000" w:rsidP="00000000" w:rsidRDefault="00000000" w:rsidRPr="00000000" w14:paraId="0000007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Category used</w:t>
            </w:r>
            <w:r w:rsidDel="00000000" w:rsidR="00000000" w:rsidRPr="00000000">
              <w:rPr>
                <w:rtl w:val="0"/>
              </w:rPr>
            </w:r>
          </w:p>
        </w:tc>
        <w:tc>
          <w:tcPr/>
          <w:p w:rsidR="00000000" w:rsidDel="00000000" w:rsidP="00000000" w:rsidRDefault="00000000" w:rsidRPr="00000000" w14:paraId="0000007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Share of classified students</w:t>
            </w: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Arial" w:cs="Arial" w:eastAsia="Arial" w:hAnsi="Arial"/>
                <w:sz w:val="22"/>
                <w:szCs w:val="22"/>
              </w:rPr>
            </w:pPr>
            <w:r w:rsidDel="00000000" w:rsidR="00000000" w:rsidRPr="00000000">
              <w:rPr>
                <w:rFonts w:ascii="Arial" w:cs="Arial" w:eastAsia="Arial" w:hAnsi="Arial"/>
                <w:sz w:val="22"/>
                <w:szCs w:val="22"/>
                <w:rtl w:val="0"/>
              </w:rPr>
              <w:t xml:space="preserve">Beginning of School Year 2-Level</w:t>
            </w:r>
          </w:p>
        </w:tc>
        <w:tc>
          <w:tcPr/>
          <w:p w:rsidR="00000000" w:rsidDel="00000000" w:rsidP="00000000" w:rsidRDefault="00000000" w:rsidRPr="00000000" w14:paraId="00000080">
            <w:pPr>
              <w:rPr>
                <w:rFonts w:ascii="Arial" w:cs="Arial" w:eastAsia="Arial" w:hAnsi="Arial"/>
                <w:sz w:val="22"/>
                <w:szCs w:val="22"/>
              </w:rPr>
            </w:pPr>
            <w:r w:rsidDel="00000000" w:rsidR="00000000" w:rsidRPr="00000000">
              <w:rPr>
                <w:rFonts w:ascii="Arial" w:cs="Arial" w:eastAsia="Arial" w:hAnsi="Arial"/>
                <w:sz w:val="22"/>
                <w:szCs w:val="22"/>
                <w:rtl w:val="0"/>
              </w:rPr>
              <w:t xml:space="preserve">Independent</w:t>
            </w:r>
          </w:p>
        </w:tc>
        <w:tc>
          <w:tcPr/>
          <w:p w:rsidR="00000000" w:rsidDel="00000000" w:rsidP="00000000" w:rsidRDefault="00000000" w:rsidRPr="00000000" w14:paraId="00000081">
            <w:pPr>
              <w:rPr>
                <w:rFonts w:ascii="Arial" w:cs="Arial" w:eastAsia="Arial" w:hAnsi="Arial"/>
                <w:sz w:val="22"/>
                <w:szCs w:val="22"/>
              </w:rPr>
            </w:pPr>
            <w:r w:rsidDel="00000000" w:rsidR="00000000" w:rsidRPr="00000000">
              <w:rPr>
                <w:rFonts w:ascii="Arial" w:cs="Arial" w:eastAsia="Arial" w:hAnsi="Arial"/>
                <w:sz w:val="22"/>
                <w:szCs w:val="22"/>
                <w:rtl w:val="0"/>
              </w:rPr>
              <w:t xml:space="preserve">31.8%</w:t>
            </w:r>
          </w:p>
        </w:tc>
      </w:tr>
      <w:tr>
        <w:trPr>
          <w:cantSplit w:val="0"/>
          <w:tblHeader w:val="0"/>
        </w:trPr>
        <w:tc>
          <w:tcPr/>
          <w:p w:rsidR="00000000" w:rsidDel="00000000" w:rsidP="00000000" w:rsidRDefault="00000000" w:rsidRPr="00000000" w14:paraId="00000082">
            <w:pPr>
              <w:rPr>
                <w:rFonts w:ascii="Arial" w:cs="Arial" w:eastAsia="Arial" w:hAnsi="Arial"/>
                <w:sz w:val="22"/>
                <w:szCs w:val="22"/>
              </w:rPr>
            </w:pPr>
            <w:r w:rsidDel="00000000" w:rsidR="00000000" w:rsidRPr="00000000">
              <w:rPr>
                <w:rFonts w:ascii="Arial" w:cs="Arial" w:eastAsia="Arial" w:hAnsi="Arial"/>
                <w:sz w:val="22"/>
                <w:szCs w:val="22"/>
                <w:rtl w:val="0"/>
              </w:rPr>
              <w:t xml:space="preserve">Beginning of School Year 3-Level</w:t>
            </w:r>
          </w:p>
        </w:tc>
        <w:tc>
          <w:tcPr/>
          <w:p w:rsidR="00000000" w:rsidDel="00000000" w:rsidP="00000000" w:rsidRDefault="00000000" w:rsidRPr="00000000" w14:paraId="00000083">
            <w:pPr>
              <w:rPr>
                <w:rFonts w:ascii="Arial" w:cs="Arial" w:eastAsia="Arial" w:hAnsi="Arial"/>
                <w:sz w:val="22"/>
                <w:szCs w:val="22"/>
              </w:rPr>
            </w:pPr>
            <w:r w:rsidDel="00000000" w:rsidR="00000000" w:rsidRPr="00000000">
              <w:rPr>
                <w:rFonts w:ascii="Arial" w:cs="Arial" w:eastAsia="Arial" w:hAnsi="Arial"/>
                <w:sz w:val="22"/>
                <w:szCs w:val="22"/>
                <w:rtl w:val="0"/>
              </w:rPr>
              <w:t xml:space="preserve">Independent</w:t>
            </w:r>
          </w:p>
        </w:tc>
        <w:tc>
          <w:tcPr/>
          <w:p w:rsidR="00000000" w:rsidDel="00000000" w:rsidP="00000000" w:rsidRDefault="00000000" w:rsidRPr="00000000" w14:paraId="00000084">
            <w:pPr>
              <w:rPr>
                <w:rFonts w:ascii="Arial" w:cs="Arial" w:eastAsia="Arial" w:hAnsi="Arial"/>
                <w:sz w:val="22"/>
                <w:szCs w:val="22"/>
              </w:rPr>
            </w:pPr>
            <w:r w:rsidDel="00000000" w:rsidR="00000000" w:rsidRPr="00000000">
              <w:rPr>
                <w:rFonts w:ascii="Arial" w:cs="Arial" w:eastAsia="Arial" w:hAnsi="Arial"/>
                <w:sz w:val="22"/>
                <w:szCs w:val="22"/>
                <w:rtl w:val="0"/>
              </w:rPr>
              <w:t xml:space="preserve">25.5%</w:t>
            </w:r>
          </w:p>
        </w:tc>
      </w:tr>
      <w:tr>
        <w:trPr>
          <w:cantSplit w:val="0"/>
          <w:tblHeader w:val="0"/>
        </w:trPr>
        <w:tc>
          <w:tcPr/>
          <w:p w:rsidR="00000000" w:rsidDel="00000000" w:rsidP="00000000" w:rsidRDefault="00000000" w:rsidRPr="00000000" w14:paraId="00000085">
            <w:pPr>
              <w:rPr>
                <w:rFonts w:ascii="Arial" w:cs="Arial" w:eastAsia="Arial" w:hAnsi="Arial"/>
                <w:sz w:val="22"/>
                <w:szCs w:val="22"/>
              </w:rPr>
            </w:pPr>
            <w:r w:rsidDel="00000000" w:rsidR="00000000" w:rsidRPr="00000000">
              <w:rPr>
                <w:rFonts w:ascii="Arial" w:cs="Arial" w:eastAsia="Arial" w:hAnsi="Arial"/>
                <w:sz w:val="22"/>
                <w:szCs w:val="22"/>
                <w:rtl w:val="0"/>
              </w:rPr>
              <w:t xml:space="preserve">End of School Year Proxy</w:t>
            </w:r>
          </w:p>
        </w:tc>
        <w:tc>
          <w:tcPr/>
          <w:p w:rsidR="00000000" w:rsidDel="00000000" w:rsidP="00000000" w:rsidRDefault="00000000" w:rsidRPr="00000000" w14:paraId="00000086">
            <w:pPr>
              <w:rPr>
                <w:rFonts w:ascii="Arial" w:cs="Arial" w:eastAsia="Arial" w:hAnsi="Arial"/>
                <w:sz w:val="22"/>
                <w:szCs w:val="22"/>
              </w:rPr>
            </w:pPr>
            <w:r w:rsidDel="00000000" w:rsidR="00000000" w:rsidRPr="00000000">
              <w:rPr>
                <w:rFonts w:ascii="Arial" w:cs="Arial" w:eastAsia="Arial" w:hAnsi="Arial"/>
                <w:sz w:val="22"/>
                <w:szCs w:val="22"/>
                <w:rtl w:val="0"/>
              </w:rPr>
              <w:t xml:space="preserve">Independent</w:t>
            </w:r>
          </w:p>
        </w:tc>
        <w:tc>
          <w:tcPr/>
          <w:p w:rsidR="00000000" w:rsidDel="00000000" w:rsidP="00000000" w:rsidRDefault="00000000" w:rsidRPr="00000000" w14:paraId="00000087">
            <w:pPr>
              <w:rPr>
                <w:rFonts w:ascii="Arial" w:cs="Arial" w:eastAsia="Arial" w:hAnsi="Arial"/>
                <w:sz w:val="22"/>
                <w:szCs w:val="22"/>
              </w:rPr>
            </w:pPr>
            <w:r w:rsidDel="00000000" w:rsidR="00000000" w:rsidRPr="00000000">
              <w:rPr>
                <w:rFonts w:ascii="Arial" w:cs="Arial" w:eastAsia="Arial" w:hAnsi="Arial"/>
                <w:sz w:val="22"/>
                <w:szCs w:val="22"/>
                <w:rtl w:val="0"/>
              </w:rPr>
              <w:t xml:space="preserve">41.1%</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b w:val="0"/>
          <w:bCs w:val="0"/>
          <w:color w:val="000000"/>
          <w:sz w:val="21"/>
          <w:szCs w:val="21"/>
        </w:rPr>
      </w:pPr>
      <w:r w:rsidDel="00000000" w:rsidR="00000000" w:rsidRPr="00000000">
        <w:rPr>
          <w:rFonts w:ascii="Arial" w:cs="Arial" w:eastAsia="Arial" w:hAnsi="Arial"/>
          <w:color w:val="000000"/>
          <w:rtl w:val="0"/>
        </w:rPr>
        <w:t xml:space="preserve">Figure 5. </w:t>
      </w:r>
      <w:r w:rsidDel="00000000" w:rsidR="00000000" w:rsidRPr="00000000">
        <w:rPr>
          <w:rFonts w:ascii="Arial" w:cs="Arial" w:eastAsia="Arial" w:hAnsi="Arial"/>
          <w:color w:val="000000"/>
          <w:rtl w:val="0"/>
        </w:rPr>
        <w:t xml:space="preserve">Rapid Mathematics Assessment Proficiency by Grade Level</w:t>
      </w:r>
      <w:r w:rsidDel="00000000" w:rsidR="00000000" w:rsidRPr="00000000">
        <w:rPr>
          <w:rtl w:val="0"/>
        </w:rPr>
      </w:r>
    </w:p>
    <w:p w:rsidR="00000000" w:rsidDel="00000000" w:rsidP="00000000" w:rsidRDefault="00000000" w:rsidRPr="00000000" w14:paraId="0000008A">
      <w:pPr>
        <w:jc w:val="center"/>
        <w:rPr/>
      </w:pPr>
      <w:r w:rsidDel="00000000" w:rsidR="00000000" w:rsidRPr="00000000">
        <w:rPr/>
        <w:drawing>
          <wp:inline distB="0" distT="0" distL="114300" distR="114300">
            <wp:extent cx="5386388" cy="2984096"/>
            <wp:effectExtent b="0" l="0" r="0" t="0"/>
            <wp:docPr id="4" name="image5.png"/>
            <a:graphic>
              <a:graphicData uri="http://schemas.openxmlformats.org/drawingml/2006/picture">
                <pic:pic>
                  <pic:nvPicPr>
                    <pic:cNvPr id="0" name="image5.png"/>
                    <pic:cNvPicPr preferRelativeResize="0"/>
                  </pic:nvPicPr>
                  <pic:blipFill>
                    <a:blip r:embed="rId12"/>
                    <a:srcRect b="0" l="0" r="4051" t="19651"/>
                    <a:stretch>
                      <a:fillRect/>
                    </a:stretch>
                  </pic:blipFill>
                  <pic:spPr>
                    <a:xfrm>
                      <a:off x="0" y="0"/>
                      <a:ext cx="5386388" cy="298409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rFonts w:ascii="Arial" w:cs="Arial" w:eastAsia="Arial" w:hAnsi="Arial"/>
          <w:color w:val="000000"/>
          <w:rtl w:val="0"/>
        </w:rPr>
        <w:t xml:space="preserve">Figure 6. </w:t>
      </w:r>
      <w:r w:rsidDel="00000000" w:rsidR="00000000" w:rsidRPr="00000000">
        <w:rPr>
          <w:rFonts w:ascii="Arial" w:cs="Arial" w:eastAsia="Arial" w:hAnsi="Arial"/>
          <w:color w:val="000000"/>
          <w:rtl w:val="0"/>
        </w:rPr>
        <w:t xml:space="preserve">Philippine Informal Reading Inventory BoSY 3-Levels and EoSY Proxy by Grade Level </w:t>
      </w:r>
      <w:r w:rsidDel="00000000" w:rsidR="00000000" w:rsidRPr="00000000">
        <w:rPr>
          <w:rtl w:val="0"/>
        </w:rPr>
      </w:r>
    </w:p>
    <w:p w:rsidR="00000000" w:rsidDel="00000000" w:rsidP="00000000" w:rsidRDefault="00000000" w:rsidRPr="00000000" w14:paraId="0000008C">
      <w:pPr>
        <w:jc w:val="center"/>
        <w:rPr/>
      </w:pPr>
      <w:r w:rsidDel="00000000" w:rsidR="00000000" w:rsidRPr="00000000">
        <w:rPr/>
        <w:drawing>
          <wp:inline distB="114300" distT="114300" distL="114300" distR="114300">
            <wp:extent cx="4772025" cy="2697636"/>
            <wp:effectExtent b="0" l="0" r="0" t="0"/>
            <wp:docPr id="6" name="image7.png"/>
            <a:graphic>
              <a:graphicData uri="http://schemas.openxmlformats.org/drawingml/2006/picture">
                <pic:pic>
                  <pic:nvPicPr>
                    <pic:cNvPr id="0" name="image7.png"/>
                    <pic:cNvPicPr preferRelativeResize="0"/>
                  </pic:nvPicPr>
                  <pic:blipFill>
                    <a:blip r:embed="rId13"/>
                    <a:srcRect b="0" l="0" r="0" t="14175"/>
                    <a:stretch>
                      <a:fillRect/>
                    </a:stretch>
                  </pic:blipFill>
                  <pic:spPr>
                    <a:xfrm>
                      <a:off x="0" y="0"/>
                      <a:ext cx="4772025" cy="269763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pStyle w:val="Heading1"/>
        <w:rPr/>
      </w:pPr>
      <w:r>
        <w:t>Subgroup Patterns (Treatment Schools)</w:t>
      </w:r>
    </w:p>
    <w:p w:rsidR="00000000" w:rsidDel="00000000" w:rsidP="00000000" w:rsidRDefault="00000000" w:rsidRPr="00000000" w14:paraId="0000008F">
      <w:pPr>
        <w:rPr>
          <w:rFonts w:ascii="Arial" w:cs="Arial" w:eastAsia="Arial" w:hAnsi="Arial"/>
          <w:sz w:val="22"/>
          <w:szCs w:val="22"/>
        </w:rPr>
      </w:pPr>
      <w:r>
        <w:t>For treatment schools, the brief also summarizes changes in mathematics and reading distributions between the beginning and end of the school year.</w:t>
      </w:r>
    </w:p>
    <w:p w:rsidR="00000000" w:rsidDel="00000000" w:rsidP="00000000" w:rsidRDefault="00000000" w:rsidRPr="00000000" w14:paraId="00000090">
      <w:pPr>
        <w:rPr>
          <w:rFonts w:ascii="Arial" w:cs="Arial" w:eastAsia="Arial" w:hAnsi="Arial"/>
          <w:sz w:val="22"/>
          <w:szCs w:val="22"/>
        </w:rPr>
      </w:pPr>
      <w:r>
        <w:t>In mathematics, Figure 7 shows a lower share of assessed students classified as not proficient at endline among treatment schools.</w:t>
      </w:r>
    </w:p>
    <w:p w:rsidR="00000000" w:rsidDel="00000000" w:rsidP="00000000" w:rsidRDefault="00000000" w:rsidRPr="00000000" w14:paraId="00000091">
      <w:pPr>
        <w:pStyle w:val="Heading2"/>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Figure 7. Rapid Math Assessment Shares in BoSY and EoSY by Treatment</w:t>
      </w:r>
    </w:p>
    <w:p w:rsidR="00000000" w:rsidDel="00000000" w:rsidP="00000000" w:rsidRDefault="00000000" w:rsidRPr="00000000" w14:paraId="00000092">
      <w:pPr>
        <w:pStyle w:val="Heading2"/>
        <w:jc w:val="center"/>
        <w:rPr>
          <w:rFonts w:ascii="Arial" w:cs="Arial" w:eastAsia="Arial" w:hAnsi="Arial"/>
          <w:sz w:val="22"/>
          <w:szCs w:val="22"/>
        </w:rPr>
      </w:pPr>
      <w:r w:rsidDel="00000000" w:rsidR="00000000" w:rsidRPr="00000000">
        <w:rPr/>
        <w:drawing>
          <wp:inline distB="114300" distT="114300" distL="114300" distR="114300">
            <wp:extent cx="5012018" cy="2739544"/>
            <wp:effectExtent b="0" l="0" r="0" t="0"/>
            <wp:docPr id="5" name="image3.png"/>
            <a:graphic>
              <a:graphicData uri="http://schemas.openxmlformats.org/drawingml/2006/picture">
                <pic:pic>
                  <pic:nvPicPr>
                    <pic:cNvPr id="0" name="image3.png"/>
                    <pic:cNvPicPr preferRelativeResize="0"/>
                  </pic:nvPicPr>
                  <pic:blipFill>
                    <a:blip r:embed="rId14"/>
                    <a:srcRect b="-256" l="0" r="0" t="15920"/>
                    <a:stretch>
                      <a:fillRect/>
                    </a:stretch>
                  </pic:blipFill>
                  <pic:spPr>
                    <a:xfrm>
                      <a:off x="0" y="0"/>
                      <a:ext cx="5012018" cy="273954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Arial" w:cs="Arial" w:eastAsia="Arial" w:hAnsi="Arial"/>
          <w:i w:val="1"/>
          <w:iCs w:val="1"/>
          <w:sz w:val="22"/>
          <w:szCs w:val="22"/>
        </w:rPr>
      </w:pPr>
      <w:r>
        <w:t>Note: Figures report the percent share of assessed students.</w:t>
      </w:r>
    </w:p>
    <w:p w:rsidR="00000000" w:rsidDel="00000000" w:rsidP="00000000" w:rsidRDefault="00000000" w:rsidRPr="00000000" w14:paraId="00000094">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95">
      <w:pPr>
        <w:rPr>
          <w:rFonts w:ascii="Arial" w:cs="Arial" w:eastAsia="Arial" w:hAnsi="Arial"/>
          <w:i w:val="1"/>
          <w:iCs w:val="1"/>
          <w:sz w:val="22"/>
          <w:szCs w:val="22"/>
        </w:rPr>
      </w:pPr>
      <w:r>
        <w:t>For Phil-IRI, Figure 8 compares the available beginning-of-year independent reading categories with the endline independent-reader proxy. The pattern suggests a higher share of assessed students reading at or near grade-ready levels by the end of the school year among treatment schools.</w:t>
      </w:r>
    </w:p>
    <w:p w:rsidR="00000000" w:rsidDel="00000000" w:rsidP="00000000" w:rsidRDefault="00000000" w:rsidRPr="00000000" w14:paraId="00000096">
      <w:pPr>
        <w:pStyle w:val="Heading3"/>
        <w:rPr/>
      </w:pPr>
      <w:r w:rsidDel="00000000" w:rsidR="00000000" w:rsidRPr="00000000">
        <w:rPr>
          <w:rFonts w:ascii="Arial" w:cs="Arial" w:eastAsia="Arial" w:hAnsi="Arial"/>
          <w:color w:val="000000"/>
          <w:rtl w:val="0"/>
        </w:rPr>
        <w:t xml:space="preserve">Figure 8. </w:t>
      </w:r>
      <w:r w:rsidDel="00000000" w:rsidR="00000000" w:rsidRPr="00000000">
        <w:rPr>
          <w:rFonts w:ascii="Arial" w:cs="Arial" w:eastAsia="Arial" w:hAnsi="Arial"/>
          <w:color w:val="000000"/>
          <w:rtl w:val="0"/>
        </w:rPr>
        <w:t xml:space="preserve">Phil-IRI Grade Ready (Independent) Share</w:t>
      </w:r>
      <w:r w:rsidDel="00000000" w:rsidR="00000000" w:rsidRPr="00000000">
        <w:rPr>
          <w:rtl w:val="0"/>
        </w:rPr>
      </w:r>
    </w:p>
    <w:p w:rsidR="00000000" w:rsidDel="00000000" w:rsidP="00000000" w:rsidRDefault="00000000" w:rsidRPr="00000000" w14:paraId="00000097">
      <w:pPr>
        <w:jc w:val="center"/>
        <w:rPr>
          <w:rFonts w:ascii="Arial" w:cs="Arial" w:eastAsia="Arial" w:hAnsi="Arial"/>
          <w:sz w:val="22"/>
          <w:szCs w:val="22"/>
        </w:rPr>
      </w:pPr>
      <w:r w:rsidDel="00000000" w:rsidR="00000000" w:rsidRPr="00000000">
        <w:rPr/>
        <w:drawing>
          <wp:inline distB="114300" distT="114300" distL="114300" distR="114300">
            <wp:extent cx="5472202" cy="2976955"/>
            <wp:effectExtent b="0" l="0" r="0" t="0"/>
            <wp:docPr id="8" name="image2.png"/>
            <a:graphic>
              <a:graphicData uri="http://schemas.openxmlformats.org/drawingml/2006/picture">
                <pic:pic>
                  <pic:nvPicPr>
                    <pic:cNvPr id="0" name="image2.png"/>
                    <pic:cNvPicPr preferRelativeResize="0"/>
                  </pic:nvPicPr>
                  <pic:blipFill>
                    <a:blip r:embed="rId15"/>
                    <a:srcRect b="0" l="0" r="0" t="16044"/>
                    <a:stretch>
                      <a:fillRect/>
                    </a:stretch>
                  </pic:blipFill>
                  <pic:spPr>
                    <a:xfrm>
                      <a:off x="0" y="0"/>
                      <a:ext cx="5472202" cy="297695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Arial" w:cs="Arial" w:eastAsia="Arial" w:hAnsi="Arial"/>
          <w:i w:val="1"/>
          <w:iCs w:val="1"/>
          <w:sz w:val="22"/>
          <w:szCs w:val="22"/>
        </w:rPr>
      </w:pPr>
      <w:r>
        <w:t>Note: Figures report the percent share of assessed students.</w:t>
      </w:r>
    </w:p>
    <w:p w:rsidR="00000000" w:rsidDel="00000000" w:rsidP="00000000" w:rsidRDefault="00000000" w:rsidRPr="00000000" w14:paraId="00000099">
      <w:pPr>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9A">
      <w:pPr>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9B">
      <w:pPr>
        <w:rPr>
          <w:rFonts w:ascii="Arial" w:cs="Arial" w:eastAsia="Arial" w:hAnsi="Arial"/>
          <w:b w:val="1"/>
          <w:bCs w:val="1"/>
          <w:sz w:val="22"/>
          <w:szCs w:val="22"/>
        </w:rPr>
      </w:pPr>
      <w:r>
        <w:t>Preliminary Findings, Data Constraints, and Rollout Considerations</w:t>
      </w:r>
    </w:p>
    <w:p w:rsidR="00000000" w:rsidDel="00000000" w:rsidP="00000000" w:rsidRDefault="00000000" w:rsidRPr="00000000" w14:paraId="0000009C">
      <w:pPr>
        <w:spacing w:after="240" w:before="240" w:lineRule="auto"/>
        <w:rPr>
          <w:rFonts w:ascii="Arial" w:cs="Arial" w:eastAsia="Arial" w:hAnsi="Arial"/>
          <w:b w:val="1"/>
          <w:bCs w:val="1"/>
          <w:sz w:val="22"/>
          <w:szCs w:val="22"/>
        </w:rPr>
      </w:pPr>
      <w:r>
        <w:t>Data Constraints</w:t>
      </w:r>
    </w:p>
    <w:p w:rsidR="00000000" w:rsidDel="00000000" w:rsidP="00000000" w:rsidRDefault="00000000" w:rsidRPr="00000000" w14:paraId="0000009D">
      <w:pPr>
        <w:numPr>
          <w:ilvl w:val="0"/>
          <w:numId w:val="3"/>
        </w:numPr>
        <w:spacing w:after="0" w:afterAutospacing="0" w:before="240" w:lineRule="auto"/>
        <w:ind w:left="720" w:hanging="360"/>
        <w:rPr>
          <w:rFonts w:ascii="Arial" w:cs="Arial" w:eastAsia="Arial" w:hAnsi="Arial"/>
          <w:sz w:val="22"/>
          <w:szCs w:val="22"/>
        </w:rPr>
      </w:pPr>
      <w:r>
        <w:t>The analysis is limited to the DepEd datasets available at the time of reporting: reading and mathematics assessment files and program monitoring data.</w:t>
      </w:r>
    </w:p>
    <w:p w:rsidR="00000000" w:rsidDel="00000000" w:rsidP="00000000" w:rsidRDefault="00000000" w:rsidRPr="00000000" w14:paraId="0000009E">
      <w:pPr>
        <w:numPr>
          <w:ilvl w:val="0"/>
          <w:numId w:val="3"/>
        </w:numPr>
        <w:spacing w:after="0" w:afterAutospacing="0" w:before="0" w:beforeAutospacing="0" w:lineRule="auto"/>
        <w:ind w:left="720" w:hanging="360"/>
        <w:rPr>
          <w:rFonts w:ascii="Arial" w:cs="Arial" w:eastAsia="Arial" w:hAnsi="Arial"/>
          <w:sz w:val="22"/>
          <w:szCs w:val="22"/>
        </w:rPr>
      </w:pPr>
      <w:r>
        <w:t>Implementation is measured as a binary indicator in the monitoring data. The file does not identify the DLP model implemented by each school, so model-specific compliance cannot be assessed.</w:t>
      </w:r>
    </w:p>
    <w:p w:rsidR="00000000" w:rsidDel="00000000" w:rsidP="00000000" w:rsidRDefault="00000000" w:rsidRPr="00000000" w14:paraId="0000009F">
      <w:pPr>
        <w:numPr>
          <w:ilvl w:val="0"/>
          <w:numId w:val="3"/>
        </w:numPr>
        <w:spacing w:after="240" w:before="0" w:beforeAutospacing="0" w:lineRule="auto"/>
        <w:ind w:left="720" w:hanging="360"/>
        <w:rPr>
          <w:rFonts w:ascii="Arial" w:cs="Arial" w:eastAsia="Arial" w:hAnsi="Arial"/>
          <w:sz w:val="22"/>
          <w:szCs w:val="22"/>
        </w:rPr>
      </w:pPr>
      <w:r>
        <w:t>The monitoring data also do not capture implementation timing, dosage, fidelity, or classroom-level adherence to the model.</w:t>
      </w:r>
    </w:p>
    <w:p w:rsidR="00000000" w:rsidDel="00000000" w:rsidP="00000000" w:rsidRDefault="00000000" w:rsidRPr="00000000" w14:paraId="000000A0">
      <w:pPr>
        <w:spacing w:after="240" w:before="240" w:lineRule="auto"/>
        <w:rPr>
          <w:rFonts w:ascii="Arial" w:cs="Arial" w:eastAsia="Arial" w:hAnsi="Arial"/>
          <w:b w:val="1"/>
          <w:bCs w:val="1"/>
          <w:sz w:val="22"/>
          <w:szCs w:val="22"/>
        </w:rPr>
      </w:pPr>
      <w:r>
        <w:t>Interpretation of Descriptive Patterns</w:t>
      </w:r>
    </w:p>
    <w:p w:rsidR="00000000" w:rsidDel="00000000" w:rsidP="00000000" w:rsidRDefault="00000000" w:rsidRPr="00000000" w14:paraId="000000A1">
      <w:pPr>
        <w:numPr>
          <w:ilvl w:val="0"/>
          <w:numId w:val="2"/>
        </w:numPr>
        <w:spacing w:after="0" w:afterAutospacing="0" w:before="240" w:lineRule="auto"/>
        <w:ind w:left="720" w:hanging="360"/>
        <w:rPr>
          <w:rFonts w:ascii="Arial" w:cs="Arial" w:eastAsia="Arial" w:hAnsi="Arial"/>
          <w:sz w:val="22"/>
          <w:szCs w:val="22"/>
        </w:rPr>
      </w:pPr>
      <w:r>
        <w:t>The figures are descriptive. They characterize the available data and should not be interpreted as causal estimates of DLP effects.</w:t>
      </w:r>
    </w:p>
    <w:p w:rsidR="00000000" w:rsidDel="00000000" w:rsidP="00000000" w:rsidRDefault="00000000" w:rsidRPr="00000000" w14:paraId="000000A2">
      <w:pPr>
        <w:numPr>
          <w:ilvl w:val="0"/>
          <w:numId w:val="2"/>
        </w:numPr>
        <w:spacing w:after="0" w:afterAutospacing="0" w:before="0" w:beforeAutospacing="0" w:lineRule="auto"/>
        <w:ind w:left="720" w:hanging="360"/>
        <w:rPr>
          <w:rFonts w:ascii="Arial" w:cs="Arial" w:eastAsia="Arial" w:hAnsi="Arial"/>
          <w:sz w:val="22"/>
          <w:szCs w:val="22"/>
        </w:rPr>
      </w:pPr>
      <w:r>
        <w:t>Treatment-control comparisons are not presented for performance outcomes at this stage, given the limited implementation captured in the monitoring file and the risk of misinterpreting simple differences as program impacts.</w:t>
      </w:r>
    </w:p>
    <w:p w:rsidR="00000000" w:rsidDel="00000000" w:rsidP="00000000" w:rsidRDefault="00000000" w:rsidRPr="00000000" w14:paraId="000000A3">
      <w:pPr>
        <w:numPr>
          <w:ilvl w:val="0"/>
          <w:numId w:val="2"/>
        </w:numPr>
        <w:spacing w:after="240" w:before="0" w:beforeAutospacing="0" w:lineRule="auto"/>
        <w:ind w:left="720" w:hanging="360"/>
        <w:rPr>
          <w:rFonts w:ascii="Arial" w:cs="Arial" w:eastAsia="Arial" w:hAnsi="Arial"/>
          <w:sz w:val="22"/>
          <w:szCs w:val="22"/>
        </w:rPr>
      </w:pPr>
      <w:r>
        <w:t>Further analysis should be undertaken with the principal investigators once the monitoring data can better distinguish assignment, implementation, timing, and model fidelity.</w:t>
      </w:r>
    </w:p>
    <w:p w:rsidR="00000000" w:rsidDel="00000000" w:rsidP="00000000" w:rsidRDefault="00000000" w:rsidRPr="00000000" w14:paraId="000000A4">
      <w:pPr>
        <w:spacing w:after="240" w:before="240" w:lineRule="auto"/>
        <w:rPr>
          <w:rFonts w:ascii="Arial" w:cs="Arial" w:eastAsia="Arial" w:hAnsi="Arial"/>
          <w:b w:val="1"/>
          <w:bCs w:val="1"/>
          <w:sz w:val="22"/>
          <w:szCs w:val="22"/>
        </w:rPr>
      </w:pPr>
      <w:r>
        <w:t>Considerations for National Rollout</w:t>
      </w:r>
    </w:p>
    <w:p w:rsidR="00000000" w:rsidDel="00000000" w:rsidP="00000000" w:rsidRDefault="00000000" w:rsidRPr="00000000" w14:paraId="000000A5">
      <w:pPr>
        <w:numPr>
          <w:ilvl w:val="0"/>
          <w:numId w:val="1"/>
        </w:numPr>
        <w:spacing w:after="0" w:afterAutospacing="0" w:before="240" w:lineRule="auto"/>
        <w:ind w:left="720" w:hanging="360"/>
        <w:rPr>
          <w:rFonts w:ascii="Arial" w:cs="Arial" w:eastAsia="Arial" w:hAnsi="Arial"/>
          <w:sz w:val="22"/>
          <w:szCs w:val="22"/>
        </w:rPr>
      </w:pPr>
      <w:r>
        <w:t>Strengthen coordination across governance levels. Regular central office and field-level check-ins would help identify implementation bottlenecks early and give the research team clearer information on emerging risks.</w:t>
      </w:r>
    </w:p>
    <w:p w:rsidR="00000000" w:rsidDel="00000000" w:rsidP="00000000" w:rsidRDefault="00000000" w:rsidRPr="00000000" w14:paraId="000000A6">
      <w:pPr>
        <w:numPr>
          <w:ilvl w:val="0"/>
          <w:numId w:val="1"/>
        </w:numPr>
        <w:spacing w:after="0" w:afterAutospacing="0" w:before="0" w:beforeAutospacing="0" w:lineRule="auto"/>
        <w:ind w:left="720" w:hanging="360"/>
        <w:rPr>
          <w:rFonts w:ascii="Arial" w:cs="Arial" w:eastAsia="Arial" w:hAnsi="Arial"/>
          <w:sz w:val="22"/>
          <w:szCs w:val="22"/>
        </w:rPr>
      </w:pPr>
      <w:r>
        <w:t>Account for procurement and materials timelines. Program materials should be available before rollout, including modules that can be printed or distributed throughout the school year.</w:t>
      </w:r>
    </w:p>
    <w:p w:rsidR="00000000" w:rsidDel="00000000" w:rsidP="00000000" w:rsidRDefault="00000000" w:rsidRPr="00000000" w14:paraId="000000A7">
      <w:pPr>
        <w:numPr>
          <w:ilvl w:val="0"/>
          <w:numId w:val="1"/>
        </w:numPr>
        <w:spacing w:after="240" w:before="0" w:beforeAutospacing="0" w:lineRule="auto"/>
        <w:ind w:left="720" w:hanging="360"/>
        <w:rPr>
          <w:rFonts w:ascii="Arial" w:cs="Arial" w:eastAsia="Arial" w:hAnsi="Arial"/>
          <w:sz w:val="22"/>
          <w:szCs w:val="22"/>
        </w:rPr>
      </w:pPr>
      <w:r>
        <w:t>Improve monitoring tools for implementation fidelity. Monitoring systems should capture the DLP model used, timing of implementation, and basic fidelity indicators. Real-time monitoring would make the descriptive evidence more useful for program management.</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rev_status</w:t>
      </w:r>
      <w:r w:rsidDel="00000000" w:rsidR="00000000" w:rsidRPr="00000000">
        <w:rPr>
          <w:sz w:val="20"/>
          <w:szCs w:val="20"/>
          <w:rtl w:val="0"/>
        </w:rPr>
        <w:t xml:space="preserve"> refers to the tagging whether the school implemented a DLP model or not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b w:val="1"/>
      <w:bCs w:val="1"/>
      <w:color w:val="2e5e9e"/>
      <w:sz w:val="32"/>
      <w:szCs w:val="32"/>
    </w:rPr>
  </w:style>
  <w:style w:type="paragraph" w:styleId="Heading2">
    <w:name w:val="heading 2"/>
    <w:basedOn w:val="Normal"/>
    <w:next w:val="Normal"/>
    <w:pPr>
      <w:keepNext w:val="1"/>
      <w:keepLines w:val="1"/>
      <w:spacing w:after="100" w:before="200" w:lineRule="auto"/>
    </w:pPr>
    <w:rPr>
      <w:b w:val="1"/>
      <w:bCs w:val="1"/>
      <w:color w:val="2e5e9e"/>
      <w:sz w:val="26"/>
      <w:szCs w:val="26"/>
    </w:rPr>
  </w:style>
  <w:style w:type="paragraph" w:styleId="Heading3">
    <w:name w:val="heading 3"/>
    <w:basedOn w:val="Normal"/>
    <w:next w:val="Normal"/>
    <w:pPr>
      <w:keepNext w:val="1"/>
      <w:keepLines w:val="1"/>
      <w:spacing w:after="100" w:before="200" w:lineRule="auto"/>
    </w:pPr>
    <w:rPr>
      <w:b w:val="1"/>
      <w:bCs w:val="1"/>
      <w:color w:val="1f4d7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7/xZi6solM1Wktrdt6FcLaNvdg==">CgMxLjA4AGopChRzdWdnZXN0LnB0c3JubmtwMDdkaBIRUmVuZSBNYXJsb24gUGFudGlqKQoUc3VnZ2VzdC4zNWk3dmtuOWlpMjUSEVJlbmUgTWFybG9uIFBhbnRpaikKFHN1Z2dlc3QueHJ4enA4djh4eWd2EhFSZW5lIE1hcmxvbiBQYW50aWopChRzdWdnZXN0LjY1dDd5ZWFvcmx6cBIRUmVuZSBNYXJsb24gUGFudGlqKQoUc3VnZ2VzdC45ZmJneXh2azBqYTUSEVJlbmUgTWFybG9uIFBhbnRpaikKFHN1Z2dlc3Qub3A0bWw4OGMzbjZhEhFSZW5lIE1hcmxvbiBQYW50aXINMjI4ODY1ODQzMzQx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