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F3355"/>
          <w:sz w:val="40"/>
        </w:rPr>
        <w:t>기술협상 회의록</w:t>
      </w:r>
    </w:p>
    <w:p>
      <w:pPr>
        <w:jc w:val="center"/>
      </w:pPr>
      <w:r>
        <w:rPr>
          <w:rFonts w:ascii="맑은 고딕" w:hAnsi="맑은 고딕" w:eastAsia="맑은 고딕"/>
          <w:b/>
          <w:color w:val="2E5C8A"/>
          <w:sz w:val="24"/>
        </w:rPr>
        <w:t>2026년도 STEP 학습 로드맵(SLR) 및 신규 과목 도출 연구</w:t>
      </w:r>
    </w:p>
    <w:p>
      <w:pPr>
        <w:pBdr>
          <w:bottom w:val="single" w:sz="18" w:space="1" w:color="1F3355"/>
        </w:pBdr>
      </w:pPr>
    </w:p>
    <w:p>
      <w:pPr>
        <w:spacing w:before="280" w:after="80"/>
      </w:pPr>
      <w:r>
        <w:rPr>
          <w:rFonts w:ascii="맑은 고딕" w:hAnsi="맑은 고딕" w:eastAsia="맑은 고딕"/>
          <w:b/>
          <w:color w:val="FFFFFF"/>
          <w:sz w:val="22"/>
          <w:shd w:val="clear" w:color="auto" w:fill="1F3355"/>
        </w:rPr>
        <w:t xml:space="preserve"> ◆ </w:t>
      </w:r>
      <w:r>
        <w:rPr>
          <w:rFonts w:ascii="맑은 고딕" w:hAnsi="맑은 고딕" w:eastAsia="맑은 고딕"/>
          <w:b/>
          <w:color w:val="1F3355"/>
          <w:sz w:val="26"/>
        </w:rPr>
        <w:t xml:space="preserve">  회의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7370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color w:val="1F3355"/>
                <w:sz w:val="19"/>
              </w:rPr>
              <w:t>사업명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2026년도 STEP 학습 로드맵(SLR) 및 신규 과목 도출 연구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rFonts w:ascii="맑은 고딕" w:hAnsi="맑은 고딕" w:eastAsia="맑은 고딕"/>
                <w:b/>
                <w:color w:val="1F3355"/>
                <w:sz w:val="19"/>
              </w:rPr>
              <w:t>입찰공고번호</w:t>
            </w:r>
          </w:p>
        </w:tc>
        <w:tc>
          <w:tcPr>
            <w:tcW w:type="dxa" w:w="7370"/>
            <w:shd w:val="clear" w:color="auto" w:fill="F2F6FB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R26BK01517303-000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color w:val="1F3355"/>
                <w:sz w:val="19"/>
              </w:rPr>
              <w:t>수요기관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한국기술교육대학교 (STEP 온라인평생교육원)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rFonts w:ascii="맑은 고딕" w:hAnsi="맑은 고딕" w:eastAsia="맑은 고딕"/>
                <w:b/>
                <w:color w:val="1F3355"/>
                <w:sz w:val="19"/>
              </w:rPr>
              <w:t>수행사</w:t>
            </w:r>
          </w:p>
        </w:tc>
        <w:tc>
          <w:tcPr>
            <w:tcW w:type="dxa" w:w="7370"/>
            <w:shd w:val="clear" w:color="auto" w:fill="F2F6FB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시앤피컨설팅(주) (대표 조세형)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color w:val="1F3355"/>
                <w:sz w:val="19"/>
              </w:rPr>
              <w:t>계약금액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145,000,000원  (예정가격·입찰금액 동일, 가감조정 0원)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rFonts w:ascii="맑은 고딕" w:hAnsi="맑은 고딕" w:eastAsia="맑은 고딕"/>
                <w:b/>
                <w:color w:val="1F3355"/>
                <w:sz w:val="19"/>
              </w:rPr>
              <w:t>협상일시</w:t>
            </w:r>
          </w:p>
        </w:tc>
        <w:tc>
          <w:tcPr>
            <w:tcW w:type="dxa" w:w="7370"/>
            <w:shd w:val="clear" w:color="auto" w:fill="F2F6FB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2026. 06. 17.(화)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color w:val="1F3355"/>
                <w:sz w:val="19"/>
              </w:rPr>
              <w:t>협상결과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성립 — 협상결과를 계약의 일부로 함에 동의</w:t>
            </w:r>
          </w:p>
        </w:tc>
      </w:tr>
      <w:tr>
        <w:tc>
          <w:tcPr>
            <w:tcW w:type="dxa" w:w="1928"/>
            <w:shd w:val="clear" w:color="auto" w:fill="F2F6FB"/>
          </w:tcPr>
          <w:p>
            <w:r/>
            <w:r>
              <w:rPr>
                <w:rFonts w:ascii="맑은 고딕" w:hAnsi="맑은 고딕" w:eastAsia="맑은 고딕"/>
                <w:b/>
                <w:color w:val="1F3355"/>
                <w:sz w:val="19"/>
              </w:rPr>
              <w:t>착수보고회(예정)</w:t>
            </w:r>
          </w:p>
        </w:tc>
        <w:tc>
          <w:tcPr>
            <w:tcW w:type="dxa" w:w="7370"/>
            <w:shd w:val="clear" w:color="auto" w:fill="F2F6FB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2026. 07. 08.(수)  ·  원장·센터장·각 팀장 등 보직자 약 10명 참석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color w:val="1F3355"/>
                <w:sz w:val="19"/>
              </w:rPr>
              <w:t>참석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(발주처) STEP 사업담당 파트장 외 / (수행사) 시앤피컨설팅 연구진</w:t>
            </w:r>
          </w:p>
        </w:tc>
      </w:tr>
    </w:tbl>
    <w:p>
      <w:pPr>
        <w:spacing w:after="40"/>
        <w:ind w:left="227"/>
      </w:pPr>
      <w:r>
        <w:rPr>
          <w:rFonts w:ascii="맑은 고딕" w:hAnsi="맑은 고딕" w:eastAsia="맑은 고딕"/>
          <w:b/>
          <w:color w:val="2E5C8A"/>
          <w:sz w:val="17"/>
        </w:rPr>
        <w:t xml:space="preserve">※ </w:t>
      </w:r>
      <w:r>
        <w:rPr>
          <w:rFonts w:ascii="맑은 고딕" w:hAnsi="맑은 고딕" w:eastAsia="맑은 고딕"/>
          <w:b w:val="0"/>
          <w:color w:val="555555"/>
          <w:sz w:val="17"/>
        </w:rPr>
        <w:t>본 회의록은 기술협상 녹취록과 「제안서 협상 결과 통보서(성립)」를 근거로 작성함. 음성 기록상 일부 기관·용어 표기는 문맥에 따라 정정함(온평원=온라인평생교육원, 직능연=한국직업능력연구원).</w:t>
      </w:r>
    </w:p>
    <w:p>
      <w:pPr>
        <w:spacing w:after="40"/>
      </w:pPr>
    </w:p>
    <w:p>
      <w:pPr>
        <w:spacing w:before="280" w:after="80"/>
      </w:pPr>
      <w:r>
        <w:rPr>
          <w:rFonts w:ascii="맑은 고딕" w:hAnsi="맑은 고딕" w:eastAsia="맑은 고딕"/>
          <w:b/>
          <w:color w:val="FFFFFF"/>
          <w:sz w:val="22"/>
          <w:shd w:val="clear" w:color="auto" w:fill="1F3355"/>
        </w:rPr>
        <w:t xml:space="preserve"> 1 </w:t>
      </w:r>
      <w:r>
        <w:rPr>
          <w:rFonts w:ascii="맑은 고딕" w:hAnsi="맑은 고딕" w:eastAsia="맑은 고딕"/>
          <w:b/>
          <w:color w:val="1F3355"/>
          <w:sz w:val="26"/>
        </w:rPr>
        <w:t xml:space="preserve">  회의 개요 및 발주처 협의 방향</w:t>
      </w:r>
    </w:p>
    <w:p>
      <w:pPr>
        <w:spacing w:after="40"/>
        <w:ind w:left="227"/>
      </w:pPr>
      <w:r>
        <w:rPr>
          <w:rFonts w:ascii="맑은 고딕" w:hAnsi="맑은 고딕" w:eastAsia="맑은 고딕"/>
          <w:b/>
          <w:color w:val="2E5C8A"/>
          <w:sz w:val="20"/>
        </w:rPr>
        <w:t xml:space="preserve">· </w:t>
      </w:r>
      <w:r>
        <w:rPr>
          <w:rFonts w:ascii="맑은 고딕" w:hAnsi="맑은 고딕" w:eastAsia="맑은 고딕"/>
          <w:b w:val="0"/>
          <w:sz w:val="20"/>
        </w:rPr>
        <w:t>본 로드맵 사업은 시앤피컨설팅이 과거부터 수행해 온 사업이나, 양측 담당 인력이 모두 교체되어 사업 연속성 확보가 필요한 상황.</w:t>
      </w:r>
    </w:p>
    <w:p>
      <w:pPr>
        <w:spacing w:after="40"/>
        <w:ind w:left="227"/>
      </w:pPr>
      <w:r>
        <w:rPr>
          <w:rFonts w:ascii="맑은 고딕" w:hAnsi="맑은 고딕" w:eastAsia="맑은 고딕"/>
          <w:b/>
          <w:color w:val="2E5C8A"/>
          <w:sz w:val="20"/>
        </w:rPr>
        <w:t xml:space="preserve">· </w:t>
      </w:r>
      <w:r>
        <w:rPr>
          <w:rFonts w:ascii="맑은 고딕" w:hAnsi="맑은 고딕" w:eastAsia="맑은 고딕"/>
          <w:b w:val="0"/>
          <w:sz w:val="20"/>
        </w:rPr>
        <w:t>발주처는 착수에 앞서 다음의 보완·중점 사항을 전달함.</w:t>
      </w:r>
    </w:p>
    <w:p>
      <w:pPr>
        <w:spacing w:after="40"/>
        <w:ind w:left="510"/>
      </w:pPr>
      <w:r>
        <w:rPr>
          <w:rFonts w:ascii="맑은 고딕" w:hAnsi="맑은 고딕" w:eastAsia="맑은 고딕"/>
          <w:b/>
          <w:color w:val="2E5C8A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>전년도 수행 맥락(NCS DB 구축 등)에 대한 이해를 한층 높일 필요.</w:t>
      </w:r>
    </w:p>
    <w:p>
      <w:pPr>
        <w:spacing w:after="40"/>
        <w:ind w:left="510"/>
      </w:pPr>
      <w:r>
        <w:rPr>
          <w:rFonts w:ascii="맑은 고딕" w:hAnsi="맑은 고딕" w:eastAsia="맑은 고딕"/>
          <w:b/>
          <w:color w:val="2E5C8A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>제안 내용의 구체화 및 실행 방안 보강 필요.</w:t>
      </w:r>
    </w:p>
    <w:p>
      <w:pPr>
        <w:spacing w:after="40"/>
        <w:ind w:left="510"/>
      </w:pPr>
      <w:r>
        <w:rPr>
          <w:rFonts w:ascii="맑은 고딕" w:hAnsi="맑은 고딕" w:eastAsia="맑은 고딕"/>
          <w:b/>
          <w:color w:val="2E5C8A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>작년 프로세스 답습을 지양하고, 특히 AX 분야는 신규 프로세스 설계가 필요함.</w:t>
      </w:r>
    </w:p>
    <w:p>
      <w:pPr>
        <w:spacing w:after="40"/>
        <w:ind w:left="227"/>
      </w:pPr>
      <w:r>
        <w:rPr>
          <w:rFonts w:ascii="맑은 고딕" w:hAnsi="맑은 고딕" w:eastAsia="맑은 고딕"/>
          <w:b/>
          <w:color w:val="2E5C8A"/>
          <w:sz w:val="20"/>
        </w:rPr>
        <w:t xml:space="preserve">· </w:t>
      </w:r>
      <w:r>
        <w:rPr>
          <w:rFonts w:ascii="맑은 고딕" w:hAnsi="맑은 고딕" w:eastAsia="맑은 고딕"/>
          <w:b w:val="0"/>
          <w:sz w:val="20"/>
        </w:rPr>
        <w:t>발주처 요청 : 전년도 수행인력(김준식 선임, 손혜림 선임 등)으로부터 인수인계를 받아 사업 이해도를 높이고, 착수보고회까지 보완·구체화할 것.</w:t>
      </w:r>
    </w:p>
    <w:p>
      <w:pPr>
        <w:spacing w:after="40"/>
        <w:ind w:left="227"/>
      </w:pPr>
      <w:r>
        <w:rPr>
          <w:rFonts w:ascii="맑은 고딕" w:hAnsi="맑은 고딕" w:eastAsia="맑은 고딕"/>
          <w:b/>
          <w:color w:val="2E5C8A"/>
          <w:sz w:val="20"/>
        </w:rPr>
        <w:t xml:space="preserve">· </w:t>
      </w:r>
      <w:r>
        <w:rPr>
          <w:rFonts w:ascii="맑은 고딕" w:hAnsi="맑은 고딕" w:eastAsia="맑은 고딕"/>
          <w:b w:val="0"/>
          <w:sz w:val="20"/>
        </w:rPr>
        <w:t>본 사업은 STEP 운영본부 전반에서 관심도가 높은 사업으로, 체계의 방향을 잡는 일인 만큼 방향성에 대한 충분한 검토를 요청함.</w:t>
      </w:r>
    </w:p>
    <w:p>
      <w:pPr>
        <w:spacing w:after="40"/>
        <w:ind w:left="227"/>
      </w:pPr>
      <w:r>
        <w:rPr>
          <w:rFonts w:ascii="맑은 고딕" w:hAnsi="맑은 고딕" w:eastAsia="맑은 고딕"/>
          <w:b/>
          <w:color w:val="2E5C8A"/>
          <w:sz w:val="20"/>
        </w:rPr>
        <w:t>[작년 대비 유리한 여건]</w:t>
      </w:r>
    </w:p>
    <w:p>
      <w:pPr>
        <w:spacing w:after="40"/>
        <w:ind w:left="510"/>
      </w:pPr>
      <w:r>
        <w:rPr>
          <w:rFonts w:ascii="맑은 고딕" w:hAnsi="맑은 고딕" w:eastAsia="맑은 고딕"/>
          <w:b/>
          <w:color w:val="2E5C8A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>훈련·협회·자격 데이터 등을 발주처가 내부에서 직접 확보·제공 → 과거 약 3개월 소요되던 데이터 수집을 수행사가 별도로 하지 않아도 됨.</w:t>
      </w:r>
    </w:p>
    <w:p>
      <w:pPr>
        <w:spacing w:after="40"/>
        <w:ind w:left="510"/>
      </w:pPr>
      <w:r>
        <w:rPr>
          <w:rFonts w:ascii="맑은 고딕" w:hAnsi="맑은 고딕" w:eastAsia="맑은 고딕"/>
          <w:b/>
          <w:color w:val="2E5C8A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>NCS 관련 양식·데이터는 기존 구축분이 잘 정비되어 있어, 수행사는 업데이트 중심으로 진행 가능.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FFFFFF"/>
          <w:sz w:val="22"/>
          <w:shd w:val="clear" w:color="auto" w:fill="1F3355"/>
        </w:rPr>
        <w:t xml:space="preserve"> 2 </w:t>
      </w:r>
      <w:r>
        <w:rPr>
          <w:rFonts w:ascii="맑은 고딕" w:hAnsi="맑은 고딕" w:eastAsia="맑은 고딕"/>
          <w:b/>
          <w:color w:val="1F3355"/>
          <w:sz w:val="26"/>
        </w:rPr>
        <w:t xml:space="preserve">  착수보고회(7/8) 전 보완 요청 사항</w:t>
      </w:r>
    </w:p>
    <w:p>
      <w:pPr>
        <w:spacing w:after="40"/>
        <w:ind w:left="227"/>
      </w:pPr>
      <w:r>
        <w:rPr>
          <w:rFonts w:ascii="맑은 고딕" w:hAnsi="맑은 고딕" w:eastAsia="맑은 고딕"/>
          <w:b/>
          <w:color w:val="2E5C8A"/>
          <w:sz w:val="18"/>
        </w:rPr>
        <w:t xml:space="preserve">※ </w:t>
      </w:r>
      <w:r>
        <w:rPr>
          <w:rFonts w:ascii="맑은 고딕" w:hAnsi="맑은 고딕" w:eastAsia="맑은 고딕"/>
          <w:b w:val="0"/>
          <w:color w:val="555555"/>
          <w:sz w:val="18"/>
        </w:rPr>
        <w:t>RFP 볼드 항목 및 평가위원 의견. 아래 항목은 착수보고회에서 발표·구체화할 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10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#</w:t>
            </w:r>
          </w:p>
        </w:tc>
        <w:tc>
          <w:tcPr>
            <w:tcW w:type="dxa" w:w="2041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6803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발주처 요청 내용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/>
                <w:color w:val="1F3355"/>
                <w:sz w:val="19"/>
              </w:rPr>
              <w:t>1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평생·디지털·AX 분류 기준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통합 시 분야별 특화가 담기지 않음(평가위원 의견). 일반 과목과 AX 과목의 수요조사 방법·우선순위 가중치를 분리하고, 평생/디지털/첨단융합(AX) 추출의 명확한 지표·기준 제시.</w:t>
            </w:r>
          </w:p>
        </w:tc>
      </w:tr>
      <w:tr>
        <w:tc>
          <w:tcPr>
            <w:tcW w:type="dxa" w:w="510"/>
            <w:shd w:val="clear" w:color="auto" w:fill="F2F6FB"/>
          </w:tcPr>
          <w:p>
            <w:r/>
            <w:r>
              <w:rPr>
                <w:rFonts w:ascii="맑은 고딕" w:hAnsi="맑은 고딕" w:eastAsia="맑은 고딕"/>
                <w:b/>
                <w:color w:val="1F3355"/>
                <w:sz w:val="19"/>
              </w:rPr>
              <w:t>2</w:t>
            </w:r>
          </w:p>
        </w:tc>
        <w:tc>
          <w:tcPr>
            <w:tcW w:type="dxa" w:w="2041"/>
            <w:shd w:val="clear" w:color="auto" w:fill="F2F6FB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설문 응답률 제고 방안</w:t>
            </w:r>
          </w:p>
        </w:tc>
        <w:tc>
          <w:tcPr>
            <w:tcW w:type="dxa" w:w="6803"/>
            <w:shd w:val="clear" w:color="auto" w:fill="F2F6FB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발표 시 5%로 언급했으나 실제는 10% 수준. 쿠폰 외에 응답률·정확성을 높일 구체적 방안 보완.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/>
                <w:color w:val="1F3355"/>
                <w:sz w:val="19"/>
              </w:rPr>
              <w:t>3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조사체계 개선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응답률과 연계. 설문조사 단계·재배치 방안·타당성 검증을 포함한 개선안.</w:t>
            </w:r>
          </w:p>
        </w:tc>
      </w:tr>
      <w:tr>
        <w:tc>
          <w:tcPr>
            <w:tcW w:type="dxa" w:w="510"/>
            <w:shd w:val="clear" w:color="auto" w:fill="F2F6FB"/>
          </w:tcPr>
          <w:p>
            <w:r/>
            <w:r>
              <w:rPr>
                <w:rFonts w:ascii="맑은 고딕" w:hAnsi="맑은 고딕" w:eastAsia="맑은 고딕"/>
                <w:b/>
                <w:color w:val="1F3355"/>
                <w:sz w:val="19"/>
              </w:rPr>
              <w:t>4</w:t>
            </w:r>
          </w:p>
        </w:tc>
        <w:tc>
          <w:tcPr>
            <w:tcW w:type="dxa" w:w="2041"/>
            <w:shd w:val="clear" w:color="auto" w:fill="F2F6FB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과업 일정 단축</w:t>
            </w:r>
          </w:p>
        </w:tc>
        <w:tc>
          <w:tcPr>
            <w:tcW w:type="dxa" w:w="6803"/>
            <w:shd w:val="clear" w:color="auto" w:fill="F2F6FB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RFP상 6개월 → 계약 후 6개월이면 12월 말. 목표완료일이 11월 20일이므로 5개월 이내로 일정 재조정 후 제출.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/>
                <w:color w:val="1F3355"/>
                <w:sz w:val="19"/>
              </w:rPr>
              <w:t>5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자동화 방안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STEP 시스템과 연계 가능한 자동화 프로그램·프로세스 제시(현재 대부분 수기). 착수보고 발표분과 최종 반영분을 구분하여 보고.</w:t>
            </w:r>
          </w:p>
        </w:tc>
      </w:tr>
      <w:tr>
        <w:tc>
          <w:tcPr>
            <w:tcW w:type="dxa" w:w="510"/>
            <w:shd w:val="clear" w:color="auto" w:fill="F2F6FB"/>
          </w:tcPr>
          <w:p>
            <w:r/>
            <w:r>
              <w:rPr>
                <w:rFonts w:ascii="맑은 고딕" w:hAnsi="맑은 고딕" w:eastAsia="맑은 고딕"/>
                <w:b/>
                <w:color w:val="1F3355"/>
                <w:sz w:val="19"/>
              </w:rPr>
              <w:t>6</w:t>
            </w:r>
          </w:p>
        </w:tc>
        <w:tc>
          <w:tcPr>
            <w:tcW w:type="dxa" w:w="2041"/>
            <w:shd w:val="clear" w:color="auto" w:fill="F2F6FB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미활용 과목 처리 기준</w:t>
            </w:r>
          </w:p>
        </w:tc>
        <w:tc>
          <w:tcPr>
            <w:tcW w:type="dxa" w:w="6803"/>
            <w:shd w:val="clear" w:color="auto" w:fill="F2F6FB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버퍼 개발분(예: 실제 300개 대비 400개 개발) 중 미활용 과목의 폐기 기준 부재. '2년 이상 미활용 시 폐기' 등 근거를 보고서에 명시. 현재는 근거 없이 1년만 운용.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맑은 고딕" w:hAnsi="맑은 고딕" w:eastAsia="맑은 고딕"/>
                <w:b/>
                <w:color w:val="1F3355"/>
                <w:sz w:val="19"/>
              </w:rPr>
              <w:t>7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데이터 결측치 처리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정량평가 시 제외/중간값/최솟값 중 처리 방법론을 전년도와 비교해 제시(현재 제외 또는 1점 부여).</w:t>
            </w:r>
          </w:p>
        </w:tc>
      </w:tr>
      <w:tr>
        <w:tc>
          <w:tcPr>
            <w:tcW w:type="dxa" w:w="510"/>
            <w:shd w:val="clear" w:color="auto" w:fill="F2F6FB"/>
          </w:tcPr>
          <w:p>
            <w:r/>
            <w:r>
              <w:rPr>
                <w:rFonts w:ascii="맑은 고딕" w:hAnsi="맑은 고딕" w:eastAsia="맑은 고딕"/>
                <w:b/>
                <w:color w:val="1F3355"/>
                <w:sz w:val="19"/>
              </w:rPr>
              <w:t>8</w:t>
            </w:r>
          </w:p>
        </w:tc>
        <w:tc>
          <w:tcPr>
            <w:tcW w:type="dxa" w:w="2041"/>
            <w:shd w:val="clear" w:color="auto" w:fill="F2F6FB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AI 모델 학습 방지·보안</w:t>
            </w:r>
          </w:p>
        </w:tc>
        <w:tc>
          <w:tcPr>
            <w:tcW w:type="dxa" w:w="6803"/>
            <w:shd w:val="clear" w:color="auto" w:fill="F2F6FB"/>
          </w:tcPr>
          <w:p>
            <w:r/>
            <w:r>
              <w:rPr>
                <w:rFonts w:ascii="맑은 고딕" w:hAnsi="맑은 고딕" w:eastAsia="맑은 고딕"/>
                <w:sz w:val="19"/>
              </w:rPr>
              <w:t>「AI 활용 이력 명세서」(①어떤 모델을 ②어디에 ③어떻게 사용했는지)를 자유 양식으로 중간 정리 후 최종 제출.</w:t>
            </w:r>
          </w:p>
        </w:tc>
      </w:tr>
    </w:tbl>
    <w:p>
      <w:pPr>
        <w:spacing w:before="280" w:after="80"/>
      </w:pPr>
      <w:r>
        <w:rPr>
          <w:rFonts w:ascii="맑은 고딕" w:hAnsi="맑은 고딕" w:eastAsia="맑은 고딕"/>
          <w:b/>
          <w:color w:val="FFFFFF"/>
          <w:sz w:val="22"/>
          <w:shd w:val="clear" w:color="auto" w:fill="1F3355"/>
        </w:rPr>
        <w:t xml:space="preserve"> 3 </w:t>
      </w:r>
      <w:r>
        <w:rPr>
          <w:rFonts w:ascii="맑은 고딕" w:hAnsi="맑은 고딕" w:eastAsia="맑은 고딕"/>
          <w:b/>
          <w:color w:val="1F3355"/>
          <w:sz w:val="26"/>
        </w:rPr>
        <w:t xml:space="preserve">  연구재현(연구내용 반영) — RFP 10페이지 박스 항목</w:t>
      </w:r>
    </w:p>
    <w:p>
      <w:pPr>
        <w:spacing w:after="40"/>
        <w:ind w:left="227"/>
      </w:pPr>
      <w:r>
        <w:rPr>
          <w:rFonts w:ascii="맑은 고딕" w:hAnsi="맑은 고딕" w:eastAsia="맑은 고딕"/>
          <w:b/>
          <w:color w:val="2E5C8A"/>
          <w:sz w:val="20"/>
        </w:rPr>
        <w:t xml:space="preserve">① </w:t>
      </w:r>
      <w:r>
        <w:rPr>
          <w:rFonts w:ascii="맑은 고딕" w:hAnsi="맑은 고딕" w:eastAsia="맑은 고딕"/>
          <w:b w:val="0"/>
          <w:sz w:val="20"/>
        </w:rPr>
        <w:t>제도연계 : 정책 활용률 제고, 후속사업 추진을 위한 제도 연계 방안.</w:t>
      </w:r>
    </w:p>
    <w:p>
      <w:pPr>
        <w:spacing w:after="40"/>
        <w:ind w:left="227"/>
      </w:pPr>
      <w:r>
        <w:rPr>
          <w:rFonts w:ascii="맑은 고딕" w:hAnsi="맑은 고딕" w:eastAsia="맑은 고딕"/>
          <w:b/>
          <w:color w:val="2E5C8A"/>
          <w:sz w:val="20"/>
        </w:rPr>
        <w:t xml:space="preserve">② </w:t>
      </w:r>
      <w:r>
        <w:rPr>
          <w:rFonts w:ascii="맑은 고딕" w:hAnsi="맑은 고딕" w:eastAsia="맑은 고딕"/>
          <w:b w:val="0"/>
          <w:sz w:val="20"/>
        </w:rPr>
        <w:t>자동화 : STEP 로드맵과 발주처 시스템의 효율화·연계 자동화.</w:t>
      </w:r>
    </w:p>
    <w:p>
      <w:pPr>
        <w:spacing w:after="40"/>
        <w:ind w:left="227"/>
      </w:pPr>
      <w:r>
        <w:rPr>
          <w:rFonts w:ascii="맑은 고딕" w:hAnsi="맑은 고딕" w:eastAsia="맑은 고딕"/>
          <w:b/>
          <w:color w:val="2E5C8A"/>
          <w:sz w:val="20"/>
        </w:rPr>
        <w:t xml:space="preserve">③ </w:t>
      </w:r>
      <w:r>
        <w:rPr>
          <w:rFonts w:ascii="맑은 고딕" w:hAnsi="맑은 고딕" w:eastAsia="맑은 고딕"/>
          <w:b w:val="0"/>
          <w:sz w:val="20"/>
        </w:rPr>
        <w:t>조사체계 개선 : (1)설문조사 단계 (2)재배치 방안 (3)타당성 검증.</w:t>
      </w:r>
    </w:p>
    <w:p>
      <w:pPr>
        <w:spacing w:after="40"/>
        <w:ind w:left="227"/>
      </w:pPr>
      <w:r>
        <w:rPr>
          <w:rFonts w:ascii="맑은 고딕" w:hAnsi="맑은 고딕" w:eastAsia="맑은 고딕"/>
          <w:b/>
          <w:color w:val="2E5C8A"/>
          <w:sz w:val="20"/>
        </w:rPr>
        <w:t xml:space="preserve">④ </w:t>
      </w:r>
      <w:r>
        <w:rPr>
          <w:rFonts w:ascii="맑은 고딕" w:hAnsi="맑은 고딕" w:eastAsia="맑은 고딕"/>
          <w:b w:val="0"/>
          <w:sz w:val="20"/>
        </w:rPr>
        <w:t>매뉴얼화 : 산출물·프로세스의 매뉴얼화.</w:t>
      </w:r>
    </w:p>
    <w:p>
      <w:pPr>
        <w:spacing w:after="40"/>
        <w:ind w:left="227"/>
      </w:pPr>
      <w:r>
        <w:rPr>
          <w:rFonts w:ascii="맑은 고딕" w:hAnsi="맑은 고딕" w:eastAsia="맑은 고딕"/>
          <w:b/>
          <w:color w:val="2E5C8A"/>
          <w:sz w:val="20"/>
        </w:rPr>
        <w:t>[지속적·체계적 수집체계 방안 — 발주처 핵심 문제의식]</w:t>
      </w:r>
    </w:p>
    <w:p>
      <w:pPr>
        <w:spacing w:after="40"/>
        <w:ind w:left="510"/>
      </w:pPr>
      <w:r>
        <w:rPr>
          <w:rFonts w:ascii="맑은 고딕" w:hAnsi="맑은 고딕" w:eastAsia="맑은 고딕"/>
          <w:b/>
          <w:color w:val="2E5C8A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>매년 대량 설문 → 낮은 응답률(5% 등) 반복에 대한 근본적 의문.</w:t>
      </w:r>
    </w:p>
    <w:p>
      <w:pPr>
        <w:spacing w:after="40"/>
        <w:ind w:left="510"/>
      </w:pPr>
      <w:r>
        <w:rPr>
          <w:rFonts w:ascii="맑은 고딕" w:hAnsi="맑은 고딕" w:eastAsia="맑은 고딕"/>
          <w:b/>
          <w:color w:val="2E5C8A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>대안 : STEP 시스템 행동 데이터(클릭·학습 경로) 기반 자동 모니터링으로 연계 과정의 공백을 자동 탐지.</w:t>
      </w:r>
    </w:p>
    <w:p>
      <w:pPr>
        <w:spacing w:after="40"/>
        <w:ind w:left="510"/>
      </w:pPr>
      <w:r>
        <w:rPr>
          <w:rFonts w:ascii="맑은 고딕" w:hAnsi="맑은 고딕" w:eastAsia="맑은 고딕"/>
          <w:b/>
          <w:color w:val="2E5C8A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>강의 후기 설문에 '추가 필요 과정' 문항을 누적하는 등 상시 수집 + 타 기관 벤치마킹 요청.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FFFFFF"/>
          <w:sz w:val="22"/>
          <w:shd w:val="clear" w:color="auto" w:fill="1F3355"/>
        </w:rPr>
        <w:t xml:space="preserve"> 4 </w:t>
      </w:r>
      <w:r>
        <w:rPr>
          <w:rFonts w:ascii="맑은 고딕" w:hAnsi="맑은 고딕" w:eastAsia="맑은 고딕"/>
          <w:b/>
          <w:color w:val="1F3355"/>
          <w:sz w:val="26"/>
        </w:rPr>
        <w:t xml:space="preserve">  [핵심 쟁점 ①] 도출 방법론 — 세분류 vs 능력단위</w:t>
      </w:r>
    </w:p>
    <w:p>
      <w:pPr>
        <w:spacing w:after="40"/>
        <w:ind w:left="227"/>
      </w:pPr>
      <w:r>
        <w:rPr>
          <w:rFonts w:ascii="맑은 고딕" w:hAnsi="맑은 고딕" w:eastAsia="맑은 고딕"/>
          <w:b/>
          <w:color w:val="1F3355"/>
          <w:sz w:val="20"/>
        </w:rPr>
        <w:t>[쟁점] 수요조사·설문조사를 어느 단위에서 수행할 것인가.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020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025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작년까지 (능력단위)</w:t>
            </w:r>
          </w:p>
        </w:tc>
        <w:tc>
          <w:tcPr>
            <w:tcW w:type="dxa" w:w="4025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수행사 제안 (세분류)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/>
                <w:color w:val="1F3355"/>
                <w:sz w:val="19"/>
              </w:rPr>
              <w:t>방식</w:t>
            </w:r>
          </w:p>
        </w:tc>
        <w:tc>
          <w:tcPr>
            <w:tcW w:type="dxa" w:w="402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능력단위 수준 수요조사 → 설문조사 → 능력단위별 우선순위 도출</w:t>
            </w:r>
          </w:p>
        </w:tc>
        <w:tc>
          <w:tcPr>
            <w:tcW w:type="dxa" w:w="402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세분류 수준 설문으로 분야 확정 → AI기반+정성(전문가)평가로 능력단위 선정</w:t>
            </w:r>
          </w:p>
        </w:tc>
      </w:tr>
      <w:tr>
        <w:tc>
          <w:tcPr>
            <w:tcW w:type="dxa" w:w="1020"/>
            <w:shd w:val="clear" w:color="auto" w:fill="F2F6FB"/>
          </w:tcPr>
          <w:p>
            <w:r/>
            <w:r>
              <w:rPr>
                <w:rFonts w:ascii="맑은 고딕" w:hAnsi="맑은 고딕" w:eastAsia="맑은 고딕"/>
                <w:b/>
                <w:color w:val="1F3355"/>
                <w:sz w:val="19"/>
              </w:rPr>
              <w:t>장점</w:t>
            </w:r>
          </w:p>
        </w:tc>
        <w:tc>
          <w:tcPr>
            <w:tcW w:type="dxa" w:w="4025"/>
            <w:shd w:val="clear" w:color="auto" w:fill="F2F6FB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실수요 기반, 콘텐츠 과정명과 유사해 학습자 이해 용이</w:t>
            </w:r>
          </w:p>
        </w:tc>
        <w:tc>
          <w:tcPr>
            <w:tcW w:type="dxa" w:w="4025"/>
            <w:shd w:val="clear" w:color="auto" w:fill="F2F6FB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설문 분량 축소, 결측치 감소, 방대한 도출 물량에 적합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/>
                <w:color w:val="1F3355"/>
                <w:sz w:val="19"/>
              </w:rPr>
              <w:t>단점</w:t>
            </w:r>
          </w:p>
        </w:tc>
        <w:tc>
          <w:tcPr>
            <w:tcW w:type="dxa" w:w="402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설문 분량 과다, 결측치 다발(보통 3점 통일 등)</w:t>
            </w:r>
          </w:p>
        </w:tc>
        <w:tc>
          <w:tcPr>
            <w:tcW w:type="dxa" w:w="402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학습자가 세분류(직무 수준)를 이해 못함 → 응답 타당성 저하 우려</w:t>
            </w:r>
          </w:p>
        </w:tc>
      </w:tr>
    </w:tbl>
    <w:p>
      <w:pPr>
        <w:spacing w:after="40"/>
        <w:ind w:left="227"/>
      </w:pPr>
      <w:r>
        <w:rPr>
          <w:rFonts w:ascii="맑은 고딕" w:hAnsi="맑은 고딕" w:eastAsia="맑은 고딕"/>
          <w:b/>
          <w:color w:val="2E5C8A"/>
          <w:sz w:val="20"/>
        </w:rPr>
        <w:t>[논의·합의 방향]</w:t>
      </w:r>
    </w:p>
    <w:p>
      <w:pPr>
        <w:spacing w:after="40"/>
        <w:ind w:left="510"/>
      </w:pPr>
      <w:r>
        <w:rPr>
          <w:rFonts w:ascii="맑은 고딕" w:hAnsi="맑은 고딕" w:eastAsia="맑은 고딕"/>
          <w:b/>
          <w:color w:val="2E5C8A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>발주처 : 객관적 정량 데이터가 세분류 기준으로만 확보 가능(직능연 자문). 능력단위 데이터는 확보 불가 → 세분류로 갈 수밖에 없는 상황.</w:t>
      </w:r>
    </w:p>
    <w:p>
      <w:pPr>
        <w:spacing w:after="40"/>
        <w:ind w:left="510"/>
      </w:pPr>
      <w:r>
        <w:rPr>
          <w:rFonts w:ascii="맑은 고딕" w:hAnsi="맑은 고딕" w:eastAsia="맑은 고딕"/>
          <w:b/>
          <w:color w:val="2E5C8A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>단, 과거 미래처 사업에서 세분류 수요조사의 타당성 문제 제기 → 학습자가 알기 쉬운 용어(능력단위명·과정명)를 예시로 제시하고, 세분류 클릭 시 하위 과정이 펼쳐지는 형태(화면 캡처 활용) 권장.</w:t>
      </w:r>
    </w:p>
    <w:p>
      <w:pPr>
        <w:spacing w:after="40"/>
        <w:ind w:left="510"/>
      </w:pPr>
      <w:r>
        <w:rPr>
          <w:rFonts w:ascii="맑은 고딕" w:hAnsi="맑은 고딕" w:eastAsia="맑은 고딕"/>
          <w:b/>
          <w:color w:val="2E5C8A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>전문가 의존성 보완 필요 : 과거 능력단위로 내려간 이유가 전문가 자문의 타당성 문제. 세분류 전환 시 전문가 의존을 객관적 근거(데이터·설문)로 보완하는 방안 제시 요망.</w:t>
      </w:r>
    </w:p>
    <w:p>
      <w:pPr>
        <w:spacing w:after="40"/>
        <w:ind w:left="510"/>
      </w:pPr>
      <w:r>
        <w:rPr>
          <w:rFonts w:ascii="맑은 고딕" w:hAnsi="맑은 고딕" w:eastAsia="맑은 고딕"/>
          <w:b/>
          <w:color w:val="2E5C8A"/>
          <w:sz w:val="20"/>
        </w:rPr>
        <w:t xml:space="preserve">▶ </w:t>
      </w:r>
      <w:r>
        <w:rPr>
          <w:rFonts w:ascii="맑은 고딕" w:hAnsi="맑은 고딕" w:eastAsia="맑은 고딕"/>
          <w:b/>
          <w:sz w:val="20"/>
        </w:rPr>
        <w:t>[잠정 결론] 발주처는 세분류 단위 설문조사로 방향을 정하고자 함(자문·평가위원 의견 일치). 단, 방향성 사안이므로 최종 결정은 착수보고회. 수행사는 의사결정용 근거자료(전환 타당성·우려 해소·능력단위 예시 화면)를 준비할 것.</w:t>
      </w:r>
    </w:p>
    <w:p>
      <w:pPr>
        <w:spacing w:after="40"/>
        <w:ind w:left="510"/>
      </w:pPr>
      <w:r>
        <w:rPr>
          <w:rFonts w:ascii="맑은 고딕" w:hAnsi="맑은 고딕" w:eastAsia="맑은 고딕"/>
          <w:b/>
          <w:color w:val="2E5C8A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>[추가 고려] E-러닝은 소단위 개발 불가피 → 세분류는 분야 선정용, 콘텐츠 단위는 전문가 위임 등 후속 제안 필요.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FFFFFF"/>
          <w:sz w:val="22"/>
          <w:shd w:val="clear" w:color="auto" w:fill="1F3355"/>
        </w:rPr>
        <w:t xml:space="preserve"> 5 </w:t>
      </w:r>
      <w:r>
        <w:rPr>
          <w:rFonts w:ascii="맑은 고딕" w:hAnsi="맑은 고딕" w:eastAsia="맑은 고딕"/>
          <w:b/>
          <w:color w:val="1F3355"/>
          <w:sz w:val="26"/>
        </w:rPr>
        <w:t xml:space="preserve">  [핵심 쟁점 ②] AX(AI 전환) 과정 도출</w:t>
      </w:r>
    </w:p>
    <w:p>
      <w:pPr>
        <w:spacing w:after="40"/>
        <w:ind w:left="227"/>
      </w:pPr>
      <w:r>
        <w:rPr>
          <w:rFonts w:ascii="맑은 고딕" w:hAnsi="맑은 고딕" w:eastAsia="맑은 고딕"/>
          <w:b/>
          <w:color w:val="2E5C8A"/>
          <w:sz w:val="20"/>
        </w:rPr>
        <w:t xml:space="preserve">▶ </w:t>
      </w:r>
      <w:r>
        <w:rPr>
          <w:rFonts w:ascii="맑은 고딕" w:hAnsi="맑은 고딕" w:eastAsia="맑은 고딕"/>
          <w:b/>
          <w:color w:val="1F3355"/>
          <w:sz w:val="20"/>
        </w:rPr>
        <w:t>[과목 수 조정] 제안서 100/100/200 → 협의 결과  100 / 150 / 150  (AX 200→150 축소). GX 포함이나 올해 개발분이 많아 비중 확대 불필요.</w:t>
      </w:r>
    </w:p>
    <w:p>
      <w:pPr>
        <w:spacing w:after="40"/>
        <w:ind w:left="227"/>
      </w:pPr>
      <w:r>
        <w:rPr>
          <w:rFonts w:ascii="맑은 고딕" w:hAnsi="맑은 고딕" w:eastAsia="맑은 고딕"/>
          <w:b/>
          <w:color w:val="2E5C8A"/>
          <w:sz w:val="20"/>
        </w:rPr>
        <w:t>[AX의 구조적 특성]</w:t>
      </w:r>
    </w:p>
    <w:p>
      <w:pPr>
        <w:spacing w:after="40"/>
        <w:ind w:left="510"/>
      </w:pPr>
      <w:r>
        <w:rPr>
          <w:rFonts w:ascii="맑은 고딕" w:hAnsi="맑은 고딕" w:eastAsia="맑은 고딕"/>
          <w:b/>
          <w:color w:val="2E5C8A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>평생·디지털은 키워드로 분리 가능하나, AX는 모든 직무에 AI가 접목되어 별도 분리 불가. 전체에서 AI를 먼저 선별한 뒤 평생/디지털로 구분.</w:t>
      </w:r>
    </w:p>
    <w:p>
      <w:pPr>
        <w:spacing w:after="40"/>
        <w:ind w:left="510"/>
      </w:pPr>
      <w:r>
        <w:rPr>
          <w:rFonts w:ascii="맑은 고딕" w:hAnsi="맑은 고딕" w:eastAsia="맑은 고딕"/>
          <w:b/>
          <w:color w:val="2E5C8A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>같은 세분류·같은 과정이 AI 버전과 디지털·평생 버전으로 동시 개발될 수 있음.</w:t>
      </w:r>
    </w:p>
    <w:p>
      <w:pPr>
        <w:spacing w:after="40"/>
        <w:ind w:left="227"/>
      </w:pPr>
      <w:r>
        <w:rPr>
          <w:rFonts w:ascii="맑은 고딕" w:hAnsi="맑은 고딕" w:eastAsia="맑은 고딕"/>
          <w:b/>
          <w:color w:val="2E5C8A"/>
          <w:sz w:val="20"/>
        </w:rPr>
        <w:t>[핵심 우려 — 수요의 실재성]</w:t>
      </w:r>
    </w:p>
    <w:p>
      <w:pPr>
        <w:spacing w:after="40"/>
        <w:ind w:left="510"/>
      </w:pPr>
      <w:r>
        <w:rPr>
          <w:rFonts w:ascii="맑은 고딕" w:hAnsi="맑은 고딕" w:eastAsia="맑은 고딕"/>
          <w:b/>
          <w:color w:val="2E5C8A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>작년 세분류 상위 24개 AX 과정을 도출·개발 중이나, '실제 수강 수요가 있는가'가 최대 우려.</w:t>
      </w:r>
    </w:p>
    <w:p>
      <w:pPr>
        <w:spacing w:after="40"/>
        <w:ind w:left="510"/>
      </w:pPr>
      <w:r>
        <w:rPr>
          <w:rFonts w:ascii="맑은 고딕" w:hAnsi="맑은 고딕" w:eastAsia="맑은 고딕"/>
          <w:b/>
          <w:color w:val="2E5C8A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>발주처 제안 : NCS 세분류 방식 외 현실적 수요조사 방안 추가 제시 요청.</w:t>
      </w:r>
    </w:p>
    <w:p>
      <w:pPr>
        <w:spacing w:after="40"/>
        <w:ind w:left="794"/>
      </w:pPr>
      <w:r>
        <w:rPr>
          <w:rFonts w:ascii="맑은 고딕" w:hAnsi="맑은 고딕" w:eastAsia="맑은 고딕"/>
          <w:b/>
          <w:color w:val="2E5C8A"/>
          <w:sz w:val="20"/>
        </w:rPr>
        <w:t xml:space="preserve">· </w:t>
      </w:r>
      <w:r>
        <w:rPr>
          <w:rFonts w:ascii="맑은 고딕" w:hAnsi="맑은 고딕" w:eastAsia="맑은 고딕"/>
          <w:b w:val="0"/>
          <w:sz w:val="20"/>
        </w:rPr>
        <w:t>협력기업·훈련참여 기업 대상 맞춤형 AX 수요조사(훈련기관·기업대표·교육담당자 등 의사결정권자 대상).</w:t>
      </w:r>
    </w:p>
    <w:p>
      <w:pPr>
        <w:spacing w:after="40"/>
        <w:ind w:left="794"/>
      </w:pPr>
      <w:r>
        <w:rPr>
          <w:rFonts w:ascii="맑은 고딕" w:hAnsi="맑은 고딕" w:eastAsia="맑은 고딕"/>
          <w:b/>
          <w:color w:val="2E5C8A"/>
          <w:sz w:val="20"/>
        </w:rPr>
        <w:t xml:space="preserve">· </w:t>
      </w:r>
      <w:r>
        <w:rPr>
          <w:rFonts w:ascii="맑은 고딕" w:hAnsi="맑은 고딕" w:eastAsia="맑은 고딕"/>
          <w:b w:val="0"/>
          <w:sz w:val="20"/>
        </w:rPr>
        <w:t>핵심은 NCS 종속 여부가 아니라 '어떤 도메인에서 어떤 AI 활용 도구·기술을 쓰는가' → 도메인 + AI 활용 중심 수요 파악.</w:t>
      </w:r>
    </w:p>
    <w:p>
      <w:pPr>
        <w:spacing w:after="40"/>
        <w:ind w:left="510"/>
      </w:pPr>
      <w:r>
        <w:rPr>
          <w:rFonts w:ascii="맑은 고딕" w:hAnsi="맑은 고딕" w:eastAsia="맑은 고딕"/>
          <w:b/>
          <w:color w:val="2E5C8A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>[수준 체계화] AX를 초급·중급·고급으로 구분(발주처가 작년부터 요청). 단 시장 성숙도 미흡 → 단계적 추진. 현 시장은 대체로 AI 리터러시 수준. 강사 수급(산업 도메인+AI 양면 전문가 부재)이 현실적 제약.</w:t>
      </w:r>
    </w:p>
    <w:p>
      <w:pPr>
        <w:spacing w:after="40"/>
        <w:ind w:left="510"/>
      </w:pPr>
      <w:r>
        <w:rPr>
          <w:rFonts w:ascii="맑은 고딕" w:hAnsi="맑은 고딕" w:eastAsia="맑은 고딕"/>
          <w:b/>
          <w:color w:val="2E5C8A"/>
          <w:sz w:val="20"/>
        </w:rPr>
        <w:t xml:space="preserve">- </w:t>
      </w:r>
      <w:r>
        <w:rPr>
          <w:rFonts w:ascii="맑은 고딕" w:hAnsi="맑은 고딕" w:eastAsia="맑은 고딕"/>
          <w:b w:val="0"/>
          <w:color w:val="B03030"/>
          <w:sz w:val="20"/>
        </w:rPr>
        <w:t>[리터러시·중복 회피 — 중요] AI 리터러시 과정은 가급적 도출하지 말 것(과기부·EBS 등 타 부처와 콘텐츠 중복 → 부처 간 조정 진행 중). 방향은 직업훈련 적합 콘텐츠 + 산업 적용형 AX. 도구 자체보다 '산업에서 어떻게 활용하는가'에 초점.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FFFFFF"/>
          <w:sz w:val="22"/>
          <w:shd w:val="clear" w:color="auto" w:fill="1F3355"/>
        </w:rPr>
        <w:t xml:space="preserve"> 6 </w:t>
      </w:r>
      <w:r>
        <w:rPr>
          <w:rFonts w:ascii="맑은 고딕" w:hAnsi="맑은 고딕" w:eastAsia="맑은 고딕"/>
          <w:b/>
          <w:color w:val="1F3355"/>
          <w:sz w:val="26"/>
        </w:rPr>
        <w:t xml:space="preserve">  정량평가 점수체계</w:t>
      </w:r>
    </w:p>
    <w:p>
      <w:pPr>
        <w:spacing w:after="40"/>
        <w:ind w:left="227"/>
      </w:pPr>
      <w:r>
        <w:rPr>
          <w:rFonts w:ascii="맑은 고딕" w:hAnsi="맑은 고딕" w:eastAsia="맑은 고딕"/>
          <w:b/>
          <w:color w:val="2E5C8A"/>
          <w:sz w:val="20"/>
        </w:rPr>
        <w:t xml:space="preserve">· </w:t>
      </w:r>
      <w:r>
        <w:rPr>
          <w:rFonts w:ascii="맑은 고딕" w:hAnsi="맑은 고딕" w:eastAsia="맑은 고딕"/>
          <w:b w:val="0"/>
          <w:sz w:val="20"/>
        </w:rPr>
        <w:t>결측치 처리(4분위 → 5점 만점, 결측 시 1점) 적정성 검토 요청(편차 과다 우려).</w:t>
      </w:r>
    </w:p>
    <w:p>
      <w:pPr>
        <w:spacing w:after="40"/>
        <w:ind w:left="227"/>
      </w:pPr>
      <w:r>
        <w:rPr>
          <w:rFonts w:ascii="맑은 고딕" w:hAnsi="맑은 고딕" w:eastAsia="맑은 고딕"/>
          <w:b/>
          <w:color w:val="2E5C8A"/>
          <w:sz w:val="20"/>
        </w:rPr>
        <w:t xml:space="preserve">· </w:t>
      </w:r>
      <w:r>
        <w:rPr>
          <w:rFonts w:ascii="맑은 고딕" w:hAnsi="맑은 고딕" w:eastAsia="맑은 고딕"/>
          <w:b w:val="0"/>
          <w:sz w:val="20"/>
        </w:rPr>
        <w:t>정량평가 비중 논의 : 설문 신뢰도 대비 큰 비중(50)이 부여되는 구조에 평가위원 의견 제기. 올해는 기존 체계 유지(AX까지 재설계는 무리), 후반부·연구재현으로 보완안 제안.</w:t>
      </w:r>
    </w:p>
    <w:p>
      <w:pPr>
        <w:spacing w:after="40"/>
        <w:ind w:left="227"/>
      </w:pPr>
      <w:r>
        <w:rPr>
          <w:rFonts w:ascii="맑은 고딕" w:hAnsi="맑은 고딕" w:eastAsia="맑은 고딕"/>
          <w:b/>
          <w:color w:val="2E5C8A"/>
          <w:sz w:val="20"/>
        </w:rPr>
        <w:t xml:space="preserve">· </w:t>
      </w:r>
      <w:r>
        <w:rPr>
          <w:rFonts w:ascii="맑은 고딕" w:hAnsi="맑은 고딕" w:eastAsia="맑은 고딕"/>
          <w:b w:val="0"/>
          <w:sz w:val="20"/>
        </w:rPr>
        <w:t>'5:5 유지하려면 설문 신뢰도 제고가 전제'라는 데 양측 공감.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FFFFFF"/>
          <w:sz w:val="22"/>
          <w:shd w:val="clear" w:color="auto" w:fill="1F3355"/>
        </w:rPr>
        <w:t xml:space="preserve"> 7 </w:t>
      </w:r>
      <w:r>
        <w:rPr>
          <w:rFonts w:ascii="맑은 고딕" w:hAnsi="맑은 고딕" w:eastAsia="맑은 고딕"/>
          <w:b/>
          <w:color w:val="1F3355"/>
          <w:sz w:val="26"/>
        </w:rPr>
        <w:t xml:space="preserve">  산출물·데이터 관리</w:t>
      </w:r>
    </w:p>
    <w:p>
      <w:pPr>
        <w:spacing w:after="40"/>
        <w:ind w:left="227"/>
      </w:pPr>
      <w:r>
        <w:rPr>
          <w:rFonts w:ascii="맑은 고딕" w:hAnsi="맑은 고딕" w:eastAsia="맑은 고딕"/>
          <w:b/>
          <w:color w:val="2E5C8A"/>
          <w:sz w:val="20"/>
        </w:rPr>
        <w:t xml:space="preserve">· </w:t>
      </w:r>
      <w:r>
        <w:rPr>
          <w:rFonts w:ascii="맑은 고딕" w:hAnsi="맑은 고딕" w:eastAsia="맑은 고딕"/>
          <w:b w:val="0"/>
          <w:sz w:val="20"/>
        </w:rPr>
        <w:t>최종 산출물 4종 : ①연구보고서 ②매뉴얼 ③DB ④과목개요서 (검수 대상).</w:t>
      </w:r>
    </w:p>
    <w:p>
      <w:pPr>
        <w:spacing w:after="40"/>
        <w:ind w:left="227"/>
      </w:pPr>
      <w:r>
        <w:rPr>
          <w:rFonts w:ascii="맑은 고딕" w:hAnsi="맑은 고딕" w:eastAsia="맑은 고딕"/>
          <w:b/>
          <w:color w:val="2E5C8A"/>
          <w:sz w:val="20"/>
        </w:rPr>
        <w:t xml:space="preserve">· </w:t>
      </w:r>
      <w:r>
        <w:rPr>
          <w:rFonts w:ascii="맑은 고딕" w:hAnsi="맑은 고딕" w:eastAsia="맑은 고딕"/>
          <w:b/>
          <w:color w:val="1F3355"/>
          <w:sz w:val="20"/>
        </w:rPr>
        <w:t>MASTER DB 1차 업데이트 수행 : 1차 단계 산출물로 MASTER DB 업데이트본을 제출(STEP 게시용/정보용 2종 변경 이력 명기).</w:t>
      </w:r>
    </w:p>
    <w:p>
      <w:pPr>
        <w:spacing w:after="40"/>
        <w:ind w:left="227"/>
      </w:pPr>
      <w:r>
        <w:rPr>
          <w:rFonts w:ascii="맑은 고딕" w:hAnsi="맑은 고딕" w:eastAsia="맑은 고딕"/>
          <w:b/>
          <w:color w:val="2E5C8A"/>
          <w:sz w:val="20"/>
        </w:rPr>
        <w:t xml:space="preserve">· </w:t>
      </w:r>
      <w:r>
        <w:rPr>
          <w:rFonts w:ascii="맑은 고딕" w:hAnsi="맑은 고딕" w:eastAsia="맑은 고딕"/>
          <w:b w:val="0"/>
          <w:sz w:val="20"/>
        </w:rPr>
        <w:t>과목개요서는 엑셀로 제출(한글 외). AI 활용·다업체 관리 편의상 워드/엑셀 요청(엑셀로 충분하면 한글 생략 가능).</w:t>
      </w:r>
    </w:p>
    <w:p>
      <w:pPr>
        <w:spacing w:after="40"/>
        <w:ind w:left="227"/>
      </w:pPr>
      <w:r>
        <w:rPr>
          <w:rFonts w:ascii="맑은 고딕" w:hAnsi="맑은 고딕" w:eastAsia="맑은 고딕"/>
          <w:b/>
          <w:color w:val="2E5C8A"/>
          <w:sz w:val="20"/>
        </w:rPr>
        <w:t xml:space="preserve">· </w:t>
      </w:r>
      <w:r>
        <w:rPr>
          <w:rFonts w:ascii="맑은 고딕" w:hAnsi="맑은 고딕" w:eastAsia="맑은 고딕"/>
          <w:b w:val="0"/>
          <w:sz w:val="20"/>
        </w:rPr>
        <w:t>단계별 백데이터 제출 필수 : 1차 DB 업데이트 → 세부 수요 정량평가 결과 → 개발 적합성 평가 결과 등 단계별 제출(작년 AX 갑작 추가 시 백데이터 부재로 솔루션 제공 곤란 사례).</w:t>
      </w:r>
    </w:p>
    <w:p>
      <w:pPr>
        <w:spacing w:after="40"/>
        <w:ind w:left="227"/>
      </w:pPr>
      <w:r>
        <w:rPr>
          <w:rFonts w:ascii="맑은 고딕" w:hAnsi="맑은 고딕" w:eastAsia="맑은 고딕"/>
          <w:b/>
          <w:color w:val="2E5C8A"/>
          <w:sz w:val="20"/>
        </w:rPr>
        <w:t xml:space="preserve">· </w:t>
      </w:r>
      <w:r>
        <w:rPr>
          <w:rFonts w:ascii="맑은 고딕" w:hAnsi="맑은 고딕" w:eastAsia="맑은 고딕"/>
          <w:b w:val="0"/>
          <w:sz w:val="20"/>
        </w:rPr>
        <w:t>데이터 제공 : 훈련 데이터(심사평가원)·지역 데이터는 발주처 제공. 자격 관련 데이터는 별도 수집 필요(발주처 안내 예정).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FFFFFF"/>
          <w:sz w:val="22"/>
          <w:shd w:val="clear" w:color="auto" w:fill="1F3355"/>
        </w:rPr>
        <w:t xml:space="preserve"> 8 </w:t>
      </w:r>
      <w:r>
        <w:rPr>
          <w:rFonts w:ascii="맑은 고딕" w:hAnsi="맑은 고딕" w:eastAsia="맑은 고딕"/>
          <w:b/>
          <w:color w:val="1F3355"/>
          <w:sz w:val="26"/>
        </w:rPr>
        <w:t xml:space="preserve">  향후 일정 및 협업 방식</w:t>
      </w:r>
    </w:p>
    <w:p>
      <w:pPr>
        <w:spacing w:after="40"/>
        <w:ind w:left="227"/>
      </w:pPr>
      <w:r>
        <w:rPr>
          <w:rFonts w:ascii="맑은 고딕" w:hAnsi="맑은 고딕" w:eastAsia="맑은 고딕"/>
          <w:b/>
          <w:color w:val="2E5C8A"/>
          <w:sz w:val="20"/>
        </w:rPr>
        <w:t xml:space="preserve">· </w:t>
      </w:r>
      <w:r>
        <w:rPr>
          <w:rFonts w:ascii="맑은 고딕" w:hAnsi="맑은 고딕" w:eastAsia="맑은 고딕"/>
          <w:b w:val="0"/>
          <w:sz w:val="20"/>
        </w:rPr>
        <w:t>협업툴 : 계약 체결 후 발주처 '플로우(Flow)' 계정 발급·안내 예정. 실무 소통은 담당 파트장과 직접(메일·전화).</w:t>
      </w:r>
    </w:p>
    <w:p>
      <w:pPr>
        <w:spacing w:after="40"/>
        <w:ind w:left="227"/>
      </w:pPr>
      <w:r>
        <w:rPr>
          <w:rFonts w:ascii="맑은 고딕" w:hAnsi="맑은 고딕" w:eastAsia="맑은 고딕"/>
          <w:b/>
          <w:color w:val="2E5C8A"/>
          <w:sz w:val="20"/>
        </w:rPr>
        <w:t xml:space="preserve">· </w:t>
      </w:r>
      <w:r>
        <w:rPr>
          <w:rFonts w:ascii="맑은 고딕" w:hAnsi="맑은 고딕" w:eastAsia="맑은 고딕"/>
          <w:b/>
          <w:color w:val="1F3355"/>
          <w:sz w:val="20"/>
        </w:rPr>
        <w:t>일정 세부 계획(WBS) : 주차별 상세 일정·진행률을 담은 WBS를 다음주 중 제출(이후 착수보고회에서 확정).</w:t>
      </w:r>
    </w:p>
    <w:p>
      <w:pPr>
        <w:spacing w:after="40"/>
        <w:ind w:left="227"/>
      </w:pPr>
      <w:r>
        <w:rPr>
          <w:rFonts w:ascii="맑은 고딕" w:hAnsi="맑은 고딕" w:eastAsia="맑은 고딕"/>
          <w:b/>
          <w:color w:val="2E5C8A"/>
          <w:sz w:val="20"/>
        </w:rPr>
        <w:t xml:space="preserve">· </w:t>
      </w:r>
      <w:r>
        <w:rPr>
          <w:rFonts w:ascii="맑은 고딕" w:hAnsi="맑은 고딕" w:eastAsia="맑은 고딕"/>
          <w:b w:val="0"/>
          <w:sz w:val="20"/>
        </w:rPr>
        <w:t>착수보고회 전(7/8 이전) : 발주처→수행사 DB·설문조사 표본(학습자/기업/기관) 자료 제공 / 수행사 자격 데이터 등 선작업, 설문 표본 항목(연령·소속 등) 협의.</w:t>
      </w:r>
    </w:p>
    <w:p>
      <w:pPr>
        <w:spacing w:after="40"/>
        <w:ind w:left="227"/>
      </w:pPr>
      <w:r>
        <w:rPr>
          <w:rFonts w:ascii="맑은 고딕" w:hAnsi="맑은 고딕" w:eastAsia="맑은 고딕"/>
          <w:b/>
          <w:color w:val="2E5C8A"/>
          <w:sz w:val="20"/>
        </w:rPr>
        <w:t xml:space="preserve">· </w:t>
      </w:r>
      <w:r>
        <w:rPr>
          <w:rFonts w:ascii="맑은 고딕" w:hAnsi="맑은 고딕" w:eastAsia="맑은 고딕"/>
          <w:b w:val="0"/>
          <w:sz w:val="20"/>
        </w:rPr>
        <w:t>자문위원회 : 수행사 내부 고문 제도 + 필요시 외부 자문 구성·운영. 전문가 자문 워크숍 시 발주처도 참여.</w:t>
      </w:r>
    </w:p>
    <w:p>
      <w:pPr>
        <w:spacing w:after="40"/>
        <w:ind w:left="227"/>
      </w:pPr>
      <w:r>
        <w:rPr>
          <w:rFonts w:ascii="맑은 고딕" w:hAnsi="맑은 고딕" w:eastAsia="맑은 고딕"/>
          <w:b/>
          <w:color w:val="2E5C8A"/>
          <w:sz w:val="20"/>
        </w:rPr>
        <w:t xml:space="preserve">· </w:t>
      </w:r>
      <w:r>
        <w:rPr>
          <w:rFonts w:ascii="맑은 고딕" w:hAnsi="맑은 고딕" w:eastAsia="맑은 고딕"/>
          <w:b w:val="0"/>
          <w:sz w:val="20"/>
        </w:rPr>
        <w:t>다음 주 : 협업 착수(협업툴 개설 등).</w:t>
      </w:r>
    </w:p>
    <w:p>
      <w:pPr>
        <w:spacing w:before="280" w:after="80"/>
      </w:pPr>
      <w:r>
        <w:rPr>
          <w:rFonts w:ascii="맑은 고딕" w:hAnsi="맑은 고딕" w:eastAsia="맑은 고딕"/>
          <w:b/>
          <w:color w:val="FFFFFF"/>
          <w:sz w:val="22"/>
          <w:shd w:val="clear" w:color="auto" w:fill="1F3355"/>
        </w:rPr>
        <w:t xml:space="preserve"> 9 </w:t>
      </w:r>
      <w:r>
        <w:rPr>
          <w:rFonts w:ascii="맑은 고딕" w:hAnsi="맑은 고딕" w:eastAsia="맑은 고딕"/>
          <w:b/>
          <w:color w:val="1F3355"/>
          <w:sz w:val="26"/>
        </w:rPr>
        <w:t xml:space="preserve">  액션 아이템 (To-Do)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020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주체</w:t>
            </w:r>
          </w:p>
        </w:tc>
        <w:tc>
          <w:tcPr>
            <w:tcW w:type="dxa" w:w="6633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1701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기한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/>
                <w:color w:val="1F3355"/>
                <w:sz w:val="19"/>
              </w:rPr>
              <w:t>수행사</w:t>
            </w:r>
          </w:p>
        </w:tc>
        <w:tc>
          <w:tcPr>
            <w:tcW w:type="dxa" w:w="663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도출 방법론(세분류 전환) 의사결정용 근거자료 — 타당성·우려 해소·능력단위 예시 화면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착수보고회(7/8)</w:t>
            </w:r>
          </w:p>
        </w:tc>
      </w:tr>
      <w:tr>
        <w:tc>
          <w:tcPr>
            <w:tcW w:type="dxa" w:w="1020"/>
            <w:shd w:val="clear" w:color="auto" w:fill="F2F6FB"/>
          </w:tcPr>
          <w:p>
            <w:r/>
            <w:r>
              <w:rPr>
                <w:rFonts w:ascii="맑은 고딕" w:hAnsi="맑은 고딕" w:eastAsia="맑은 고딕"/>
                <w:b/>
                <w:color w:val="1F3355"/>
                <w:sz w:val="19"/>
              </w:rPr>
              <w:t>수행사</w:t>
            </w:r>
          </w:p>
        </w:tc>
        <w:tc>
          <w:tcPr>
            <w:tcW w:type="dxa" w:w="6633"/>
            <w:shd w:val="clear" w:color="auto" w:fill="F2F6FB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AX 현실적 수요조사 방안(기업 맞춤형) + 초·중·고급 단계화 + 리터러시 중복 회피</w:t>
            </w:r>
          </w:p>
        </w:tc>
        <w:tc>
          <w:tcPr>
            <w:tcW w:type="dxa" w:w="1701"/>
            <w:shd w:val="clear" w:color="auto" w:fill="F2F6FB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착수보고회(7/8)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/>
                <w:color w:val="1F3355"/>
                <w:sz w:val="19"/>
              </w:rPr>
              <w:t>수행사</w:t>
            </w:r>
          </w:p>
        </w:tc>
        <w:tc>
          <w:tcPr>
            <w:tcW w:type="dxa" w:w="663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분류기준·응답률·조사체계·일정(5개월)·미활용 과목·결측치 처리 보완안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착수보고회(7/8)</w:t>
            </w:r>
          </w:p>
        </w:tc>
      </w:tr>
      <w:tr>
        <w:tc>
          <w:tcPr>
            <w:tcW w:type="dxa" w:w="1020"/>
            <w:shd w:val="clear" w:color="auto" w:fill="F2F6FB"/>
          </w:tcPr>
          <w:p>
            <w:r/>
            <w:r>
              <w:rPr>
                <w:rFonts w:ascii="맑은 고딕" w:hAnsi="맑은 고딕" w:eastAsia="맑은 고딕"/>
                <w:b/>
                <w:color w:val="1F3355"/>
                <w:sz w:val="19"/>
              </w:rPr>
              <w:t>수행사</w:t>
            </w:r>
          </w:p>
        </w:tc>
        <w:tc>
          <w:tcPr>
            <w:tcW w:type="dxa" w:w="6633"/>
            <w:shd w:val="clear" w:color="auto" w:fill="F2F6FB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MASTER DB 1차 업데이트 수행</w:t>
            </w:r>
          </w:p>
        </w:tc>
        <w:tc>
          <w:tcPr>
            <w:tcW w:type="dxa" w:w="1701"/>
            <w:shd w:val="clear" w:color="auto" w:fill="F2F6FB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1차 단계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/>
                <w:color w:val="1F3355"/>
                <w:sz w:val="19"/>
              </w:rPr>
              <w:t>수행사</w:t>
            </w:r>
          </w:p>
        </w:tc>
        <w:tc>
          <w:tcPr>
            <w:tcW w:type="dxa" w:w="663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일정 세부 계획(WBS) 제출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다음주 중</w:t>
            </w:r>
          </w:p>
        </w:tc>
      </w:tr>
      <w:tr>
        <w:tc>
          <w:tcPr>
            <w:tcW w:type="dxa" w:w="1020"/>
            <w:shd w:val="clear" w:color="auto" w:fill="F2F6FB"/>
          </w:tcPr>
          <w:p>
            <w:r/>
            <w:r>
              <w:rPr>
                <w:rFonts w:ascii="맑은 고딕" w:hAnsi="맑은 고딕" w:eastAsia="맑은 고딕"/>
                <w:b/>
                <w:color w:val="1F3355"/>
                <w:sz w:val="19"/>
              </w:rPr>
              <w:t>수행사</w:t>
            </w:r>
          </w:p>
        </w:tc>
        <w:tc>
          <w:tcPr>
            <w:tcW w:type="dxa" w:w="6633"/>
            <w:shd w:val="clear" w:color="auto" w:fill="F2F6FB"/>
          </w:tcPr>
          <w:p>
            <w:r/>
            <w:r>
              <w:rPr>
                <w:rFonts w:ascii="맑은 고딕" w:hAnsi="맑은 고딕" w:eastAsia="맑은 고딕"/>
                <w:sz w:val="19"/>
              </w:rPr>
              <w:t>「AI 활용 이력 명세서」 양식 운영 시작(중간 정리→최종 제출)</w:t>
            </w:r>
          </w:p>
        </w:tc>
        <w:tc>
          <w:tcPr>
            <w:tcW w:type="dxa" w:w="1701"/>
            <w:shd w:val="clear" w:color="auto" w:fill="F2F6FB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연구 전 기간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/>
                <w:color w:val="1F3355"/>
                <w:sz w:val="19"/>
              </w:rPr>
              <w:t>발주처</w:t>
            </w:r>
          </w:p>
        </w:tc>
        <w:tc>
          <w:tcPr>
            <w:tcW w:type="dxa" w:w="663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DB·설문 표본·훈련/지역 데이터 제공, 협업툴(Flow) 계정 발급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착수보고회 이전</w:t>
            </w:r>
          </w:p>
        </w:tc>
      </w:tr>
      <w:tr>
        <w:tc>
          <w:tcPr>
            <w:tcW w:type="dxa" w:w="1020"/>
            <w:shd w:val="clear" w:color="auto" w:fill="F2F6FB"/>
          </w:tcPr>
          <w:p>
            <w:r/>
            <w:r>
              <w:rPr>
                <w:rFonts w:ascii="맑은 고딕" w:hAnsi="맑은 고딕" w:eastAsia="맑은 고딕"/>
                <w:b/>
                <w:color w:val="1F3355"/>
                <w:sz w:val="19"/>
              </w:rPr>
              <w:t>양측</w:t>
            </w:r>
          </w:p>
        </w:tc>
        <w:tc>
          <w:tcPr>
            <w:tcW w:type="dxa" w:w="6633"/>
            <w:shd w:val="clear" w:color="auto" w:fill="F2F6FB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설문 표본 항목(연령·소속 등) 협의</w:t>
            </w:r>
          </w:p>
        </w:tc>
        <w:tc>
          <w:tcPr>
            <w:tcW w:type="dxa" w:w="1701"/>
            <w:shd w:val="clear" w:color="auto" w:fill="F2F6FB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착수 전</w:t>
            </w:r>
          </w:p>
        </w:tc>
      </w:tr>
    </w:tbl>
    <w:p>
      <w:pPr>
        <w:spacing w:after="40"/>
      </w:pPr>
    </w:p>
    <w:p>
      <w:pPr>
        <w:jc w:val="right"/>
      </w:pPr>
      <w:r>
        <w:rPr>
          <w:rFonts w:ascii="맑은 고딕" w:hAnsi="맑은 고딕" w:eastAsia="맑은 고딕"/>
          <w:color w:val="555555"/>
          <w:sz w:val="16"/>
        </w:rPr>
        <w:t>작성 : VRIN AI Hub  /  근거 : 기술협상 녹취록(2026.06.17, 약 1:13) + 제안서 협상 결과 통보서(성립)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