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5147" w14:textId="77777777" w:rsidR="00992ED7" w:rsidRDefault="00000000">
      <w:pPr>
        <w:spacing w:after="160"/>
        <w:jc w:val="center"/>
      </w:pPr>
      <w:r>
        <w:rPr>
          <w:b/>
          <w:bCs/>
          <w:sz w:val="26"/>
          <w:szCs w:val="26"/>
        </w:rPr>
        <w:t>[과제 2] 일하는 복지: 노사관계 관점의 진단과 한국형 실무 대안</w:t>
      </w:r>
    </w:p>
    <w:p w14:paraId="70F05148" w14:textId="77777777" w:rsidR="00992ED7" w:rsidRDefault="00000000">
      <w:pPr>
        <w:spacing w:after="80"/>
        <w:jc w:val="both"/>
      </w:pPr>
      <w:r>
        <w:rPr>
          <w:b/>
          <w:bCs/>
        </w:rPr>
        <w:t xml:space="preserve">1. 일하는 복지 논의의 확산 </w:t>
      </w:r>
      <w:proofErr w:type="gramStart"/>
      <w:r>
        <w:rPr>
          <w:b/>
          <w:bCs/>
        </w:rPr>
        <w:t>배경</w:t>
      </w:r>
      <w:r>
        <w:t xml:space="preserve">  한국의</w:t>
      </w:r>
      <w:proofErr w:type="gramEnd"/>
      <w:r>
        <w:t xml:space="preserve"> 사회복지지출은 GDP 대비 약 15%로 OECD 38개국 중 34위에 머물며, 그중 적극적 노동시장정책(ALMP) 비중은 더 낮다. 저출산·고령화 가속과 노동시장 이중구조 심화로 ‘</w:t>
      </w:r>
      <w:proofErr w:type="spellStart"/>
      <w:r>
        <w:t>현금성</w:t>
      </w:r>
      <w:proofErr w:type="spellEnd"/>
      <w:r>
        <w:t xml:space="preserve"> 지원’ 중심의 복지 모델은 한계에 도달했고, 복지를 노동시장 재진입과 인적자본 형성의 ‘투자’로 재정의하는 일하는 복지 논의가 빠르게 확산되고 있다.</w:t>
      </w:r>
    </w:p>
    <w:p w14:paraId="70F05149" w14:textId="77777777" w:rsidR="00992ED7" w:rsidRDefault="00000000">
      <w:pPr>
        <w:spacing w:after="80"/>
        <w:jc w:val="both"/>
      </w:pPr>
      <w:r>
        <w:rPr>
          <w:b/>
          <w:bCs/>
        </w:rPr>
        <w:t xml:space="preserve">2. 복지는 비용인가, </w:t>
      </w:r>
      <w:proofErr w:type="gramStart"/>
      <w:r>
        <w:rPr>
          <w:b/>
          <w:bCs/>
        </w:rPr>
        <w:t>투자인가</w:t>
      </w:r>
      <w:r>
        <w:t xml:space="preserve">  노동계는</w:t>
      </w:r>
      <w:proofErr w:type="gramEnd"/>
      <w:r>
        <w:t xml:space="preserve"> 복지를 ‘권리이자 사회투자’로 보고 보편적 사회안전망 강화를 주장하며, 경영계는 ‘인건비·세부담 증가에 따른 경쟁력 약화’</w:t>
      </w:r>
      <w:proofErr w:type="spellStart"/>
      <w:r>
        <w:t>를</w:t>
      </w:r>
      <w:proofErr w:type="spellEnd"/>
      <w:r>
        <w:t xml:space="preserve"> 우려해 선별적 지원을 선호한다. 그러나 직업훈련·재취업·돌봄 인프라가 인적자본 형성과 노동공급 확대를 통해 잠재성장률에 기여한다는 점에서, 복지는 분명한 ‘사회투자’다. 쟁점은 ‘투자 여부’가 아니라 ‘어디에 어떻게 투자할 것인가’다.</w:t>
      </w:r>
    </w:p>
    <w:p w14:paraId="70F0514A" w14:textId="77777777" w:rsidR="00992ED7" w:rsidRDefault="00000000">
      <w:pPr>
        <w:spacing w:after="80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현금성</w:t>
      </w:r>
      <w:proofErr w:type="spellEnd"/>
      <w:r>
        <w:rPr>
          <w:b/>
          <w:bCs/>
        </w:rPr>
        <w:t xml:space="preserve"> 지원과 직업훈련·일자리의 </w:t>
      </w:r>
      <w:proofErr w:type="gramStart"/>
      <w:r>
        <w:rPr>
          <w:b/>
          <w:bCs/>
        </w:rPr>
        <w:t>우선순위</w:t>
      </w:r>
      <w:r>
        <w:t xml:space="preserve">  </w:t>
      </w:r>
      <w:proofErr w:type="spellStart"/>
      <w:r>
        <w:t>현금성</w:t>
      </w:r>
      <w:proofErr w:type="spellEnd"/>
      <w:proofErr w:type="gramEnd"/>
      <w:r>
        <w:t xml:space="preserve"> 지원은 최저생계 보장과 사회적 충격 흡수에 한정하고, 정책 자원의 우선순위는 직업훈련·일자리 연계에 두어야 한다. 직무역량 진단, 맞춤형 훈련, 자격 인증, 일경험을 패키지로 묶어 ‘직무역량 형성-이동-재진입’의 평생경로를 제공할 때, 복지는 노동시장 재진입의 디딤돌로 작동한다. 현금만 늘리는 방식은 이중구조를 그대로 둔 채 의존성만 키울 위험이 있다.</w:t>
      </w:r>
    </w:p>
    <w:p w14:paraId="70F0514B" w14:textId="77777777" w:rsidR="00992ED7" w:rsidRDefault="00000000">
      <w:pPr>
        <w:spacing w:after="80"/>
        <w:jc w:val="both"/>
      </w:pPr>
      <w:r>
        <w:rPr>
          <w:b/>
          <w:bCs/>
        </w:rPr>
        <w:t xml:space="preserve">4. 고용보험의 방향: 생계보장에서 재취업·직무전환 </w:t>
      </w:r>
      <w:proofErr w:type="gramStart"/>
      <w:r>
        <w:rPr>
          <w:b/>
          <w:bCs/>
        </w:rPr>
        <w:t>중심으로</w:t>
      </w:r>
      <w:r>
        <w:t xml:space="preserve">  한국</w:t>
      </w:r>
      <w:proofErr w:type="gramEnd"/>
      <w:r>
        <w:t xml:space="preserve"> 실업급여는 최대 270일·평균임금 50~60% 수준으로 덴마크(2년·70~90%)에 비해 협소하다. 단순 인상이 아니라 구직 활동·훈련 참여 의무와 결합된 ‘사회투자형 급여’로 설계할 때 도덕적 해이도 통제 가능하다. 고용보험은 생계보장에 머무르지 않고 재취업·직무전환을 견인하는 인적자본 투자 제도로 재편되어야 하며, 플랫폼·프리랜서 등 사각지대로의 적용 확대가 병행되어야 한다.</w:t>
      </w:r>
    </w:p>
    <w:p w14:paraId="70F0514C" w14:textId="77777777" w:rsidR="00992ED7" w:rsidRDefault="00000000">
      <w:pPr>
        <w:spacing w:after="80"/>
        <w:jc w:val="both"/>
      </w:pPr>
      <w:r>
        <w:rPr>
          <w:b/>
          <w:bCs/>
        </w:rPr>
        <w:t xml:space="preserve">5. 북유럽·독일 모델의 한국 적용 </w:t>
      </w:r>
      <w:proofErr w:type="gramStart"/>
      <w:r>
        <w:rPr>
          <w:b/>
          <w:bCs/>
        </w:rPr>
        <w:t>가능성</w:t>
      </w:r>
      <w:r>
        <w:t xml:space="preserve">  덴마크</w:t>
      </w:r>
      <w:proofErr w:type="gramEnd"/>
      <w:r>
        <w:t xml:space="preserve"> </w:t>
      </w:r>
      <w:proofErr w:type="spellStart"/>
      <w:r>
        <w:t>플렉시큐리티는</w:t>
      </w:r>
      <w:proofErr w:type="spellEnd"/>
      <w:r>
        <w:t xml:space="preserve"> 강력한 사회안전망과 신뢰 기반 노사관계라는 전제 위에 작동하고, 독일 </w:t>
      </w:r>
      <w:proofErr w:type="spellStart"/>
      <w:r>
        <w:t>하르츠</w:t>
      </w:r>
      <w:proofErr w:type="spellEnd"/>
      <w:r>
        <w:t xml:space="preserve"> 개혁은 노동시장 이중구조 심화라는 부작용을 남겼다. 두 모델 모두 ‘직접 이식’의 대상이 아니라 ‘재구성’의 참고지표다. 한국형 일하는 복지는 ①직무가치 기반 보상·이동을 가능케 하는 노동시장 인프라, ②훈련·재취업 의무와 결합된 실업급여 강화, ③직업훈련의 사회권화를 세 축으로 패키지화해야 한다.</w:t>
      </w:r>
    </w:p>
    <w:p w14:paraId="70F0514D" w14:textId="3391BFB6" w:rsidR="00992ED7" w:rsidRDefault="00000000">
      <w:pPr>
        <w:spacing w:after="80"/>
        <w:jc w:val="both"/>
      </w:pPr>
      <w:r>
        <w:rPr>
          <w:b/>
          <w:bCs/>
        </w:rPr>
        <w:t xml:space="preserve">6. </w:t>
      </w:r>
      <w:proofErr w:type="gramStart"/>
      <w:r>
        <w:rPr>
          <w:b/>
          <w:bCs/>
        </w:rPr>
        <w:t>제언</w:t>
      </w:r>
      <w:r>
        <w:t xml:space="preserve">  한국형</w:t>
      </w:r>
      <w:proofErr w:type="gramEnd"/>
      <w:r>
        <w:t xml:space="preserve"> 일하는 복지의 성패는 ‘얼마나 더 주느냐’가 아니라 ‘어떤 직무로 다시 일하게 만드느냐’</w:t>
      </w:r>
      <w:proofErr w:type="spellStart"/>
      <w:r>
        <w:t>에</w:t>
      </w:r>
      <w:proofErr w:type="spellEnd"/>
      <w:r>
        <w:t xml:space="preserve"> 달려 있다. 이를 위해 노동계는 </w:t>
      </w:r>
      <w:proofErr w:type="spellStart"/>
      <w:r>
        <w:t>호봉제</w:t>
      </w:r>
      <w:proofErr w:type="spellEnd"/>
      <w:r>
        <w:t>·정년 일률 연장에 대한 집착을 완화하고 직무가치 기반 보상을 수용해야 하며, 경영계는 정규·비정규, 청년·</w:t>
      </w:r>
      <w:proofErr w:type="spellStart"/>
      <w:r>
        <w:t>중장년을</w:t>
      </w:r>
      <w:proofErr w:type="spellEnd"/>
      <w:r>
        <w:t xml:space="preserve"> 가르지 않는 ‘직무 기준’ 채용·평가·보상의 투명성을 책임져야 한다. 정부는 직무평가·자격체계의 표준 인프라와 사회투자형 ALMP 재원을 확보해야 한다. </w:t>
      </w:r>
    </w:p>
    <w:sectPr w:rsidR="00992ED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A7954"/>
    <w:multiLevelType w:val="hybridMultilevel"/>
    <w:tmpl w:val="57A6D7DC"/>
    <w:lvl w:ilvl="0" w:tplc="D318EB6A">
      <w:start w:val="1"/>
      <w:numFmt w:val="bullet"/>
      <w:lvlText w:val="●"/>
      <w:lvlJc w:val="left"/>
      <w:pPr>
        <w:ind w:left="720" w:hanging="360"/>
      </w:pPr>
    </w:lvl>
    <w:lvl w:ilvl="1" w:tplc="C0AE6C16">
      <w:start w:val="1"/>
      <w:numFmt w:val="bullet"/>
      <w:lvlText w:val="○"/>
      <w:lvlJc w:val="left"/>
      <w:pPr>
        <w:ind w:left="1440" w:hanging="360"/>
      </w:pPr>
    </w:lvl>
    <w:lvl w:ilvl="2" w:tplc="FA1A3A94">
      <w:start w:val="1"/>
      <w:numFmt w:val="bullet"/>
      <w:lvlText w:val="■"/>
      <w:lvlJc w:val="left"/>
      <w:pPr>
        <w:ind w:left="2160" w:hanging="360"/>
      </w:pPr>
    </w:lvl>
    <w:lvl w:ilvl="3" w:tplc="A692D4A8">
      <w:start w:val="1"/>
      <w:numFmt w:val="bullet"/>
      <w:lvlText w:val="●"/>
      <w:lvlJc w:val="left"/>
      <w:pPr>
        <w:ind w:left="2880" w:hanging="360"/>
      </w:pPr>
    </w:lvl>
    <w:lvl w:ilvl="4" w:tplc="B3CC3B14">
      <w:start w:val="1"/>
      <w:numFmt w:val="bullet"/>
      <w:lvlText w:val="○"/>
      <w:lvlJc w:val="left"/>
      <w:pPr>
        <w:ind w:left="3600" w:hanging="360"/>
      </w:pPr>
    </w:lvl>
    <w:lvl w:ilvl="5" w:tplc="CA48B428">
      <w:start w:val="1"/>
      <w:numFmt w:val="bullet"/>
      <w:lvlText w:val="■"/>
      <w:lvlJc w:val="left"/>
      <w:pPr>
        <w:ind w:left="4320" w:hanging="360"/>
      </w:pPr>
    </w:lvl>
    <w:lvl w:ilvl="6" w:tplc="D354EB2C">
      <w:start w:val="1"/>
      <w:numFmt w:val="bullet"/>
      <w:lvlText w:val="●"/>
      <w:lvlJc w:val="left"/>
      <w:pPr>
        <w:ind w:left="5040" w:hanging="360"/>
      </w:pPr>
    </w:lvl>
    <w:lvl w:ilvl="7" w:tplc="A1BC15AC">
      <w:start w:val="1"/>
      <w:numFmt w:val="bullet"/>
      <w:lvlText w:val="●"/>
      <w:lvlJc w:val="left"/>
      <w:pPr>
        <w:ind w:left="5760" w:hanging="360"/>
      </w:pPr>
    </w:lvl>
    <w:lvl w:ilvl="8" w:tplc="B512EA76">
      <w:start w:val="1"/>
      <w:numFmt w:val="bullet"/>
      <w:lvlText w:val="●"/>
      <w:lvlJc w:val="left"/>
      <w:pPr>
        <w:ind w:left="6480" w:hanging="360"/>
      </w:pPr>
    </w:lvl>
  </w:abstractNum>
  <w:num w:numId="1" w16cid:durableId="1287617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ED7"/>
    <w:rsid w:val="003A608A"/>
    <w:rsid w:val="006214AD"/>
    <w:rsid w:val="00992ED7"/>
    <w:rsid w:val="009C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5147"/>
  <w15:docId w15:val="{EE656923-F8F8-449D-814B-7302D55F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바탕체" w:cs="바탕체"/>
        <w:sz w:val="22"/>
        <w:szCs w:val="22"/>
        <w:lang w:val="en-US" w:eastAsia="ko-KR" w:bidi="ar-SA"/>
      </w:rPr>
    </w:rPrDefault>
    <w:pPrDefault>
      <w:pPr>
        <w:spacing w:line="38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1135</Characters>
  <Application>Microsoft Office Word</Application>
  <DocSecurity>0</DocSecurity>
  <Lines>30</Lines>
  <Paragraphs>8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석주 이</cp:lastModifiedBy>
  <cp:revision>3</cp:revision>
  <cp:lastPrinted>2026-05-28T08:18:00Z</cp:lastPrinted>
  <dcterms:created xsi:type="dcterms:W3CDTF">2026-05-28T08:08:00Z</dcterms:created>
  <dcterms:modified xsi:type="dcterms:W3CDTF">2026-05-28T08:19:00Z</dcterms:modified>
</cp:coreProperties>
</file>