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34"/>
          <w:szCs w:val="34"/>
        </w:rPr>
        <w:t xml:space="preserve">개인성과 향상을 위한 성과평가 제도 도입 방안</w:t>
      </w:r>
    </w:p>
    <w:p>
      <w:pPr>
        <w:spacing w:after="200"/>
        <w:jc w:val="center"/>
      </w:pPr>
      <w:r>
        <w:rPr>
          <w:rFonts w:ascii="맑은 고딕" w:cs="맑은 고딕" w:eastAsia="맑은 고딕" w:hAnsi="맑은 고딕"/>
          <w:sz w:val="22"/>
          <w:szCs w:val="22"/>
        </w:rPr>
        <w:t xml:space="preserve">— 글로벌 선도기업의 평가-보상 분리와 직무중심 HR 관점의 결합 —</w:t>
      </w:r>
    </w:p>
    <w:p>
      <w:pPr>
        <w:spacing w:after="260"/>
        <w:jc w:val="right"/>
      </w:pPr>
      <w:r>
        <w:rPr>
          <w:rFonts w:ascii="바탕" w:cs="바탕" w:eastAsia="바탕" w:hAnsi="바탕"/>
          <w:sz w:val="20"/>
          <w:szCs w:val="20"/>
        </w:rPr>
        <w:t xml:space="preserve">건국대학교 경영전문대학원 인사조직 전공  /  성과평가 및 보상  /  2026-1학기  /  이석주</w:t>
      </w:r>
    </w:p>
    <w:p>
      <w:pPr>
        <w:spacing w:after="160" w:before="320" w:line="320" w:lineRule="auto"/>
      </w:pPr>
      <w:r>
        <w:rPr>
          <w:rFonts w:ascii="맑은 고딕" w:cs="맑은 고딕" w:eastAsia="맑은 고딕" w:hAnsi="맑은 고딕"/>
          <w:b/>
          <w:bCs/>
          <w:sz w:val="28"/>
          <w:szCs w:val="28"/>
        </w:rPr>
        <w:t xml:space="preserve">1. 서론: 문제 제기와 보고서의 논지</w:t>
      </w:r>
    </w:p>
    <w:p>
      <w:pPr>
        <w:spacing w:after="80" w:line="384" w:lineRule="auto"/>
        <w:ind w:firstLine="200"/>
        <w:jc w:val="both"/>
      </w:pPr>
      <w:r>
        <w:rPr>
          <w:rFonts w:ascii="바탕" w:cs="바탕" w:eastAsia="바탕" w:hAnsi="바탕"/>
          <w:sz w:val="22"/>
          <w:szCs w:val="22"/>
        </w:rPr>
        <w:t xml:space="preserve">성과평가의 본질은 등급의 산출이 아니라 개인의 기여를 가시화하고 성장으로 전환하는 절차에 있다. 조직 성과는 개인 성과의 총합이며, 개인의 목표 합의·역량 개발·동기 부여가 작동하지 않는 한 조직 차원의 KPI 관리는 사후적 통제에 머무른다. 한태영(2010)이 제시한 인사평가 효과성의 네 차원—공정성, 유용성, 만족도, 정확성 인식—은 모두 개인 수준의 경험에서 형성되며, 평가제도의 설계는 이 네 차원을 동시적으로 충족시키는 구조를 지향해야 한다.</w:t>
      </w:r>
    </w:p>
    <w:p>
      <w:pPr>
        <w:spacing w:after="80" w:line="384" w:lineRule="auto"/>
        <w:ind w:firstLine="200"/>
        <w:jc w:val="both"/>
      </w:pPr>
      <w:r>
        <w:rPr>
          <w:rFonts w:ascii="바탕" w:cs="바탕" w:eastAsia="바탕" w:hAnsi="바탕"/>
          <w:sz w:val="22"/>
          <w:szCs w:val="22"/>
        </w:rPr>
        <w:t xml:space="preserve">개인성과 관리의 이론적 토대는 목표설정 이론과 자기결정성 이론의 두 흐름에서 형성되어 왔다. Locke와 Latham(2002)의 목표설정 이론은 구체적이고 도전적인 목표가 모호한 목표보다 일관되게 높은 성과를 유도한다는 명제를 통해 OKR과 KPI의 학술적 기반을 이루며, Deci와 Ryan(2000)의 자기결정성 이론은 자율성·유능성·관계성이라는 심리 욕구의 충족이 내재적 동기를 작동시킨다는 점에서 통제형 평가가 아닌 성장형 평가가 동기 부여에 더 적합함을 시사한다. 본 보고서가 채택하는 평가 설계의 이론적 정합성은 이 두 흐름의 교차점에서 확보된다.</w:t>
      </w:r>
    </w:p>
    <w:p>
      <w:pPr>
        <w:spacing w:after="80" w:line="384" w:lineRule="auto"/>
        <w:ind w:firstLine="200"/>
        <w:jc w:val="both"/>
      </w:pPr>
      <w:r>
        <w:rPr>
          <w:rFonts w:ascii="바탕" w:cs="바탕" w:eastAsia="바탕" w:hAnsi="바탕"/>
          <w:sz w:val="22"/>
          <w:szCs w:val="22"/>
        </w:rPr>
        <w:t xml:space="preserve">최근 십수 년간 글로벌 선도기업의 평가제도는 동일한 방향으로 수렴해 왔다. Adobe는 2012년 연말평가를 폐지하며 Check-in을 도입하였고, Microsoft는 2013년 스택랭킹을 폐지하고 Connects를 운영하기 시작하였다. Google은 2022년 GRAD를 도입하였고, 2026년 보상 사이클부터는 고성과자에 대한 차등을 강화하였다. 이러한 변화의 공통 축은 평가 빈도의 증가, 평가-보상 대화의 분리, 신뢰장치의 강화—캘리브레이션 회의, 평가자 훈련, 이의제기 절차—로 요약된다(윤동열, 2026).</w:t>
      </w:r>
    </w:p>
    <w:p>
      <w:pPr>
        <w:spacing w:after="80" w:line="384" w:lineRule="auto"/>
        <w:ind w:firstLine="200"/>
        <w:jc w:val="both"/>
      </w:pPr>
      <w:r>
        <w:rPr>
          <w:rFonts w:ascii="바탕" w:cs="바탕" w:eastAsia="바탕" w:hAnsi="바탕"/>
          <w:sz w:val="22"/>
          <w:szCs w:val="22"/>
        </w:rPr>
        <w:t xml:space="preserve">한국 기업의 평가제도는 이러한 흐름에서 일정한 거리를 두고 있다. 평가 결과가 보상 결정에 곧바로 연동되는 일체화 구조, 직무 책임이 모호한 상태에서 진행되는 평가, 그리고 연공 보정과 등급 평준화 사이에서의 작동 불능이 그 특징이다. Z세대 직장인의 42%가 ‘명확한 피드백을 주는 상사’를 가장 이상적인 리더로 꼽았다는 조사(잡코리아, 2024)는 한국형 평가제도가 더 이상 연 1회 등급 통보 방식으로 작동할 수 없음을 보여준다.</w:t>
      </w:r>
    </w:p>
    <w:p>
      <w:pPr>
        <w:spacing w:after="80" w:line="384" w:lineRule="auto"/>
        <w:jc w:val="both"/>
      </w:pPr>
      <w:r>
        <w:rPr>
          <w:rFonts w:ascii="바탕" w:cs="바탕" w:eastAsia="바탕" w:hAnsi="바탕"/>
          <w:sz w:val="22"/>
          <w:szCs w:val="22"/>
        </w:rPr>
        <w:t xml:space="preserve">이러한 진단 위에서 본 보고서는 다음의 논지를 전개한다. </w:t>
      </w:r>
    </w:p>
    <w:p>
      <w:pPr>
        <w:spacing w:after="80" w:line="384" w:lineRule="auto"/>
        <w:jc w:val="both"/>
      </w:pPr>
      <w:r>
        <w:rPr>
          <w:rFonts w:ascii="바탕" w:cs="바탕" w:eastAsia="바탕" w:hAnsi="바탕"/>
          <w:sz w:val="22"/>
          <w:szCs w:val="22"/>
        </w:rPr>
        <w:t xml:space="preserve"> </w:t>
      </w:r>
    </w:p>
    <w:p>
      <w:pPr>
        <w:spacing w:after="60" w:before="60" w:line="360" w:lineRule="auto"/>
        <w:ind w:left="400" w:right="400"/>
        <w:jc w:val="both"/>
      </w:pPr>
      <w:r>
        <w:rPr>
          <w:rFonts w:ascii="바탕" w:cs="바탕" w:eastAsia="바탕" w:hAnsi="바탕"/>
          <w:i/>
          <w:iCs/>
          <w:sz w:val="22"/>
          <w:szCs w:val="22"/>
        </w:rPr>
        <w:t xml:space="preserve">한국 기업의 평가제도가 성장 도구로 작동하기 위해서는 (가) 평가-보상 대화의 의도된 분리, (나) 직무가치에 기반한 보상 결정, (다) 상시 발달 대화의 제도화라는 세 축이 동시에 결합되어야 한다. 이 세 축은 서로를 전제 조건으로 하는 상보적 관계에 있으며, 어느 하나의 도입만으로는 작동하지 않는다.</w:t>
      </w:r>
    </w:p>
    <w:p>
      <w:pPr>
        <w:spacing w:after="80" w:line="384" w:lineRule="auto"/>
        <w:ind w:firstLine="200"/>
        <w:jc w:val="both"/>
      </w:pPr>
      <w:r>
        <w:rPr>
          <w:rFonts w:ascii="바탕" w:cs="바탕" w:eastAsia="바탕" w:hAnsi="바탕"/>
          <w:sz w:val="22"/>
          <w:szCs w:val="22"/>
        </w:rPr>
        <w:t xml:space="preserve">보고서의 구성은 다음과 같다. 2장에서 글로벌 6개사의 평가제도를 목표설정·피드백·평가-보상 결합도·핵심인재 관리의 네 축에서 비교 분석한다. 3장에서 한국 기업 평가의 구조적 한계를 한태영(2010)의 효과성 4차원에 매핑하여 진단한다. 4장에서는 필자가 재직 중인 시앤피컨설팅을 대상으로 직무중심 개인성과 평가 제도를 설계한다. 5장에서 기대효과와 18개월 도입 로드맵을, 6장에서 결론을 제시한다.</w:t>
      </w:r>
    </w:p>
    <w:p>
      <w:pPr>
        <w:spacing w:after="160" w:before="320" w:line="320" w:lineRule="auto"/>
      </w:pPr>
      <w:r>
        <w:rPr>
          <w:rFonts w:ascii="맑은 고딕" w:cs="맑은 고딕" w:eastAsia="맑은 고딕" w:hAnsi="맑은 고딕"/>
          <w:b/>
          <w:bCs/>
          <w:sz w:val="28"/>
          <w:szCs w:val="28"/>
        </w:rPr>
        <w:t xml:space="preserve">2. 글로벌 선도기업의 개인성과 평가: 4축 비교 분석</w:t>
      </w:r>
    </w:p>
    <w:p>
      <w:pPr>
        <w:spacing w:after="80" w:line="384" w:lineRule="auto"/>
        <w:ind w:firstLine="200"/>
        <w:jc w:val="both"/>
      </w:pPr>
      <w:r>
        <w:rPr>
          <w:rFonts w:ascii="바탕" w:cs="바탕" w:eastAsia="바탕" w:hAnsi="바탕"/>
          <w:sz w:val="22"/>
          <w:szCs w:val="22"/>
        </w:rPr>
        <w:t xml:space="preserve">이 장에서는 Google, Microsoft, Adobe, Netflix, Amazon, IBM의 평가제도를 목표설정 체계, 피드백 주기와 방식, 평가-보상 결합도, 핵심인재·저성과자 관리의 네 축에서 비교한다. 비교의 목적은 어느 모델이 우수한가의 판별이 아니라, 각 모델이 어떤 전략적 의도와 인력 구성에서 작동하는가의 식별이다.</w:t>
      </w:r>
    </w:p>
    <w:p>
      <w:pPr>
        <w:spacing w:after="100" w:before="220" w:line="320" w:lineRule="auto"/>
      </w:pPr>
      <w:r>
        <w:rPr>
          <w:rFonts w:ascii="맑은 고딕" w:cs="맑은 고딕" w:eastAsia="맑은 고딕" w:hAnsi="맑은 고딕"/>
          <w:b/>
          <w:bCs/>
          <w:sz w:val="24"/>
          <w:szCs w:val="24"/>
        </w:rPr>
        <w:t xml:space="preserve">2.1 Google: 도전적 목표와 보상 차등의 결합</w:t>
      </w:r>
    </w:p>
    <w:p>
      <w:pPr>
        <w:spacing w:after="80" w:line="384" w:lineRule="auto"/>
        <w:ind w:firstLine="200"/>
        <w:jc w:val="both"/>
      </w:pPr>
      <w:r>
        <w:rPr>
          <w:rFonts w:ascii="바탕" w:cs="바탕" w:eastAsia="바탕" w:hAnsi="바탕"/>
          <w:sz w:val="22"/>
          <w:szCs w:val="22"/>
        </w:rPr>
        <w:t xml:space="preserve">Google은 2022년 Googler Reviews and Development(GRAD)를 도입하여 분기 OKR 점검과 연 1회 종합평가를 결합하였다. 분기 OKR은 회사·팀 목표와 정렬된 개인 4~6개의 야심찬 결과를 설정하며, 0.7 수준의 달성을 적정으로 간주한다는 점에서 ‘성취 가능한 목표’ 위주의 KPI와 구분된다. 2025년 연말 평가와 2026년 보상 사이클부터는 ‘Outstanding Impact’ 등급의 부여 비율을 확대하고 매니저에게 재량 보상 예산을 더 부여하여 고성과자에 대한 차등을 강화하였다(Allwork.Space, 2025). 평가 결정은 동료 평가와 자가평가를 통합한 캘리브레이션 회의를 거치며, 이 회의가 평가자 편향을 보정하는 핵심 신뢰장치로 작동한다.</w:t>
      </w:r>
    </w:p>
    <w:p>
      <w:pPr>
        <w:spacing w:after="100" w:before="220" w:line="320" w:lineRule="auto"/>
      </w:pPr>
      <w:r>
        <w:rPr>
          <w:rFonts w:ascii="맑은 고딕" w:cs="맑은 고딕" w:eastAsia="맑은 고딕" w:hAnsi="맑은 고딕"/>
          <w:b/>
          <w:bCs/>
          <w:sz w:val="24"/>
          <w:szCs w:val="24"/>
        </w:rPr>
        <w:t xml:space="preserve">2.2 Microsoft: 임팩트 진술과 360의 결합</w:t>
      </w:r>
    </w:p>
    <w:p>
      <w:pPr>
        <w:spacing w:after="80" w:line="384" w:lineRule="auto"/>
        <w:ind w:firstLine="200"/>
        <w:jc w:val="both"/>
      </w:pPr>
      <w:r>
        <w:rPr>
          <w:rFonts w:ascii="바탕" w:cs="바탕" w:eastAsia="바탕" w:hAnsi="바탕"/>
          <w:sz w:val="22"/>
          <w:szCs w:val="22"/>
        </w:rPr>
        <w:t xml:space="preserve">Microsoft는 2013년 사티아 나델라 체제 출범과 함께 스택랭킹을 폐지하고 Connects를 도입하였다. Connects는 반기 1회 이상 진행되는 공식 대화로, 구성원이 자신의 임팩트와 학습 영역을 기술하고 매니저는 코칭의 형태로 응답한다. 동료 피드백은 Perspectives라는 비익명 도구를 통해 수시로 수집되며 매니저 평가에 통합된다. 흥미로운 점은 매니저 본인에 대해 ‘모델·코치·케어’의 행동 모델에 기반한 별도 평가가 운영된다는 사실이다. 이는 평가자 역량을 성과관리의 핵심 변수로 인식한 설계로, 본 보고서의 시앤피컨설팅 적용안에도 차용되는 구조이다(Deel, 2024).</w:t>
      </w:r>
    </w:p>
    <w:p>
      <w:pPr>
        <w:spacing w:after="100" w:before="220" w:line="320" w:lineRule="auto"/>
      </w:pPr>
      <w:r>
        <w:rPr>
          <w:rFonts w:ascii="맑은 고딕" w:cs="맑은 고딕" w:eastAsia="맑은 고딕" w:hAnsi="맑은 고딕"/>
          <w:b/>
          <w:bCs/>
          <w:sz w:val="24"/>
          <w:szCs w:val="24"/>
        </w:rPr>
        <w:t xml:space="preserve">2.3 Adobe: 평가-보상 분리의 정전(canonical case)</w:t>
      </w:r>
    </w:p>
    <w:p>
      <w:pPr>
        <w:spacing w:after="80" w:line="384" w:lineRule="auto"/>
        <w:ind w:firstLine="200"/>
        <w:jc w:val="both"/>
      </w:pPr>
      <w:r>
        <w:rPr>
          <w:rFonts w:ascii="바탕" w:cs="바탕" w:eastAsia="바탕" w:hAnsi="바탕"/>
          <w:sz w:val="22"/>
          <w:szCs w:val="22"/>
        </w:rPr>
        <w:t xml:space="preserve">Adobe Check-in은 본 보고서의 논지와 가장 밀접한 사례이다. Adobe는 2012년 연말평가를 폐지하면서 평가 대화와 보상 결정을 명시적으로 분리하였다(Morris, 2014). 성장 대화는 구성원이 필요할 때 소집하며 횟수의 제한이 없는 반면, 보상 결정은 12~1월의 별도 사이클에 매니저가 시장 임금 데이터와 누적 기여를 종합하여 판단한다. 매니저에게는 보상 예산의 결정 권한이 위임되며, 이를 뒷받침하기 위해 시장 임금 정보와 역할별 벤치마크가 함께 제공된다. 분리 도입 이후 자발적 퇴사율이 약 30% 감소하였다는 보고는, 평가의 발달적 기능과 분배적 기능을 같은 대화에서 다루는 구조가 두 기능 모두를 훼손함을 보여주는 실증이다.</w:t>
      </w:r>
    </w:p>
    <w:p>
      <w:pPr>
        <w:spacing w:after="100" w:before="220" w:line="320" w:lineRule="auto"/>
      </w:pPr>
      <w:r>
        <w:rPr>
          <w:rFonts w:ascii="맑은 고딕" w:cs="맑은 고딕" w:eastAsia="맑은 고딕" w:hAnsi="맑은 고딕"/>
          <w:b/>
          <w:bCs/>
          <w:sz w:val="24"/>
          <w:szCs w:val="24"/>
        </w:rPr>
        <w:t xml:space="preserve">2.4 Netflix: 탤런트 밀도 전략의 인사적 구현</w:t>
      </w:r>
    </w:p>
    <w:p>
      <w:pPr>
        <w:spacing w:after="80" w:line="384" w:lineRule="auto"/>
        <w:ind w:firstLine="200"/>
        <w:jc w:val="both"/>
      </w:pPr>
      <w:r>
        <w:rPr>
          <w:rFonts w:ascii="바탕" w:cs="바탕" w:eastAsia="바탕" w:hAnsi="바탕"/>
          <w:sz w:val="22"/>
          <w:szCs w:val="22"/>
        </w:rPr>
        <w:t xml:space="preserve">Netflix는 공식 목표 체계 자체를 두지 않는 극단적 모델이다. 매니저는 ‘이 사람이 비슷한 역할로 떠나려 한다면 붙잡을 것인가’라는 Keeper Test를 통해 구성원의 적합도를 상시 점검하며, 부적합 판단 시에는 후한 퇴직금과 함께 즉시 분리한다. 평가는 Start-Stop-Continue 양식의 360 피드백으로 운영되며, 초기의 익명 방식에서 실명 방식으로 전환되었다. 시장 최상위 수준의 임금과 짧은 재직 안정성이 교환되는 구조이며(Hastings &amp; Meyer, 2020), 한국 기업이 그대로 차용하기는 어렵지만 ‘성과 데이터의 상시 가시화’와 ‘적합도 중심의 인재 관리’라는 원칙은 시사점을 제공한다.</w:t>
      </w:r>
    </w:p>
    <w:p>
      <w:pPr>
        <w:spacing w:after="100" w:before="220" w:line="320" w:lineRule="auto"/>
      </w:pPr>
      <w:r>
        <w:rPr>
          <w:rFonts w:ascii="맑은 고딕" w:cs="맑은 고딕" w:eastAsia="맑은 고딕" w:hAnsi="맑은 고딕"/>
          <w:b/>
          <w:bCs/>
          <w:sz w:val="24"/>
          <w:szCs w:val="24"/>
        </w:rPr>
        <w:t xml:space="preserve">2.5 Amazon: 누적 성과 기술과 리더십 원칙의 결합</w:t>
      </w:r>
    </w:p>
    <w:p>
      <w:pPr>
        <w:spacing w:after="80" w:line="384" w:lineRule="auto"/>
        <w:ind w:firstLine="200"/>
        <w:jc w:val="both"/>
      </w:pPr>
      <w:r>
        <w:rPr>
          <w:rFonts w:ascii="바탕" w:cs="바탕" w:eastAsia="바탕" w:hAnsi="바탕"/>
          <w:sz w:val="22"/>
          <w:szCs w:val="22"/>
        </w:rPr>
        <w:t xml:space="preserve">Amazon은 2024년 Forte 프로세스를 재정비하면서 구성원이 연간 3~5개의 핵심 성과를 기술하도록 요구하고 있다. 동료 피드백, 매니저 평가, 자기평가의 3원 정보가 Overall Value 등급으로 환산되어 연봉·주식 보상에 직결되며, 14개 리더십 원칙에 대한 행동 사례 적합도가 평가의 한 축을 이룬다. 저성과자에 대해서는 URA(Unregretted Attrition) 트랙이 운영되며, 자동 분류 알고리즘이 매니저의 판단을 보조한다. 평가의 누적성·데이터화·고밀도 1:1을 강조하는 모델로, 직무 책임이 명료한 조직에서 작동한다는 전제 조건을 동반한다(Agility Portal, 2026).</w:t>
      </w:r>
    </w:p>
    <w:p>
      <w:pPr>
        <w:spacing w:after="100" w:before="220" w:line="320" w:lineRule="auto"/>
      </w:pPr>
      <w:r>
        <w:rPr>
          <w:rFonts w:ascii="맑은 고딕" w:cs="맑은 고딕" w:eastAsia="맑은 고딕" w:hAnsi="맑은 고딕"/>
          <w:b/>
          <w:bCs/>
          <w:sz w:val="24"/>
          <w:szCs w:val="24"/>
        </w:rPr>
        <w:t xml:space="preserve">2.6 IBM: 5차원 평가와 AI 보조의 결합</w:t>
      </w:r>
    </w:p>
    <w:p>
      <w:pPr>
        <w:spacing w:after="80" w:line="384" w:lineRule="auto"/>
        <w:ind w:firstLine="200"/>
        <w:jc w:val="both"/>
      </w:pPr>
      <w:r>
        <w:rPr>
          <w:rFonts w:ascii="바탕" w:cs="바탕" w:eastAsia="바탕" w:hAnsi="바탕"/>
          <w:sz w:val="22"/>
          <w:szCs w:val="22"/>
        </w:rPr>
        <w:t xml:space="preserve">IBM은 2016년 Checkpoint를 도입하면서 평가 차원을 사업 성과, 고객 성공에의 영향, 혁신, 동료에 대한 책임, 스킬의 다섯 가지로 재정의하였다. 모바일 ACE 앱을 통해 구성원이 동료·매니저·부하로부터 상시 피드백을 요청할 수 있도록 하였으며, 매니저는 분기 1회 이상의 진행도 피드백을 의무적으로 제공한다. Watson 텍스트 분석을 활용하여 피드백 패턴과 평가 편향을 분석하는 등 AI 보조 평가의 선도 사례로 평가되며, 도입 이후 몰입도가 약 20% 상승하였다는 자체 보고가 있다(Workforce.com, 2018).</w:t>
      </w:r>
    </w:p>
    <w:p>
      <w:pPr>
        <w:spacing w:after="100" w:before="220" w:line="320" w:lineRule="auto"/>
      </w:pPr>
      <w:r>
        <w:rPr>
          <w:rFonts w:ascii="맑은 고딕" w:cs="맑은 고딕" w:eastAsia="맑은 고딕" w:hAnsi="맑은 고딕"/>
          <w:b/>
          <w:bCs/>
          <w:sz w:val="24"/>
          <w:szCs w:val="24"/>
        </w:rPr>
        <w:t xml:space="preserve">2.7 비교 분석: 두 군집과 그 함의</w:t>
      </w:r>
    </w:p>
    <w:p>
      <w:pPr>
        <w:spacing w:after="80" w:line="384" w:lineRule="auto"/>
        <w:ind w:firstLine="200"/>
        <w:jc w:val="both"/>
      </w:pPr>
      <w:r>
        <w:rPr>
          <w:rFonts w:ascii="바탕" w:cs="바탕" w:eastAsia="바탕" w:hAnsi="바탕"/>
          <w:sz w:val="22"/>
          <w:szCs w:val="22"/>
        </w:rPr>
        <w:t xml:space="preserve">위 6개사를 평가-보상 결합도 축에서 보면 두 군집이 드러난다. Adobe와 Microsoft는 평가 대화와 보상 결정을 명시적으로 분리한 군집이며, Google·Amazon·Netflix는 평가 결과가 보상에 직접 연동되는 군집이다. IBM은 중간 형태에 위치한다. 흥미로운 점은 분리형 군집이 모두 성장·코칭의 발달적 기능을 평가의 우선 목적으로 선언한 반면, 연동형 군집은 차등 보상을 통한 동기 부여를 핵심 메커니즘으로 설계했다는 사실이다. 두 군집의 효과는 조직의 전략적 의도와 인력 구성에 따라 달리 나타나며, 한국 기업이 차용해야 할 모델은 ‘평가를 통해 무엇을 얻고자 하는가’라는 전략적 질문으로부터 결정된다. 본 보고서는 한국 기업의 평가가 지난 20년간 연동형의 외형을 취하면서도 실질적으로는 어느 군집의 효과도 거두지 못해 왔다는 진단에 기반하여, 분리형 모델을 차용 대상으로 채택한다.</w:t>
      </w:r>
    </w:p>
    <w:p>
      <w:pPr>
        <w:spacing w:after="80" w:before="100" w:line="300" w:lineRule="auto"/>
        <w:jc w:val="left"/>
      </w:pPr>
      <w:r>
        <w:rPr>
          <w:rFonts w:ascii="맑은 고딕" w:cs="맑은 고딕" w:eastAsia="맑은 고딕" w:hAnsi="맑은 고딕"/>
          <w:b/>
          <w:bCs/>
          <w:sz w:val="20"/>
          <w:szCs w:val="20"/>
        </w:rPr>
        <w:t xml:space="preserve">표 1. 글로벌 6개사 개인성과 평가제도의 4축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700"/>
        <w:gridCol w:w="1700"/>
        <w:gridCol w:w="1700"/>
        <w:gridCol w:w="1460"/>
      </w:tblGrid>
      <w:tr>
        <w:trPr>
          <w:tblHeader/>
        </w:trPr>
        <w:tc>
          <w:tcPr>
            <w:tcW w:type="dxa" w:w="11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기업</w:t>
            </w:r>
          </w:p>
        </w:tc>
        <w:tc>
          <w:tcPr>
            <w:tcW w:type="dxa" w:w="17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목표설정 체계</w:t>
            </w:r>
          </w:p>
        </w:tc>
        <w:tc>
          <w:tcPr>
            <w:tcW w:type="dxa" w:w="17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피드백 주기와 방식</w:t>
            </w:r>
          </w:p>
        </w:tc>
        <w:tc>
          <w:tcPr>
            <w:tcW w:type="dxa" w:w="17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평가-보상 결합도</w:t>
            </w:r>
          </w:p>
        </w:tc>
        <w:tc>
          <w:tcPr>
            <w:tcW w:type="dxa" w:w="17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핵심인재·저성과자 관리</w:t>
            </w:r>
          </w:p>
        </w:tc>
        <w:tc>
          <w:tcPr>
            <w:tcW w:type="dxa" w:w="146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특이점</w:t>
            </w:r>
          </w:p>
        </w:tc>
      </w:tr>
      <w:tr>
        <w:tc>
          <w:tcPr>
            <w:tcW w:type="dxa" w:w="11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Google</w:t>
            </w:r>
          </w:p>
          <w:p>
            <w:pPr>
              <w:spacing w:line="280" w:lineRule="auto"/>
              <w:jc w:val="center"/>
            </w:pPr>
            <w:r>
              <w:rPr>
                <w:rFonts w:ascii="바탕" w:cs="바탕" w:eastAsia="바탕" w:hAnsi="바탕"/>
                <w:b w:val="false"/>
                <w:bCs w:val="false"/>
                <w:sz w:val="19"/>
                <w:szCs w:val="19"/>
              </w:rPr>
              <w:t xml:space="preserve">(GRAD, 2022~)</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분기 OKR</w:t>
            </w:r>
          </w:p>
          <w:p>
            <w:pPr>
              <w:spacing w:line="280" w:lineRule="auto"/>
              <w:jc w:val="left"/>
            </w:pPr>
            <w:r>
              <w:rPr>
                <w:rFonts w:ascii="바탕" w:cs="바탕" w:eastAsia="바탕" w:hAnsi="바탕"/>
                <w:b w:val="false"/>
                <w:bCs w:val="false"/>
                <w:sz w:val="19"/>
                <w:szCs w:val="19"/>
              </w:rPr>
              <w:t xml:space="preserve">개인 4~6개</w:t>
            </w:r>
          </w:p>
          <w:p>
            <w:pPr>
              <w:spacing w:line="280" w:lineRule="auto"/>
              <w:jc w:val="left"/>
            </w:pPr>
            <w:r>
              <w:rPr>
                <w:rFonts w:ascii="바탕" w:cs="바탕" w:eastAsia="바탕" w:hAnsi="바탕"/>
                <w:b w:val="false"/>
                <w:bCs w:val="false"/>
                <w:sz w:val="19"/>
                <w:szCs w:val="19"/>
              </w:rPr>
              <w:t xml:space="preserve">0.7 달성 적정</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월간 체크인 +</w:t>
            </w:r>
          </w:p>
          <w:p>
            <w:pPr>
              <w:spacing w:line="280" w:lineRule="auto"/>
              <w:jc w:val="left"/>
            </w:pPr>
            <w:r>
              <w:rPr>
                <w:rFonts w:ascii="바탕" w:cs="바탕" w:eastAsia="바탕" w:hAnsi="바탕"/>
                <w:b w:val="false"/>
                <w:bCs w:val="false"/>
                <w:sz w:val="19"/>
                <w:szCs w:val="19"/>
              </w:rPr>
              <w:t xml:space="preserve">연 1회 종합</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연동형(차등 강화)</w:t>
            </w:r>
          </w:p>
          <w:p>
            <w:pPr>
              <w:spacing w:line="280" w:lineRule="auto"/>
              <w:jc w:val="left"/>
            </w:pPr>
            <w:r>
              <w:rPr>
                <w:rFonts w:ascii="바탕" w:cs="바탕" w:eastAsia="바탕" w:hAnsi="바탕"/>
                <w:b w:val="false"/>
                <w:bCs w:val="false"/>
                <w:sz w:val="19"/>
                <w:szCs w:val="19"/>
              </w:rPr>
              <w:t xml:space="preserve">2026 사이클부터</w:t>
            </w:r>
          </w:p>
          <w:p>
            <w:pPr>
              <w:spacing w:line="280" w:lineRule="auto"/>
              <w:jc w:val="left"/>
            </w:pPr>
            <w:r>
              <w:rPr>
                <w:rFonts w:ascii="바탕" w:cs="바탕" w:eastAsia="바탕" w:hAnsi="바탕"/>
                <w:b w:val="false"/>
                <w:bCs w:val="false"/>
                <w:sz w:val="19"/>
                <w:szCs w:val="19"/>
              </w:rPr>
              <w:t xml:space="preserve">고성과자 보상 확대</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캘리브레이션 회의로</w:t>
            </w:r>
          </w:p>
          <w:p>
            <w:pPr>
              <w:spacing w:line="280" w:lineRule="auto"/>
              <w:jc w:val="left"/>
            </w:pPr>
            <w:r>
              <w:rPr>
                <w:rFonts w:ascii="바탕" w:cs="바탕" w:eastAsia="바탕" w:hAnsi="바탕"/>
                <w:b w:val="false"/>
                <w:bCs w:val="false"/>
                <w:sz w:val="19"/>
                <w:szCs w:val="19"/>
              </w:rPr>
              <w:t xml:space="preserve">등급 조정,</w:t>
            </w:r>
          </w:p>
          <w:p>
            <w:pPr>
              <w:spacing w:line="280" w:lineRule="auto"/>
              <w:jc w:val="left"/>
            </w:pPr>
            <w:r>
              <w:rPr>
                <w:rFonts w:ascii="바탕" w:cs="바탕" w:eastAsia="바탕" w:hAnsi="바탕"/>
                <w:b w:val="false"/>
                <w:bCs w:val="false"/>
                <w:sz w:val="19"/>
                <w:szCs w:val="19"/>
              </w:rPr>
              <w:t xml:space="preserve">매니저 재량 예산</w:t>
            </w:r>
          </w:p>
        </w:tc>
        <w:tc>
          <w:tcPr>
            <w:tcW w:type="dxa" w:w="14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도전적 목표와</w:t>
            </w:r>
          </w:p>
          <w:p>
            <w:pPr>
              <w:spacing w:line="280" w:lineRule="auto"/>
              <w:jc w:val="left"/>
            </w:pPr>
            <w:r>
              <w:rPr>
                <w:rFonts w:ascii="바탕" w:cs="바탕" w:eastAsia="바탕" w:hAnsi="바탕"/>
                <w:b w:val="false"/>
                <w:bCs w:val="false"/>
                <w:sz w:val="19"/>
                <w:szCs w:val="19"/>
              </w:rPr>
              <w:t xml:space="preserve">낮은 달성 기대치</w:t>
            </w:r>
          </w:p>
        </w:tc>
      </w:tr>
      <w:tr>
        <w:tc>
          <w:tcPr>
            <w:tcW w:type="dxa" w:w="11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Microsoft</w:t>
            </w:r>
          </w:p>
          <w:p>
            <w:pPr>
              <w:spacing w:line="280" w:lineRule="auto"/>
              <w:jc w:val="center"/>
            </w:pPr>
            <w:r>
              <w:rPr>
                <w:rFonts w:ascii="바탕" w:cs="바탕" w:eastAsia="바탕" w:hAnsi="바탕"/>
                <w:b w:val="false"/>
                <w:bCs w:val="false"/>
                <w:sz w:val="19"/>
                <w:szCs w:val="19"/>
              </w:rPr>
              <w:t xml:space="preserve">(Connects, 2013~)</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Impact 진술</w:t>
            </w:r>
          </w:p>
          <w:p>
            <w:pPr>
              <w:spacing w:line="280" w:lineRule="auto"/>
              <w:jc w:val="left"/>
            </w:pPr>
            <w:r>
              <w:rPr>
                <w:rFonts w:ascii="바탕" w:cs="바탕" w:eastAsia="바탕" w:hAnsi="바탕"/>
                <w:b w:val="false"/>
                <w:bCs w:val="false"/>
                <w:sz w:val="19"/>
                <w:szCs w:val="19"/>
              </w:rPr>
              <w:t xml:space="preserve">학습·기여·임팩트의</w:t>
            </w:r>
          </w:p>
          <w:p>
            <w:pPr>
              <w:spacing w:line="280" w:lineRule="auto"/>
              <w:jc w:val="left"/>
            </w:pPr>
            <w:r>
              <w:rPr>
                <w:rFonts w:ascii="바탕" w:cs="바탕" w:eastAsia="바탕" w:hAnsi="바탕"/>
                <w:b w:val="false"/>
                <w:bCs w:val="false"/>
                <w:sz w:val="19"/>
                <w:szCs w:val="19"/>
              </w:rPr>
              <w:t xml:space="preserve">3영역 자기기술</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반기 Connect +</w:t>
            </w:r>
          </w:p>
          <w:p>
            <w:pPr>
              <w:spacing w:line="280" w:lineRule="auto"/>
              <w:jc w:val="left"/>
            </w:pPr>
            <w:r>
              <w:rPr>
                <w:rFonts w:ascii="바탕" w:cs="바탕" w:eastAsia="바탕" w:hAnsi="바탕"/>
                <w:b w:val="false"/>
                <w:bCs w:val="false"/>
                <w:sz w:val="19"/>
                <w:szCs w:val="19"/>
              </w:rPr>
              <w:t xml:space="preserve">수시 Perspectives</w:t>
            </w:r>
          </w:p>
          <w:p>
            <w:pPr>
              <w:spacing w:line="280" w:lineRule="auto"/>
              <w:jc w:val="left"/>
            </w:pPr>
            <w:r>
              <w:rPr>
                <w:rFonts w:ascii="바탕" w:cs="바탕" w:eastAsia="바탕" w:hAnsi="바탕"/>
                <w:b w:val="false"/>
                <w:bCs w:val="false"/>
                <w:sz w:val="19"/>
                <w:szCs w:val="19"/>
              </w:rPr>
              <w:t xml:space="preserve">(비익명 360)</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부분 분리형</w:t>
            </w:r>
          </w:p>
          <w:p>
            <w:pPr>
              <w:spacing w:line="280" w:lineRule="auto"/>
              <w:jc w:val="left"/>
            </w:pPr>
            <w:r>
              <w:rPr>
                <w:rFonts w:ascii="바탕" w:cs="바탕" w:eastAsia="바탕" w:hAnsi="바탕"/>
                <w:b w:val="false"/>
                <w:bCs w:val="false"/>
                <w:sz w:val="19"/>
                <w:szCs w:val="19"/>
              </w:rPr>
              <w:t xml:space="preserve">행동·임팩트 중심</w:t>
            </w:r>
          </w:p>
          <w:p>
            <w:pPr>
              <w:spacing w:line="280" w:lineRule="auto"/>
              <w:jc w:val="left"/>
            </w:pPr>
            <w:r>
              <w:rPr>
                <w:rFonts w:ascii="바탕" w:cs="바탕" w:eastAsia="바탕" w:hAnsi="바탕"/>
                <w:b w:val="false"/>
                <w:bCs w:val="false"/>
                <w:sz w:val="19"/>
                <w:szCs w:val="19"/>
              </w:rPr>
              <w:t xml:space="preserve">등급 폐지</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매니저 자체에 대한</w:t>
            </w:r>
          </w:p>
          <w:p>
            <w:pPr>
              <w:spacing w:line="280" w:lineRule="auto"/>
              <w:jc w:val="left"/>
            </w:pPr>
            <w:r>
              <w:rPr>
                <w:rFonts w:ascii="바탕" w:cs="바탕" w:eastAsia="바탕" w:hAnsi="바탕"/>
                <w:b w:val="false"/>
                <w:bCs w:val="false"/>
                <w:sz w:val="19"/>
                <w:szCs w:val="19"/>
              </w:rPr>
              <w:t xml:space="preserve">모델·코치·케어</w:t>
            </w:r>
          </w:p>
          <w:p>
            <w:pPr>
              <w:spacing w:line="280" w:lineRule="auto"/>
              <w:jc w:val="left"/>
            </w:pPr>
            <w:r>
              <w:rPr>
                <w:rFonts w:ascii="바탕" w:cs="바탕" w:eastAsia="바탕" w:hAnsi="바탕"/>
                <w:b w:val="false"/>
                <w:bCs w:val="false"/>
                <w:sz w:val="19"/>
                <w:szCs w:val="19"/>
              </w:rPr>
              <w:t xml:space="preserve">행동 평가 별도 운영</w:t>
            </w:r>
          </w:p>
        </w:tc>
        <w:tc>
          <w:tcPr>
            <w:tcW w:type="dxa" w:w="14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스택랭킹 폐지의</w:t>
            </w:r>
          </w:p>
          <w:p>
            <w:pPr>
              <w:spacing w:line="280" w:lineRule="auto"/>
              <w:jc w:val="left"/>
            </w:pPr>
            <w:r>
              <w:rPr>
                <w:rFonts w:ascii="바탕" w:cs="바탕" w:eastAsia="바탕" w:hAnsi="바탕"/>
                <w:b w:val="false"/>
                <w:bCs w:val="false"/>
                <w:sz w:val="19"/>
                <w:szCs w:val="19"/>
              </w:rPr>
              <w:t xml:space="preserve">최초 대규모 사례</w:t>
            </w:r>
          </w:p>
        </w:tc>
      </w:tr>
      <w:tr>
        <w:tc>
          <w:tcPr>
            <w:tcW w:type="dxa" w:w="11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Adobe</w:t>
            </w:r>
          </w:p>
          <w:p>
            <w:pPr>
              <w:spacing w:line="280" w:lineRule="auto"/>
              <w:jc w:val="center"/>
            </w:pPr>
            <w:r>
              <w:rPr>
                <w:rFonts w:ascii="바탕" w:cs="바탕" w:eastAsia="바탕" w:hAnsi="바탕"/>
                <w:b w:val="false"/>
                <w:bCs w:val="false"/>
                <w:sz w:val="19"/>
                <w:szCs w:val="19"/>
              </w:rPr>
              <w:t xml:space="preserve">(Check-in, 2012~)</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기대치(Expectations)</w:t>
            </w:r>
          </w:p>
          <w:p>
            <w:pPr>
              <w:spacing w:line="280" w:lineRule="auto"/>
              <w:jc w:val="left"/>
            </w:pPr>
            <w:r>
              <w:rPr>
                <w:rFonts w:ascii="바탕" w:cs="바탕" w:eastAsia="바탕" w:hAnsi="바탕"/>
                <w:b w:val="false"/>
                <w:bCs w:val="false"/>
                <w:sz w:val="19"/>
                <w:szCs w:val="19"/>
              </w:rPr>
              <w:t xml:space="preserve">구성원-매니저 합의</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상시 대화</w:t>
            </w:r>
          </w:p>
          <w:p>
            <w:pPr>
              <w:spacing w:line="280" w:lineRule="auto"/>
              <w:jc w:val="left"/>
            </w:pPr>
            <w:r>
              <w:rPr>
                <w:rFonts w:ascii="바탕" w:cs="바탕" w:eastAsia="바탕" w:hAnsi="바탕"/>
                <w:b w:val="false"/>
                <w:bCs w:val="false"/>
                <w:sz w:val="19"/>
                <w:szCs w:val="19"/>
              </w:rPr>
              <w:t xml:space="preserve">구성원이 소집</w:t>
            </w:r>
          </w:p>
          <w:p>
            <w:pPr>
              <w:spacing w:line="280" w:lineRule="auto"/>
              <w:jc w:val="left"/>
            </w:pPr>
            <w:r>
              <w:rPr>
                <w:rFonts w:ascii="바탕" w:cs="바탕" w:eastAsia="바탕" w:hAnsi="바탕"/>
                <w:b w:val="false"/>
                <w:bCs w:val="false"/>
                <w:sz w:val="19"/>
                <w:szCs w:val="19"/>
              </w:rPr>
              <w:t xml:space="preserve">횟수 제한 없음</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완전 분리형</w:t>
            </w:r>
          </w:p>
          <w:p>
            <w:pPr>
              <w:spacing w:line="280" w:lineRule="auto"/>
              <w:jc w:val="left"/>
            </w:pPr>
            <w:r>
              <w:rPr>
                <w:rFonts w:ascii="바탕" w:cs="바탕" w:eastAsia="바탕" w:hAnsi="바탕"/>
                <w:b w:val="false"/>
                <w:bCs w:val="false"/>
                <w:sz w:val="19"/>
                <w:szCs w:val="19"/>
              </w:rPr>
              <w:t xml:space="preserve">12~1월 별도 보상</w:t>
            </w:r>
          </w:p>
          <w:p>
            <w:pPr>
              <w:spacing w:line="280" w:lineRule="auto"/>
              <w:jc w:val="left"/>
            </w:pPr>
            <w:r>
              <w:rPr>
                <w:rFonts w:ascii="바탕" w:cs="바탕" w:eastAsia="바탕" w:hAnsi="바탕"/>
                <w:b w:val="false"/>
                <w:bCs w:val="false"/>
                <w:sz w:val="19"/>
                <w:szCs w:val="19"/>
              </w:rPr>
              <w:t xml:space="preserve">사이클 운영</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매니저에 보상 예산</w:t>
            </w:r>
          </w:p>
          <w:p>
            <w:pPr>
              <w:spacing w:line="280" w:lineRule="auto"/>
              <w:jc w:val="left"/>
            </w:pPr>
            <w:r>
              <w:rPr>
                <w:rFonts w:ascii="바탕" w:cs="바탕" w:eastAsia="바탕" w:hAnsi="바탕"/>
                <w:b w:val="false"/>
                <w:bCs w:val="false"/>
                <w:sz w:val="19"/>
                <w:szCs w:val="19"/>
              </w:rPr>
              <w:t xml:space="preserve">위임, 시장 임금 데이터</w:t>
            </w:r>
          </w:p>
          <w:p>
            <w:pPr>
              <w:spacing w:line="280" w:lineRule="auto"/>
              <w:jc w:val="left"/>
            </w:pPr>
            <w:r>
              <w:rPr>
                <w:rFonts w:ascii="바탕" w:cs="바탕" w:eastAsia="바탕" w:hAnsi="바탕"/>
                <w:b w:val="false"/>
                <w:bCs w:val="false"/>
                <w:sz w:val="19"/>
                <w:szCs w:val="19"/>
              </w:rPr>
              <w:t xml:space="preserve">동반 제공</w:t>
            </w:r>
          </w:p>
        </w:tc>
        <w:tc>
          <w:tcPr>
            <w:tcW w:type="dxa" w:w="14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자발적 퇴사율</w:t>
            </w:r>
          </w:p>
          <w:p>
            <w:pPr>
              <w:spacing w:line="280" w:lineRule="auto"/>
              <w:jc w:val="left"/>
            </w:pPr>
            <w:r>
              <w:rPr>
                <w:rFonts w:ascii="바탕" w:cs="바탕" w:eastAsia="바탕" w:hAnsi="바탕"/>
                <w:b w:val="false"/>
                <w:bCs w:val="false"/>
                <w:sz w:val="19"/>
                <w:szCs w:val="19"/>
              </w:rPr>
              <w:t xml:space="preserve">약 30% 감소</w:t>
            </w:r>
          </w:p>
        </w:tc>
      </w:tr>
      <w:tr>
        <w:tc>
          <w:tcPr>
            <w:tcW w:type="dxa" w:w="11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Netflix</w:t>
            </w:r>
          </w:p>
          <w:p>
            <w:pPr>
              <w:spacing w:line="280" w:lineRule="auto"/>
              <w:jc w:val="center"/>
            </w:pPr>
            <w:r>
              <w:rPr>
                <w:rFonts w:ascii="바탕" w:cs="바탕" w:eastAsia="바탕" w:hAnsi="바탕"/>
                <w:b w:val="false"/>
                <w:bCs w:val="false"/>
                <w:sz w:val="19"/>
                <w:szCs w:val="19"/>
              </w:rPr>
              <w:t xml:space="preserve">(Keeper Test)</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공식 목표 부재</w:t>
            </w:r>
          </w:p>
          <w:p>
            <w:pPr>
              <w:spacing w:line="280" w:lineRule="auto"/>
              <w:jc w:val="left"/>
            </w:pPr>
            <w:r>
              <w:rPr>
                <w:rFonts w:ascii="바탕" w:cs="바탕" w:eastAsia="바탕" w:hAnsi="바탕"/>
                <w:b w:val="false"/>
                <w:bCs w:val="false"/>
                <w:sz w:val="19"/>
                <w:szCs w:val="19"/>
              </w:rPr>
              <w:t xml:space="preserve">맥락 공유로 자율 정렬</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상시 360 피드백</w:t>
            </w:r>
          </w:p>
          <w:p>
            <w:pPr>
              <w:spacing w:line="280" w:lineRule="auto"/>
              <w:jc w:val="left"/>
            </w:pPr>
            <w:r>
              <w:rPr>
                <w:rFonts w:ascii="바탕" w:cs="바탕" w:eastAsia="바탕" w:hAnsi="바탕"/>
                <w:b w:val="false"/>
                <w:bCs w:val="false"/>
                <w:sz w:val="19"/>
                <w:szCs w:val="19"/>
              </w:rPr>
              <w:t xml:space="preserve">Start-Stop-Continue</w:t>
            </w:r>
          </w:p>
          <w:p>
            <w:pPr>
              <w:spacing w:line="280" w:lineRule="auto"/>
              <w:jc w:val="left"/>
            </w:pPr>
            <w:r>
              <w:rPr>
                <w:rFonts w:ascii="바탕" w:cs="바탕" w:eastAsia="바탕" w:hAnsi="바탕"/>
                <w:b w:val="false"/>
                <w:bCs w:val="false"/>
                <w:sz w:val="19"/>
                <w:szCs w:val="19"/>
              </w:rPr>
              <w:t xml:space="preserve">실명 운영</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최상위 시장 임금</w:t>
            </w:r>
          </w:p>
          <w:p>
            <w:pPr>
              <w:spacing w:line="280" w:lineRule="auto"/>
              <w:jc w:val="left"/>
            </w:pPr>
            <w:r>
              <w:rPr>
                <w:rFonts w:ascii="바탕" w:cs="바탕" w:eastAsia="바탕" w:hAnsi="바탕"/>
                <w:b w:val="false"/>
                <w:bCs w:val="false"/>
                <w:sz w:val="19"/>
                <w:szCs w:val="19"/>
              </w:rPr>
              <w:t xml:space="preserve">등급·등급 보상 없음</w:t>
            </w:r>
          </w:p>
          <w:p>
            <w:pPr>
              <w:spacing w:line="280" w:lineRule="auto"/>
              <w:jc w:val="left"/>
            </w:pPr>
            <w:r>
              <w:rPr>
                <w:rFonts w:ascii="바탕" w:cs="바탕" w:eastAsia="바탕" w:hAnsi="바탕"/>
                <w:b w:val="false"/>
                <w:bCs w:val="false"/>
                <w:sz w:val="19"/>
                <w:szCs w:val="19"/>
              </w:rPr>
              <w:t xml:space="preserve">Keeper Test 결과만 반영</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적합 부족 판단 시</w:t>
            </w:r>
          </w:p>
          <w:p>
            <w:pPr>
              <w:spacing w:line="280" w:lineRule="auto"/>
              <w:jc w:val="left"/>
            </w:pPr>
            <w:r>
              <w:rPr>
                <w:rFonts w:ascii="바탕" w:cs="바탕" w:eastAsia="바탕" w:hAnsi="바탕"/>
                <w:b w:val="false"/>
                <w:bCs w:val="false"/>
                <w:sz w:val="19"/>
                <w:szCs w:val="19"/>
              </w:rPr>
              <w:t xml:space="preserve">즉시 분리, 후한 퇴직금</w:t>
            </w:r>
          </w:p>
          <w:p>
            <w:pPr>
              <w:spacing w:line="280" w:lineRule="auto"/>
              <w:jc w:val="left"/>
            </w:pPr>
            <w:r>
              <w:rPr>
                <w:rFonts w:ascii="바탕" w:cs="바탕" w:eastAsia="바탕" w:hAnsi="바탕"/>
                <w:b w:val="false"/>
                <w:bCs w:val="false"/>
                <w:sz w:val="19"/>
                <w:szCs w:val="19"/>
              </w:rPr>
              <w:t xml:space="preserve">(severance)</w:t>
            </w:r>
          </w:p>
        </w:tc>
        <w:tc>
          <w:tcPr>
            <w:tcW w:type="dxa" w:w="14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탤런트 밀도 극대화</w:t>
            </w:r>
          </w:p>
          <w:p>
            <w:pPr>
              <w:spacing w:line="280" w:lineRule="auto"/>
              <w:jc w:val="left"/>
            </w:pPr>
            <w:r>
              <w:rPr>
                <w:rFonts w:ascii="바탕" w:cs="바탕" w:eastAsia="바탕" w:hAnsi="바탕"/>
                <w:b w:val="false"/>
                <w:bCs w:val="false"/>
                <w:sz w:val="19"/>
                <w:szCs w:val="19"/>
              </w:rPr>
              <w:t xml:space="preserve">전략의 인사적 구현</w:t>
            </w:r>
          </w:p>
        </w:tc>
      </w:tr>
      <w:tr>
        <w:tc>
          <w:tcPr>
            <w:tcW w:type="dxa" w:w="11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Amazon</w:t>
            </w:r>
          </w:p>
          <w:p>
            <w:pPr>
              <w:spacing w:line="280" w:lineRule="auto"/>
              <w:jc w:val="center"/>
            </w:pPr>
            <w:r>
              <w:rPr>
                <w:rFonts w:ascii="바탕" w:cs="바탕" w:eastAsia="바탕" w:hAnsi="바탕"/>
                <w:b w:val="false"/>
                <w:bCs w:val="false"/>
                <w:sz w:val="19"/>
                <w:szCs w:val="19"/>
              </w:rPr>
              <w:t xml:space="preserve">(Forte/OLR)</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3~5개 핵심 성과 기술</w:t>
            </w:r>
          </w:p>
          <w:p>
            <w:pPr>
              <w:spacing w:line="280" w:lineRule="auto"/>
              <w:jc w:val="left"/>
            </w:pPr>
            <w:r>
              <w:rPr>
                <w:rFonts w:ascii="바탕" w:cs="바탕" w:eastAsia="바탕" w:hAnsi="바탕"/>
                <w:b w:val="false"/>
                <w:bCs w:val="false"/>
                <w:sz w:val="19"/>
                <w:szCs w:val="19"/>
              </w:rPr>
              <w:t xml:space="preserve">+ 14 리더십 원칙</w:t>
            </w:r>
          </w:p>
          <w:p>
            <w:pPr>
              <w:spacing w:line="280" w:lineRule="auto"/>
              <w:jc w:val="left"/>
            </w:pPr>
            <w:r>
              <w:rPr>
                <w:rFonts w:ascii="바탕" w:cs="바탕" w:eastAsia="바탕" w:hAnsi="바탕"/>
                <w:b w:val="false"/>
                <w:bCs w:val="false"/>
                <w:sz w:val="19"/>
                <w:szCs w:val="19"/>
              </w:rPr>
              <w:t xml:space="preserve">행동 사례</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연 1회 OLR</w:t>
            </w:r>
          </w:p>
          <w:p>
            <w:pPr>
              <w:spacing w:line="280" w:lineRule="auto"/>
              <w:jc w:val="left"/>
            </w:pPr>
            <w:r>
              <w:rPr>
                <w:rFonts w:ascii="바탕" w:cs="바탕" w:eastAsia="바탕" w:hAnsi="바탕"/>
                <w:b w:val="false"/>
                <w:bCs w:val="false"/>
                <w:sz w:val="19"/>
                <w:szCs w:val="19"/>
              </w:rPr>
              <w:t xml:space="preserve">+ 분기 1:1</w:t>
            </w:r>
          </w:p>
          <w:p>
            <w:pPr>
              <w:spacing w:line="280" w:lineRule="auto"/>
              <w:jc w:val="left"/>
            </w:pPr>
            <w:r>
              <w:rPr>
                <w:rFonts w:ascii="바탕" w:cs="바탕" w:eastAsia="바탕" w:hAnsi="바탕"/>
                <w:b w:val="false"/>
                <w:bCs w:val="false"/>
                <w:sz w:val="19"/>
                <w:szCs w:val="19"/>
              </w:rPr>
              <w:t xml:space="preserve">+ Connections 일일설문</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연동형</w:t>
            </w:r>
          </w:p>
          <w:p>
            <w:pPr>
              <w:spacing w:line="280" w:lineRule="auto"/>
              <w:jc w:val="left"/>
            </w:pPr>
            <w:r>
              <w:rPr>
                <w:rFonts w:ascii="바탕" w:cs="바탕" w:eastAsia="바탕" w:hAnsi="바탕"/>
                <w:b w:val="false"/>
                <w:bCs w:val="false"/>
                <w:sz w:val="19"/>
                <w:szCs w:val="19"/>
              </w:rPr>
              <w:t xml:space="preserve">Overall Value 등급이</w:t>
            </w:r>
          </w:p>
          <w:p>
            <w:pPr>
              <w:spacing w:line="280" w:lineRule="auto"/>
              <w:jc w:val="left"/>
            </w:pPr>
            <w:r>
              <w:rPr>
                <w:rFonts w:ascii="바탕" w:cs="바탕" w:eastAsia="바탕" w:hAnsi="바탕"/>
                <w:b w:val="false"/>
                <w:bCs w:val="false"/>
                <w:sz w:val="19"/>
                <w:szCs w:val="19"/>
              </w:rPr>
              <w:t xml:space="preserve">연봉·주식 직결</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URA(Unregretted</w:t>
            </w:r>
          </w:p>
          <w:p>
            <w:pPr>
              <w:spacing w:line="280" w:lineRule="auto"/>
              <w:jc w:val="left"/>
            </w:pPr>
            <w:r>
              <w:rPr>
                <w:rFonts w:ascii="바탕" w:cs="바탕" w:eastAsia="바탕" w:hAnsi="바탕"/>
                <w:b w:val="false"/>
                <w:bCs w:val="false"/>
                <w:sz w:val="19"/>
                <w:szCs w:val="19"/>
              </w:rPr>
              <w:t xml:space="preserve">Attrition) 트랙 운영,</w:t>
            </w:r>
          </w:p>
          <w:p>
            <w:pPr>
              <w:spacing w:line="280" w:lineRule="auto"/>
              <w:jc w:val="left"/>
            </w:pPr>
            <w:r>
              <w:rPr>
                <w:rFonts w:ascii="바탕" w:cs="바탕" w:eastAsia="바탕" w:hAnsi="바탕"/>
                <w:b w:val="false"/>
                <w:bCs w:val="false"/>
                <w:sz w:val="19"/>
                <w:szCs w:val="19"/>
              </w:rPr>
              <w:t xml:space="preserve">자동 분류 알고리즘</w:t>
            </w:r>
          </w:p>
        </w:tc>
        <w:tc>
          <w:tcPr>
            <w:tcW w:type="dxa" w:w="14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리더십 원칙의</w:t>
            </w:r>
          </w:p>
          <w:p>
            <w:pPr>
              <w:spacing w:line="280" w:lineRule="auto"/>
              <w:jc w:val="left"/>
            </w:pPr>
            <w:r>
              <w:rPr>
                <w:rFonts w:ascii="바탕" w:cs="바탕" w:eastAsia="바탕" w:hAnsi="바탕"/>
                <w:b w:val="false"/>
                <w:bCs w:val="false"/>
                <w:sz w:val="19"/>
                <w:szCs w:val="19"/>
              </w:rPr>
              <w:t xml:space="preserve">행동 사례 평가 비중</w:t>
            </w:r>
          </w:p>
          <w:p>
            <w:pPr>
              <w:spacing w:line="280" w:lineRule="auto"/>
              <w:jc w:val="left"/>
            </w:pPr>
            <w:r>
              <w:rPr>
                <w:rFonts w:ascii="바탕" w:cs="바탕" w:eastAsia="바탕" w:hAnsi="바탕"/>
                <w:b w:val="false"/>
                <w:bCs w:val="false"/>
                <w:sz w:val="19"/>
                <w:szCs w:val="19"/>
              </w:rPr>
              <w:t xml:space="preserve">큼</w:t>
            </w:r>
          </w:p>
        </w:tc>
      </w:tr>
      <w:tr>
        <w:tc>
          <w:tcPr>
            <w:tcW w:type="dxa" w:w="11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IBM</w:t>
            </w:r>
          </w:p>
          <w:p>
            <w:pPr>
              <w:spacing w:line="280" w:lineRule="auto"/>
              <w:jc w:val="center"/>
            </w:pPr>
            <w:r>
              <w:rPr>
                <w:rFonts w:ascii="바탕" w:cs="바탕" w:eastAsia="바탕" w:hAnsi="바탕"/>
                <w:b w:val="false"/>
                <w:bCs w:val="false"/>
                <w:sz w:val="19"/>
                <w:szCs w:val="19"/>
              </w:rPr>
              <w:t xml:space="preserve">(Checkpoint, 2016~)</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연중 수정 가능 목표</w:t>
            </w:r>
          </w:p>
          <w:p>
            <w:pPr>
              <w:spacing w:line="280" w:lineRule="auto"/>
              <w:jc w:val="left"/>
            </w:pPr>
            <w:r>
              <w:rPr>
                <w:rFonts w:ascii="바탕" w:cs="바탕" w:eastAsia="바탕" w:hAnsi="바탕"/>
                <w:b w:val="false"/>
                <w:bCs w:val="false"/>
                <w:sz w:val="19"/>
                <w:szCs w:val="19"/>
              </w:rPr>
              <w:t xml:space="preserve">+ 5차원</w:t>
            </w:r>
          </w:p>
          <w:p>
            <w:pPr>
              <w:spacing w:line="280" w:lineRule="auto"/>
              <w:jc w:val="left"/>
            </w:pPr>
            <w:r>
              <w:rPr>
                <w:rFonts w:ascii="바탕" w:cs="바탕" w:eastAsia="바탕" w:hAnsi="바탕"/>
                <w:b w:val="false"/>
                <w:bCs w:val="false"/>
                <w:sz w:val="19"/>
                <w:szCs w:val="19"/>
              </w:rPr>
              <w:t xml:space="preserve">(사업·고객·혁신·</w:t>
            </w:r>
          </w:p>
          <w:p>
            <w:pPr>
              <w:spacing w:line="280" w:lineRule="auto"/>
              <w:jc w:val="left"/>
            </w:pPr>
            <w:r>
              <w:rPr>
                <w:rFonts w:ascii="바탕" w:cs="바탕" w:eastAsia="바탕" w:hAnsi="바탕"/>
                <w:b w:val="false"/>
                <w:bCs w:val="false"/>
                <w:sz w:val="19"/>
                <w:szCs w:val="19"/>
              </w:rPr>
              <w:t xml:space="preserve">동료책임·스킬)</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분기 1회 이상</w:t>
            </w:r>
          </w:p>
          <w:p>
            <w:pPr>
              <w:spacing w:line="280" w:lineRule="auto"/>
              <w:jc w:val="left"/>
            </w:pPr>
            <w:r>
              <w:rPr>
                <w:rFonts w:ascii="바탕" w:cs="바탕" w:eastAsia="바탕" w:hAnsi="바탕"/>
                <w:b w:val="false"/>
                <w:bCs w:val="false"/>
                <w:sz w:val="19"/>
                <w:szCs w:val="19"/>
              </w:rPr>
              <w:t xml:space="preserve">의무 피드백</w:t>
            </w:r>
          </w:p>
          <w:p>
            <w:pPr>
              <w:spacing w:line="280" w:lineRule="auto"/>
              <w:jc w:val="left"/>
            </w:pPr>
            <w:r>
              <w:rPr>
                <w:rFonts w:ascii="바탕" w:cs="바탕" w:eastAsia="바탕" w:hAnsi="바탕"/>
                <w:b w:val="false"/>
                <w:bCs w:val="false"/>
                <w:sz w:val="19"/>
                <w:szCs w:val="19"/>
              </w:rPr>
              <w:t xml:space="preserve">ACE 모바일 앱</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부분 분리형</w:t>
            </w:r>
          </w:p>
          <w:p>
            <w:pPr>
              <w:spacing w:line="280" w:lineRule="auto"/>
              <w:jc w:val="left"/>
            </w:pPr>
            <w:r>
              <w:rPr>
                <w:rFonts w:ascii="바탕" w:cs="바탕" w:eastAsia="바탕" w:hAnsi="바탕"/>
                <w:b w:val="false"/>
                <w:bCs w:val="false"/>
                <w:sz w:val="19"/>
                <w:szCs w:val="19"/>
              </w:rPr>
              <w:t xml:space="preserve">등급+서술 혼합</w:t>
            </w:r>
          </w:p>
          <w:p>
            <w:pPr>
              <w:spacing w:line="280" w:lineRule="auto"/>
              <w:jc w:val="left"/>
            </w:pPr>
            <w:r>
              <w:rPr>
                <w:rFonts w:ascii="바탕" w:cs="바탕" w:eastAsia="바탕" w:hAnsi="바탕"/>
                <w:b w:val="false"/>
                <w:bCs w:val="false"/>
                <w:sz w:val="19"/>
                <w:szCs w:val="19"/>
              </w:rPr>
              <w:t xml:space="preserve">등급의 비중 축소</w:t>
            </w:r>
          </w:p>
        </w:tc>
        <w:tc>
          <w:tcPr>
            <w:tcW w:type="dxa" w:w="17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Watson 텍스트 분석</w:t>
            </w:r>
          </w:p>
          <w:p>
            <w:pPr>
              <w:spacing w:line="280" w:lineRule="auto"/>
              <w:jc w:val="left"/>
            </w:pPr>
            <w:r>
              <w:rPr>
                <w:rFonts w:ascii="바탕" w:cs="바탕" w:eastAsia="바탕" w:hAnsi="바탕"/>
                <w:b w:val="false"/>
                <w:bCs w:val="false"/>
                <w:sz w:val="19"/>
                <w:szCs w:val="19"/>
              </w:rPr>
              <w:t xml:space="preserve">으로 평가 편향 점검,</w:t>
            </w:r>
          </w:p>
          <w:p>
            <w:pPr>
              <w:spacing w:line="280" w:lineRule="auto"/>
              <w:jc w:val="left"/>
            </w:pPr>
            <w:r>
              <w:rPr>
                <w:rFonts w:ascii="바탕" w:cs="바탕" w:eastAsia="바탕" w:hAnsi="바탕"/>
                <w:b w:val="false"/>
                <w:bCs w:val="false"/>
                <w:sz w:val="19"/>
                <w:szCs w:val="19"/>
              </w:rPr>
              <w:t xml:space="preserve">몰입도 +20%</w:t>
            </w:r>
          </w:p>
        </w:tc>
        <w:tc>
          <w:tcPr>
            <w:tcW w:type="dxa" w:w="14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AI 보조 평가의</w:t>
            </w:r>
          </w:p>
          <w:p>
            <w:pPr>
              <w:spacing w:line="280" w:lineRule="auto"/>
              <w:jc w:val="left"/>
            </w:pPr>
            <w:r>
              <w:rPr>
                <w:rFonts w:ascii="바탕" w:cs="바탕" w:eastAsia="바탕" w:hAnsi="바탕"/>
                <w:b w:val="false"/>
                <w:bCs w:val="false"/>
                <w:sz w:val="19"/>
                <w:szCs w:val="19"/>
              </w:rPr>
              <w:t xml:space="preserve">선도 사례</w:t>
            </w:r>
          </w:p>
        </w:tc>
      </w:tr>
    </w:tbl>
    <w:p>
      <w:pPr>
        <w:spacing w:after="80" w:line="384" w:lineRule="auto"/>
        <w:jc w:val="both"/>
      </w:pPr>
      <w:r>
        <w:rPr>
          <w:rFonts w:ascii="바탕" w:cs="바탕" w:eastAsia="바탕" w:hAnsi="바탕"/>
          <w:sz w:val="22"/>
          <w:szCs w:val="22"/>
        </w:rPr>
        <w:t xml:space="preserve"> </w:t>
      </w:r>
    </w:p>
    <w:p>
      <w:pPr>
        <w:spacing w:after="160" w:before="320" w:line="320" w:lineRule="auto"/>
      </w:pPr>
      <w:r>
        <w:rPr>
          <w:rFonts w:ascii="맑은 고딕" w:cs="맑은 고딕" w:eastAsia="맑은 고딕" w:hAnsi="맑은 고딕"/>
          <w:b/>
          <w:bCs/>
          <w:sz w:val="28"/>
          <w:szCs w:val="28"/>
        </w:rPr>
        <w:t xml:space="preserve">3. 한국 기업 개인성과 평가의 구조적 한계</w:t>
      </w:r>
    </w:p>
    <w:p>
      <w:pPr>
        <w:spacing w:after="80" w:line="384" w:lineRule="auto"/>
        <w:ind w:firstLine="200"/>
        <w:jc w:val="both"/>
      </w:pPr>
      <w:r>
        <w:rPr>
          <w:rFonts w:ascii="바탕" w:cs="바탕" w:eastAsia="바탕" w:hAnsi="바탕"/>
          <w:sz w:val="22"/>
          <w:szCs w:val="22"/>
        </w:rPr>
        <w:t xml:space="preserve">한국 기업 평가제도의 문제는 평가 그 자체보다 평가가 놓여 있는 인사 인프라의 결손에서 발생한다. 직무 책임이 명료하지 않은 상태에서 도입된 성과주의는 일률적 등급 분포 강제와 연공 보정이라는 두 힘 사이에서 흔들려 왔으며, 그 결과 평가의 발달적 기능·분배적 기능 어느 쪽도 충실히 작동하지 못해 왔다. 본 장은 그 한계를 한태영(2010)의 효과성 4차원—정확성, 분배공정성, 절차공정성, 상호작용공정성을 매개로 한 만족도·유용성—에 매핑하여 진단한다.</w:t>
      </w:r>
    </w:p>
    <w:p>
      <w:pPr>
        <w:spacing w:after="100" w:before="220" w:line="320" w:lineRule="auto"/>
      </w:pPr>
      <w:r>
        <w:rPr>
          <w:rFonts w:ascii="맑은 고딕" w:cs="맑은 고딕" w:eastAsia="맑은 고딕" w:hAnsi="맑은 고딕"/>
          <w:b/>
          <w:bCs/>
          <w:sz w:val="24"/>
          <w:szCs w:val="24"/>
        </w:rPr>
        <w:t xml:space="preserve">3.1 직무 불명확성과 정확성·분배공정성의 훼손</w:t>
      </w:r>
    </w:p>
    <w:p>
      <w:pPr>
        <w:spacing w:after="80" w:line="384" w:lineRule="auto"/>
        <w:ind w:firstLine="200"/>
        <w:jc w:val="both"/>
      </w:pPr>
      <w:r>
        <w:rPr>
          <w:rFonts w:ascii="바탕" w:cs="바탕" w:eastAsia="바탕" w:hAnsi="바탕"/>
          <w:sz w:val="22"/>
          <w:szCs w:val="22"/>
        </w:rPr>
        <w:t xml:space="preserve">국내 다수 기업은 직무기술서가 존재하지 않거나 형식적으로만 운영되며, 동일 직급 내에서도 실제 책임 범위가 상이한 경우가 흔하다. 직무가치(job value)에 기반한 평가·보상 체계가 아니라 직급·연차에 기반한 호봉제가 잔존하면서, 성과의 차이를 보상에 반영할 수 있는 여지가 구조적으로 좁아진다(한국노동연구원, 2023). 평가 결과가 등급으로 변환되더라도 호봉 인상률의 차이는 미미하며, 이는 평가의 행위 동기 자체를 훼손하여 분배공정성 인식의 저하로 직결된다.</w:t>
      </w:r>
    </w:p>
    <w:p>
      <w:pPr>
        <w:spacing w:after="100" w:before="220" w:line="320" w:lineRule="auto"/>
      </w:pPr>
      <w:r>
        <w:rPr>
          <w:rFonts w:ascii="맑은 고딕" w:cs="맑은 고딕" w:eastAsia="맑은 고딕" w:hAnsi="맑은 고딕"/>
          <w:b/>
          <w:bCs/>
          <w:sz w:val="24"/>
          <w:szCs w:val="24"/>
        </w:rPr>
        <w:t xml:space="preserve">3.2 평가오류와 절차·정확성의 훼손</w:t>
      </w:r>
    </w:p>
    <w:p>
      <w:pPr>
        <w:spacing w:after="80" w:line="384" w:lineRule="auto"/>
        <w:ind w:firstLine="200"/>
        <w:jc w:val="both"/>
      </w:pPr>
      <w:r>
        <w:rPr>
          <w:rFonts w:ascii="바탕" w:cs="바탕" w:eastAsia="바탕" w:hAnsi="바탕"/>
          <w:sz w:val="22"/>
          <w:szCs w:val="22"/>
        </w:rPr>
        <w:t xml:space="preserve">후광효과, 관대화 경향, 중심화 경향, 최신효과 등 전통적 평가오류는 평가자 훈련이 부재한 환경에서 상수로 작용한다. SCOPE 모델에 따르면 평가의 수용성은 타당도와 신뢰도가 공정성 인식을 매개로 형성되며, 공정성은 분배·절차·상호작용·정보 공정성의 네 축에서 다층적으로 결정된다. 그러나 국내 기업의 평가는 다수가 분배 결과의 통보로 종결되며, 절차·상호작용·정보 공정성을 담보하는 장치—평가 근거의 기록, 면담의 의무화, 이의제기 절차의 운영—가 미비하다. Folger(1992)가 제시한 공정한 평가의 3요소 가운데 ‘발언 기회의 보장’이 결여되어 있으며, 이는 절차공정성과 정확성 인식을 동시에 훼손한다.</w:t>
      </w:r>
    </w:p>
    <w:p>
      <w:pPr>
        <w:spacing w:after="100" w:before="220" w:line="320" w:lineRule="auto"/>
      </w:pPr>
      <w:r>
        <w:rPr>
          <w:rFonts w:ascii="맑은 고딕" w:cs="맑은 고딕" w:eastAsia="맑은 고딕" w:hAnsi="맑은 고딕"/>
          <w:b/>
          <w:bCs/>
          <w:sz w:val="24"/>
          <w:szCs w:val="24"/>
        </w:rPr>
        <w:t xml:space="preserve">3.3 피드백 부재와 평가-보상 일체화의 부작용</w:t>
      </w:r>
    </w:p>
    <w:p>
      <w:pPr>
        <w:spacing w:after="80" w:line="384" w:lineRule="auto"/>
        <w:ind w:firstLine="200"/>
        <w:jc w:val="both"/>
      </w:pPr>
      <w:r>
        <w:rPr>
          <w:rFonts w:ascii="바탕" w:cs="바탕" w:eastAsia="바탕" w:hAnsi="바탕"/>
          <w:sz w:val="22"/>
          <w:szCs w:val="22"/>
        </w:rPr>
        <w:t xml:space="preserve">연 1회 등급 통보가 사실상 평가의 전부인 경우, 피드백은 평가 결과의 ‘설명’으로 축소된다. 같은 자리에서 보상과 성장이 동시에 다뤄지면 구성원은 방어적 태도를 취하고 매니저는 갈등 회피로 흐른다. Adobe Check-in의 분리 도입이 자발적 퇴사율을 30% 감소시킨 사실은, 두 대화를 한자리에서 처리하는 구조 자체가 양쪽 기능을 모두 훼손함을 시사한다(Morris, 2014). 한국 기업이 ‘피드백을 강화하자’는 구호에도 불구하고 실질적 변화를 이끌어내지 못한 이유는, 평가-보상 일체화 구조를 그대로 두고 빈도만 늘렸기 때문으로 해석된다. 결과는 유용성과 상호작용공정성의 동시적 저하이다.</w:t>
      </w:r>
    </w:p>
    <w:p>
      <w:pPr>
        <w:spacing w:after="100" w:before="220" w:line="320" w:lineRule="auto"/>
      </w:pPr>
      <w:r>
        <w:rPr>
          <w:rFonts w:ascii="맑은 고딕" w:cs="맑은 고딕" w:eastAsia="맑은 고딕" w:hAnsi="맑은 고딕"/>
          <w:b/>
          <w:bCs/>
          <w:sz w:val="24"/>
          <w:szCs w:val="24"/>
        </w:rPr>
        <w:t xml:space="preserve">3.4 Z세대 이탈과 저성과자 관리의 비대칭</w:t>
      </w:r>
    </w:p>
    <w:p>
      <w:pPr>
        <w:spacing w:after="80" w:line="384" w:lineRule="auto"/>
        <w:ind w:firstLine="200"/>
        <w:jc w:val="both"/>
      </w:pPr>
      <w:r>
        <w:rPr>
          <w:rFonts w:ascii="바탕" w:cs="바탕" w:eastAsia="바탕" w:hAnsi="바탕"/>
          <w:sz w:val="22"/>
          <w:szCs w:val="22"/>
        </w:rPr>
        <w:t xml:space="preserve">Z세대 직장인의 약 20%가 하루에 여러 번 피드백을 원한다는 조사(CGK, 2023)와 한국 직장인의 42%가 명확한 피드백을 주는 상사를 가장 이상적으로 꼽았다는 결과(잡코리아, 2024)는, 피드백 부재가 핵심인재 이탈의 직접 요인임을 보여준다. 반면 저성과자 관리는 2023년 대법원이 SK하이닉스와 현대자동차의 PIP 운영을 적법하다고 판단한 이후 중견기업까지 확산되고 있으나, 코칭·재배치 등 직무 기반 회복 절차보다 해고 정당화의 도구로 활용되는 경향이 관찰된다(딜라이트노무법인, 2024). 핵심인재 유지와 저성과자 회복 모두에서 ‘직무 기반의 명료한 기준’이 결여되어 있다는 점이 본질이다.</w:t>
      </w:r>
    </w:p>
    <w:p>
      <w:pPr>
        <w:spacing w:after="80" w:line="384" w:lineRule="auto"/>
        <w:ind w:firstLine="200"/>
        <w:jc w:val="both"/>
      </w:pPr>
      <w:r>
        <w:rPr>
          <w:rFonts w:ascii="바탕" w:cs="바탕" w:eastAsia="바탕" w:hAnsi="바탕"/>
          <w:sz w:val="22"/>
          <w:szCs w:val="22"/>
        </w:rPr>
        <w:t xml:space="preserve">이상의 네 측면은 상호 강화하는 악순환 구조를 이룬다. 직무 책임의 모호함은 평가 기준의 추상화로 이어지고, 추상적 기준은 평가오류와 공정성 시비를 낳으며, 시비를 회피하기 위해 매니저는 등급의 평준화나 연공 보정에 의존하게 된다. 평준화된 평가는 다시 피드백의 무게를 떨어뜨리고, 피드백이 부재한 환경에서 Z세대 인재는 이탈하며 저성과자는 회복 기회 없이 정리되거나 방치된다. 단일 제도의 개선이 아니라 직무 인프라·평가자 역량·보상 트랙의 동시 재설계가 요구되는 이유가 여기에 있다.</w:t>
      </w:r>
    </w:p>
    <w:p>
      <w:pPr>
        <w:spacing w:after="80" w:before="100" w:line="300" w:lineRule="auto"/>
        <w:jc w:val="left"/>
      </w:pPr>
      <w:r>
        <w:rPr>
          <w:rFonts w:ascii="맑은 고딕" w:cs="맑은 고딕" w:eastAsia="맑은 고딕" w:hAnsi="맑은 고딕"/>
          <w:b/>
          <w:bCs/>
          <w:sz w:val="20"/>
          <w:szCs w:val="20"/>
        </w:rPr>
        <w:t xml:space="preserve">표 2. 한국 평가제도의 4대 한계와 한태영(2010) 4차원 진단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680"/>
        <w:gridCol w:w="2000"/>
      </w:tblGrid>
      <w:tr>
        <w:trPr>
          <w:tblHeader/>
        </w:trPr>
        <w:tc>
          <w:tcPr>
            <w:tcW w:type="dxa" w:w="20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구조적 한계</w:t>
            </w:r>
          </w:p>
        </w:tc>
        <w:tc>
          <w:tcPr>
            <w:tcW w:type="dxa" w:w="368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현상</w:t>
            </w:r>
          </w:p>
        </w:tc>
        <w:tc>
          <w:tcPr>
            <w:tcW w:type="dxa" w:w="168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훼손되는 효과성 차원</w:t>
            </w:r>
          </w:p>
        </w:tc>
        <w:tc>
          <w:tcPr>
            <w:tcW w:type="dxa" w:w="20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핵심 원인</w:t>
            </w:r>
          </w:p>
        </w:tc>
      </w:tr>
      <w:tr>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 불명확성과</w:t>
            </w:r>
          </w:p>
          <w:p>
            <w:pPr>
              <w:spacing w:line="280" w:lineRule="auto"/>
              <w:jc w:val="left"/>
            </w:pPr>
            <w:r>
              <w:rPr>
                <w:rFonts w:ascii="바탕" w:cs="바탕" w:eastAsia="바탕" w:hAnsi="바탕"/>
                <w:b w:val="false"/>
                <w:bCs w:val="false"/>
                <w:sz w:val="19"/>
                <w:szCs w:val="19"/>
              </w:rPr>
              <w:t xml:space="preserve">연공 관성</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직무기술서 부재 또는 형식화, 동일 직급 내 책임 범위 상이, 호봉제 잔존으로 성과 차등의 실효성 부족</w:t>
            </w:r>
          </w:p>
        </w:tc>
        <w:tc>
          <w:tcPr>
            <w:tcW w:type="dxa" w:w="1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정확성</w:t>
            </w:r>
          </w:p>
          <w:p>
            <w:pPr>
              <w:spacing w:line="280" w:lineRule="auto"/>
              <w:jc w:val="center"/>
            </w:pPr>
            <w:r>
              <w:rPr>
                <w:rFonts w:ascii="바탕" w:cs="바탕" w:eastAsia="바탕" w:hAnsi="바탕"/>
                <w:b w:val="false"/>
                <w:bCs w:val="false"/>
                <w:sz w:val="19"/>
                <w:szCs w:val="19"/>
              </w:rPr>
              <w:t xml:space="preserve">분배공정성</w:t>
            </w:r>
          </w:p>
        </w:tc>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직무가치 기반</w:t>
            </w:r>
          </w:p>
          <w:p>
            <w:pPr>
              <w:spacing w:line="280" w:lineRule="auto"/>
              <w:jc w:val="left"/>
            </w:pPr>
            <w:r>
              <w:rPr>
                <w:rFonts w:ascii="바탕" w:cs="바탕" w:eastAsia="바탕" w:hAnsi="바탕"/>
                <w:b w:val="false"/>
                <w:bCs w:val="false"/>
                <w:sz w:val="19"/>
                <w:szCs w:val="19"/>
              </w:rPr>
              <w:t xml:space="preserve">보상 구조의 부재</w:t>
            </w:r>
          </w:p>
        </w:tc>
      </w:tr>
      <w:tr>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평가오류와</w:t>
            </w:r>
          </w:p>
          <w:p>
            <w:pPr>
              <w:spacing w:line="280" w:lineRule="auto"/>
              <w:jc w:val="left"/>
            </w:pPr>
            <w:r>
              <w:rPr>
                <w:rFonts w:ascii="바탕" w:cs="바탕" w:eastAsia="바탕" w:hAnsi="바탕"/>
                <w:b w:val="false"/>
                <w:bCs w:val="false"/>
                <w:sz w:val="19"/>
                <w:szCs w:val="19"/>
              </w:rPr>
              <w:t xml:space="preserve">신뢰장치 결여</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후광·관대화·중심화·최신효과 등 전통적 오류 상수화, 평가 근거 기록과 캘리브레이션의 부재</w:t>
            </w:r>
          </w:p>
        </w:tc>
        <w:tc>
          <w:tcPr>
            <w:tcW w:type="dxa" w:w="1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정확성</w:t>
            </w:r>
          </w:p>
          <w:p>
            <w:pPr>
              <w:spacing w:line="280" w:lineRule="auto"/>
              <w:jc w:val="center"/>
            </w:pPr>
            <w:r>
              <w:rPr>
                <w:rFonts w:ascii="바탕" w:cs="바탕" w:eastAsia="바탕" w:hAnsi="바탕"/>
                <w:b w:val="false"/>
                <w:bCs w:val="false"/>
                <w:sz w:val="19"/>
                <w:szCs w:val="19"/>
              </w:rPr>
              <w:t xml:space="preserve">절차공정성</w:t>
            </w:r>
          </w:p>
        </w:tc>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평가자 훈련과</w:t>
            </w:r>
          </w:p>
          <w:p>
            <w:pPr>
              <w:spacing w:line="280" w:lineRule="auto"/>
              <w:jc w:val="left"/>
            </w:pPr>
            <w:r>
              <w:rPr>
                <w:rFonts w:ascii="바탕" w:cs="바탕" w:eastAsia="바탕" w:hAnsi="바탕"/>
                <w:b w:val="false"/>
                <w:bCs w:val="false"/>
                <w:sz w:val="19"/>
                <w:szCs w:val="19"/>
              </w:rPr>
              <w:t xml:space="preserve">신뢰장치 미구축</w:t>
            </w:r>
          </w:p>
        </w:tc>
      </w:tr>
      <w:tr>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피드백 부재와</w:t>
            </w:r>
          </w:p>
          <w:p>
            <w:pPr>
              <w:spacing w:line="280" w:lineRule="auto"/>
              <w:jc w:val="left"/>
            </w:pPr>
            <w:r>
              <w:rPr>
                <w:rFonts w:ascii="바탕" w:cs="바탕" w:eastAsia="바탕" w:hAnsi="바탕"/>
                <w:b w:val="false"/>
                <w:bCs w:val="false"/>
                <w:sz w:val="19"/>
                <w:szCs w:val="19"/>
              </w:rPr>
              <w:t xml:space="preserve">평가-보상 일체화</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연 1회 등급 통보 중심, 같은 자리에서 보상·성장 동시 다룸으로 양 기능 모두 훼손</w:t>
            </w:r>
          </w:p>
        </w:tc>
        <w:tc>
          <w:tcPr>
            <w:tcW w:type="dxa" w:w="1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유용성</w:t>
            </w:r>
          </w:p>
          <w:p>
            <w:pPr>
              <w:spacing w:line="280" w:lineRule="auto"/>
              <w:jc w:val="center"/>
            </w:pPr>
            <w:r>
              <w:rPr>
                <w:rFonts w:ascii="바탕" w:cs="바탕" w:eastAsia="바탕" w:hAnsi="바탕"/>
                <w:b w:val="false"/>
                <w:bCs w:val="false"/>
                <w:sz w:val="19"/>
                <w:szCs w:val="19"/>
              </w:rPr>
              <w:t xml:space="preserve">상호작용공정성</w:t>
            </w:r>
          </w:p>
        </w:tc>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발달 대화와</w:t>
            </w:r>
          </w:p>
          <w:p>
            <w:pPr>
              <w:spacing w:line="280" w:lineRule="auto"/>
              <w:jc w:val="left"/>
            </w:pPr>
            <w:r>
              <w:rPr>
                <w:rFonts w:ascii="바탕" w:cs="바탕" w:eastAsia="바탕" w:hAnsi="바탕"/>
                <w:b w:val="false"/>
                <w:bCs w:val="false"/>
                <w:sz w:val="19"/>
                <w:szCs w:val="19"/>
              </w:rPr>
              <w:t xml:space="preserve">분배 대화의 미분리</w:t>
            </w:r>
          </w:p>
        </w:tc>
      </w:tr>
      <w:tr>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Z세대 이탈과</w:t>
            </w:r>
          </w:p>
          <w:p>
            <w:pPr>
              <w:spacing w:line="280" w:lineRule="auto"/>
              <w:jc w:val="left"/>
            </w:pPr>
            <w:r>
              <w:rPr>
                <w:rFonts w:ascii="바탕" w:cs="바탕" w:eastAsia="바탕" w:hAnsi="바탕"/>
                <w:b w:val="false"/>
                <w:bCs w:val="false"/>
                <w:sz w:val="19"/>
                <w:szCs w:val="19"/>
              </w:rPr>
              <w:t xml:space="preserve">저성과자 관리 비대칭</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핵심인재의 피드백 욕구 충족 실패, 저성과자 관리는 회복 절차보다 해고 정당화로 활용</w:t>
            </w:r>
          </w:p>
        </w:tc>
        <w:tc>
          <w:tcPr>
            <w:tcW w:type="dxa" w:w="1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만족도</w:t>
            </w:r>
          </w:p>
          <w:p>
            <w:pPr>
              <w:spacing w:line="280" w:lineRule="auto"/>
              <w:jc w:val="center"/>
            </w:pPr>
            <w:r>
              <w:rPr>
                <w:rFonts w:ascii="바탕" w:cs="바탕" w:eastAsia="바탕" w:hAnsi="바탕"/>
                <w:b w:val="false"/>
                <w:bCs w:val="false"/>
                <w:sz w:val="19"/>
                <w:szCs w:val="19"/>
              </w:rPr>
              <w:t xml:space="preserve">절차공정성</w:t>
            </w:r>
          </w:p>
        </w:tc>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 기반 회복</w:t>
            </w:r>
          </w:p>
          <w:p>
            <w:pPr>
              <w:spacing w:line="280" w:lineRule="auto"/>
              <w:jc w:val="left"/>
            </w:pPr>
            <w:r>
              <w:rPr>
                <w:rFonts w:ascii="바탕" w:cs="바탕" w:eastAsia="바탕" w:hAnsi="바탕"/>
                <w:b w:val="false"/>
                <w:bCs w:val="false"/>
                <w:sz w:val="19"/>
                <w:szCs w:val="19"/>
              </w:rPr>
              <w:t xml:space="preserve">메커니즘의 부재</w:t>
            </w:r>
          </w:p>
        </w:tc>
      </w:tr>
    </w:tbl>
    <w:p>
      <w:pPr>
        <w:spacing w:after="80" w:line="384" w:lineRule="auto"/>
        <w:jc w:val="both"/>
      </w:pPr>
      <w:r>
        <w:rPr>
          <w:rFonts w:ascii="바탕" w:cs="바탕" w:eastAsia="바탕" w:hAnsi="바탕"/>
          <w:sz w:val="22"/>
          <w:szCs w:val="22"/>
        </w:rPr>
        <w:t xml:space="preserve"> </w:t>
      </w:r>
    </w:p>
    <w:p>
      <w:pPr>
        <w:spacing w:after="160" w:before="320" w:line="320" w:lineRule="auto"/>
      </w:pPr>
      <w:r>
        <w:rPr>
          <w:rFonts w:ascii="맑은 고딕" w:cs="맑은 고딕" w:eastAsia="맑은 고딕" w:hAnsi="맑은 고딕"/>
          <w:b/>
          <w:bCs/>
          <w:sz w:val="28"/>
          <w:szCs w:val="28"/>
        </w:rPr>
        <w:t xml:space="preserve">4. 시앤피컨설팅 적용: 직무중심 개인성과 평가 제도의 설계</w:t>
      </w:r>
    </w:p>
    <w:p>
      <w:pPr>
        <w:spacing w:after="80" w:line="384" w:lineRule="auto"/>
        <w:ind w:firstLine="200"/>
        <w:jc w:val="both"/>
      </w:pPr>
      <w:r>
        <w:rPr>
          <w:rFonts w:ascii="바탕" w:cs="바탕" w:eastAsia="바탕" w:hAnsi="바탕"/>
          <w:sz w:val="22"/>
          <w:szCs w:val="22"/>
        </w:rPr>
        <w:t xml:space="preserve">이 장은 필자가 재직 중인 시앤피컨설팅을 가상의 적용 대상으로 삼아 새로운 평가 제도를 설계한다. 시앤피컨설팅은 HR 컨설팅 전문 기업으로서 직무 책임이 비교적 명확한 프로젝트 조직이며, 컨설턴트 개인의 전문성과 기여가 곧 회사 수익으로 직결되는 구조를 갖고 있다. 자사가 클라이언트에게 권고하는 직무중심 인사관리의 원칙을 자사 인사제도에 먼저 적용한다는 점에서, 본 설계는 메타적 의미를 동시에 갖는다.</w:t>
      </w:r>
    </w:p>
    <w:p>
      <w:pPr>
        <w:spacing w:after="100" w:before="220" w:line="320" w:lineRule="auto"/>
      </w:pPr>
      <w:r>
        <w:rPr>
          <w:rFonts w:ascii="맑은 고딕" w:cs="맑은 고딕" w:eastAsia="맑은 고딕" w:hAnsi="맑은 고딕"/>
          <w:b/>
          <w:bCs/>
          <w:sz w:val="24"/>
          <w:szCs w:val="24"/>
        </w:rPr>
        <w:t xml:space="preserve">4.1 설계 철학: 세 원칙의 결합</w:t>
      </w:r>
    </w:p>
    <w:p>
      <w:pPr>
        <w:spacing w:after="80" w:line="384" w:lineRule="auto"/>
        <w:ind w:firstLine="200"/>
        <w:jc w:val="both"/>
      </w:pPr>
      <w:r>
        <w:rPr>
          <w:rFonts w:ascii="바탕" w:cs="바탕" w:eastAsia="바탕" w:hAnsi="바탕"/>
          <w:sz w:val="22"/>
          <w:szCs w:val="22"/>
        </w:rPr>
        <w:t xml:space="preserve">새로운 제도의 설계 철학은 본 보고서의 논지에 따라 다음의 세 원칙으로 압축된다. 평가의 목적을 통제에서 성장으로 재정의하는 것이 첫 번째이며, 평가는 등급의 산출이 아니라 개인의 다음 분기 성장 의제를 합의하는 절차로 작동한다. 두 번째 원칙은 평가 대화와 보상 결정 대화의 의도된 분리로, Adobe Check-in의 설계 원리를 따라 성장 대화는 월간·분기 단위로 구성원이 소집하고 보상 결정은 연 1회 별도 사이클에서 매니저-HR 캘리브레이션을 통해 확정한다. 세 번째 원칙은 직무가치 기반의 보상 결정이다. 평가 등급이 호봉에 가산되는 방식이 아니라, 직무가치 평가에서 산정된 기준 보상에 누적 성과가 차등 가산되는 구조로 전환한다. 이러한 직무 기반 접근은 일률적 정년연장 논의에 대한 대안으로서 직무 가치에 따라 보상이 결정되는 시스템을 구축한다는 필자의 인사관리 관점과도 일관된다.</w:t>
      </w:r>
    </w:p>
    <w:p>
      <w:pPr>
        <w:spacing w:after="100" w:before="220" w:line="320" w:lineRule="auto"/>
      </w:pPr>
      <w:r>
        <w:rPr>
          <w:rFonts w:ascii="맑은 고딕" w:cs="맑은 고딕" w:eastAsia="맑은 고딕" w:hAnsi="맑은 고딕"/>
          <w:b/>
          <w:bCs/>
          <w:sz w:val="24"/>
          <w:szCs w:val="24"/>
        </w:rPr>
        <w:t xml:space="preserve">4.2 직무 기반 평가 인프라의 구축</w:t>
      </w:r>
    </w:p>
    <w:p>
      <w:pPr>
        <w:spacing w:after="80" w:line="384" w:lineRule="auto"/>
        <w:ind w:firstLine="200"/>
        <w:jc w:val="both"/>
      </w:pPr>
      <w:r>
        <w:rPr>
          <w:rFonts w:ascii="바탕" w:cs="바탕" w:eastAsia="바탕" w:hAnsi="바탕"/>
          <w:sz w:val="22"/>
          <w:szCs w:val="22"/>
        </w:rPr>
        <w:t xml:space="preserve">어떤 평가제도도 직무 인프라가 부재한 상태에서는 작동하지 않는다. 본 설계의 출발점은 컨설턴트 직무군—전략, HR, 디지털, 조직개발—에 대한 직무기술서 정비, 직무가치 평가를 통한 직무등급 체계 구축, 직무별 핵심역량 모델의 수립이다. 직무기술서는 책임(accountabilities)·산출물(deliverables)·핵심역량(competencies)·성공기준(success criteria)의 네 구성으로 작성하며, 매년 1회 갱신한다. 직무가치 평가는 의사결정 영향·전문성 요구·문제 복잡도·협업 범위의 네 요소로 수행하여 직무등급 J1~J5를 결정한다(표 3). 이 등급이 기준 연봉 밴드의 토대가 되며, 평가는 이 토대 위에서 ‘얼마나 그 직무를 잘 수행했는가’를 묻는 구조로 작동한다.</w:t>
      </w:r>
    </w:p>
    <w:p>
      <w:pPr>
        <w:spacing w:after="80" w:before="100" w:line="300" w:lineRule="auto"/>
        <w:jc w:val="left"/>
      </w:pPr>
      <w:r>
        <w:rPr>
          <w:rFonts w:ascii="맑은 고딕" w:cs="맑은 고딕" w:eastAsia="맑은 고딕" w:hAnsi="맑은 고딕"/>
          <w:b/>
          <w:bCs/>
          <w:sz w:val="20"/>
          <w:szCs w:val="20"/>
        </w:rPr>
        <w:t xml:space="preserve">표 3. 시앤피컨설팅 직무가치 평가의 4요소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00"/>
        <w:gridCol w:w="2060"/>
      </w:tblGrid>
      <w:tr>
        <w:trPr>
          <w:tblHeader/>
        </w:trPr>
        <w:tc>
          <w:tcPr>
            <w:tcW w:type="dxa" w:w="18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평가 요소</w:t>
            </w:r>
          </w:p>
        </w:tc>
        <w:tc>
          <w:tcPr>
            <w:tcW w:type="dxa" w:w="22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정의</w:t>
            </w:r>
          </w:p>
        </w:tc>
        <w:tc>
          <w:tcPr>
            <w:tcW w:type="dxa" w:w="33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측정 기준 예시</w:t>
            </w:r>
          </w:p>
        </w:tc>
        <w:tc>
          <w:tcPr>
            <w:tcW w:type="dxa" w:w="206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가중치</w:t>
            </w:r>
          </w:p>
        </w:tc>
      </w:tr>
      <w:tr>
        <w:tc>
          <w:tcPr>
            <w:tcW w:type="dxa" w:w="18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의사결정 영향</w:t>
            </w:r>
          </w:p>
        </w:tc>
        <w:tc>
          <w:tcPr>
            <w:tcW w:type="dxa" w:w="22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직무가 산출하는 의사결정의 범위와 파급 효과</w:t>
            </w:r>
          </w:p>
        </w:tc>
        <w:tc>
          <w:tcPr>
            <w:tcW w:type="dxa" w:w="33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단일 프로젝트 산출물 ↔ 사업부 수주 전략 결정</w:t>
            </w:r>
          </w:p>
        </w:tc>
        <w:tc>
          <w:tcPr>
            <w:tcW w:type="dxa" w:w="20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30%</w:t>
            </w:r>
          </w:p>
        </w:tc>
      </w:tr>
      <w:tr>
        <w:tc>
          <w:tcPr>
            <w:tcW w:type="dxa" w:w="18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전문성 요구</w:t>
            </w:r>
          </w:p>
        </w:tc>
        <w:tc>
          <w:tcPr>
            <w:tcW w:type="dxa" w:w="22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 수행에 요구되는 지식·경험·자격의 깊이</w:t>
            </w:r>
          </w:p>
        </w:tc>
        <w:tc>
          <w:tcPr>
            <w:tcW w:type="dxa" w:w="33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기본 분석 역량 ↔ 산업 전문성 + 방법론 보유</w:t>
            </w:r>
          </w:p>
        </w:tc>
        <w:tc>
          <w:tcPr>
            <w:tcW w:type="dxa" w:w="20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25%</w:t>
            </w:r>
          </w:p>
        </w:tc>
      </w:tr>
      <w:tr>
        <w:tc>
          <w:tcPr>
            <w:tcW w:type="dxa" w:w="18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문제 복잡도</w:t>
            </w:r>
          </w:p>
        </w:tc>
        <w:tc>
          <w:tcPr>
            <w:tcW w:type="dxa" w:w="22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직무가 다루는 문제의 구조화 수준과 모호성</w:t>
            </w:r>
          </w:p>
        </w:tc>
        <w:tc>
          <w:tcPr>
            <w:tcW w:type="dxa" w:w="33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정형화된 분석 ↔ 비정형·다이해관계자 문제</w:t>
            </w:r>
          </w:p>
        </w:tc>
        <w:tc>
          <w:tcPr>
            <w:tcW w:type="dxa" w:w="20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25%</w:t>
            </w:r>
          </w:p>
        </w:tc>
      </w:tr>
      <w:tr>
        <w:tc>
          <w:tcPr>
            <w:tcW w:type="dxa" w:w="18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협업 범위</w:t>
            </w:r>
          </w:p>
        </w:tc>
        <w:tc>
          <w:tcPr>
            <w:tcW w:type="dxa" w:w="22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내·외부 이해관계자 관리와 영향력 행사 범위</w:t>
            </w:r>
          </w:p>
        </w:tc>
        <w:tc>
          <w:tcPr>
            <w:tcW w:type="dxa" w:w="33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팀 내 협업 ↔ 클라이언트 임원·이사회 대응</w:t>
            </w:r>
          </w:p>
        </w:tc>
        <w:tc>
          <w:tcPr>
            <w:tcW w:type="dxa" w:w="20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20%</w:t>
            </w:r>
          </w:p>
        </w:tc>
      </w:tr>
    </w:tbl>
    <w:p>
      <w:pPr>
        <w:spacing w:after="80" w:line="384" w:lineRule="auto"/>
        <w:jc w:val="both"/>
      </w:pPr>
      <w:r>
        <w:rPr>
          <w:rFonts w:ascii="바탕" w:cs="바탕" w:eastAsia="바탕" w:hAnsi="바탕"/>
          <w:sz w:val="22"/>
          <w:szCs w:val="22"/>
        </w:rPr>
        <w:t xml:space="preserve"> </w:t>
      </w:r>
    </w:p>
    <w:p>
      <w:pPr>
        <w:spacing w:after="100" w:before="220" w:line="320" w:lineRule="auto"/>
      </w:pPr>
      <w:r>
        <w:rPr>
          <w:rFonts w:ascii="맑은 고딕" w:cs="맑은 고딕" w:eastAsia="맑은 고딕" w:hAnsi="맑은 고딕"/>
          <w:b/>
          <w:bCs/>
          <w:sz w:val="24"/>
          <w:szCs w:val="24"/>
        </w:rPr>
        <w:t xml:space="preserve">4.3 개인성과 평가 프로세스</w:t>
      </w:r>
    </w:p>
    <w:p>
      <w:pPr>
        <w:spacing w:after="80" w:line="384" w:lineRule="auto"/>
        <w:ind w:firstLine="200"/>
        <w:jc w:val="both"/>
      </w:pPr>
      <w:r>
        <w:rPr>
          <w:rFonts w:ascii="바탕" w:cs="바탕" w:eastAsia="바탕" w:hAnsi="바탕"/>
          <w:sz w:val="22"/>
          <w:szCs w:val="22"/>
        </w:rPr>
        <w:t xml:space="preserve">연간 평가 프로세스는 네 단계로 구성된다. 1월 ‘목표 설정’ 단계에서 구성원과 매니저는 회사 OKR과 연결된 개인 OKR 3~5개를 합의하며, 이는 직무기술서의 핵심 책임과 명시적으로 연결된다. 매월 진행되는 ‘1:1 미팅’은 구성원이 의제를 작성하고 매니저가 코칭 질문으로 응답하는 30~45분의 대화이며, 코칭 로그가 자동으로 시스템에 기록된다. 분기 ‘성과 리뷰’에서는 OKR 진척도, 학습한 점, 다음 분기 의제를 정리하고 360 피드백을 동반한다. 연말 ‘종합 평가’는 누적된 코칭 로그와 360 피드백, 직무역량 평가를 종합하여 매니저가 서술형 평가서를 작성하고, 이를 캘리브레이션 회의에서 조정한다.</w:t>
      </w:r>
    </w:p>
    <w:p>
      <w:pPr>
        <w:spacing w:after="80" w:line="384" w:lineRule="auto"/>
        <w:ind w:firstLine="200"/>
        <w:jc w:val="both"/>
      </w:pPr>
      <w:r>
        <w:rPr>
          <w:rFonts w:ascii="바탕" w:cs="바탕" w:eastAsia="바탕" w:hAnsi="바탕"/>
          <w:sz w:val="22"/>
          <w:szCs w:val="22"/>
        </w:rPr>
        <w:t xml:space="preserve">주목할 설계 요소는 1:1 미팅의 의제 권한이 구성원에게 있다는 점이다. Microsoft Connects가 ‘employee-driven’임을 명시한 것과 같은 맥락에서, 이는 평가 대화에서의 가치표현적 발언(value-expressive voice)을 보장함으로써 절차공정성을 높이는 장치로 기능한다(Lind &amp; Tyler, 1988). 또한 SCOPE 모델의 ‘4 접촉점’ 가운데 평가 확정 전 의견표명(접촉점 1)과 평가 후 의견제시(접촉점 4)를 모두 표준 프로세스에 포함시킴으로써 절차·상호작용·정보 공정성을 동시에 담보한다. 캘리브레이션 회의는 동일 직무군 내 매니저 3~5인이 참여하여 서술형 평가서를 상호 검토하고, 한 매니저의 평가 분포가 평균에서 1 표준편차 이상 이탈할 경우 근거를 소명하도록 한다. 이는 평가오류의 사후 보정이 아니라 사전 차단을 목적으로 한다.</w:t>
      </w:r>
    </w:p>
    <w:p>
      <w:pPr>
        <w:spacing w:after="100" w:before="220" w:line="320" w:lineRule="auto"/>
      </w:pPr>
      <w:r>
        <w:rPr>
          <w:rFonts w:ascii="맑은 고딕" w:cs="맑은 고딕" w:eastAsia="맑은 고딕" w:hAnsi="맑은 고딕"/>
          <w:b/>
          <w:bCs/>
          <w:sz w:val="24"/>
          <w:szCs w:val="24"/>
        </w:rPr>
        <w:t xml:space="preserve">4.4 평가 지표 체계</w:t>
      </w:r>
    </w:p>
    <w:p>
      <w:pPr>
        <w:spacing w:after="80" w:line="384" w:lineRule="auto"/>
        <w:ind w:firstLine="200"/>
        <w:jc w:val="both"/>
      </w:pPr>
      <w:r>
        <w:rPr>
          <w:rFonts w:ascii="바탕" w:cs="바탕" w:eastAsia="바탕" w:hAnsi="바탕"/>
          <w:sz w:val="22"/>
          <w:szCs w:val="22"/>
        </w:rPr>
        <w:t xml:space="preserve">평가 지표는 업적 성과 50%, 직무 역량 30%, 협업·기여 20%의 가중치로 구성한다(표 4). 업적 성과는 개인 OKR과 빌러블 시간·프로젝트 수익률·클라이언트 NPS로 측정하며, 직무 역량은 직무기술서에 기반한 핵심역량 다섯 개를 자가·매니저·360 Peer의 3원 평가로 측정한다. 협업·기여는 팀 프로젝트 기여도, 지식관리 등록 건수, 후배 코칭 시간, 영업 지원 등으로 계량화한다. HR 컨설팅 펌의 특성상 지식 자산화가 곧 회사 경쟁력이므로 KM 기여를 협업 지표에 명시적으로 포함시킨 것이 이 설계의 차별점이다.</w:t>
      </w:r>
    </w:p>
    <w:p>
      <w:pPr>
        <w:spacing w:after="80" w:before="100" w:line="300" w:lineRule="auto"/>
        <w:jc w:val="left"/>
      </w:pPr>
      <w:r>
        <w:rPr>
          <w:rFonts w:ascii="맑은 고딕" w:cs="맑은 고딕" w:eastAsia="맑은 고딕" w:hAnsi="맑은 고딕"/>
          <w:b/>
          <w:bCs/>
          <w:sz w:val="20"/>
          <w:szCs w:val="20"/>
        </w:rPr>
        <w:t xml:space="preserve">표 4. 시앤피컨설팅 개인성과 평가 지표 체계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500"/>
        <w:gridCol w:w="1800"/>
        <w:gridCol w:w="1460"/>
      </w:tblGrid>
      <w:tr>
        <w:trPr>
          <w:tblHeader/>
        </w:trPr>
        <w:tc>
          <w:tcPr>
            <w:tcW w:type="dxa" w:w="15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평가 영역</w:t>
            </w:r>
          </w:p>
        </w:tc>
        <w:tc>
          <w:tcPr>
            <w:tcW w:type="dxa" w:w="11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가중치</w:t>
            </w:r>
          </w:p>
        </w:tc>
        <w:tc>
          <w:tcPr>
            <w:tcW w:type="dxa" w:w="35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측정 지표</w:t>
            </w:r>
          </w:p>
        </w:tc>
        <w:tc>
          <w:tcPr>
            <w:tcW w:type="dxa" w:w="18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측정 수단</w:t>
            </w:r>
          </w:p>
        </w:tc>
        <w:tc>
          <w:tcPr>
            <w:tcW w:type="dxa" w:w="146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주기</w:t>
            </w:r>
          </w:p>
        </w:tc>
      </w:tr>
      <w:tr>
        <w:tc>
          <w:tcPr>
            <w:tcW w:type="dxa" w:w="15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업적 성과</w:t>
            </w:r>
          </w:p>
          <w:p>
            <w:pPr>
              <w:spacing w:line="280" w:lineRule="auto"/>
              <w:jc w:val="left"/>
            </w:pPr>
            <w:r>
              <w:rPr>
                <w:rFonts w:ascii="바탕" w:cs="바탕" w:eastAsia="바탕" w:hAnsi="바탕"/>
                <w:b w:val="false"/>
                <w:bCs w:val="false"/>
                <w:sz w:val="19"/>
                <w:szCs w:val="19"/>
              </w:rPr>
              <w:t xml:space="preserve">(Performance)</w:t>
            </w:r>
          </w:p>
        </w:tc>
        <w:tc>
          <w:tcPr>
            <w:tcW w:type="dxa" w:w="11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50%</w:t>
            </w:r>
          </w:p>
        </w:tc>
        <w:tc>
          <w:tcPr>
            <w:tcW w:type="dxa" w:w="35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개인 OKR 달성도, 빌러블 시간, 프로젝트 수익률, 클라이언트 NPS, 납기 준수율</w:t>
            </w:r>
          </w:p>
        </w:tc>
        <w:tc>
          <w:tcPr>
            <w:tcW w:type="dxa" w:w="18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OKR 시스템 자동 집계 + 매니저 검증</w:t>
            </w:r>
          </w:p>
        </w:tc>
        <w:tc>
          <w:tcPr>
            <w:tcW w:type="dxa" w:w="14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분기 + 연말</w:t>
            </w:r>
          </w:p>
        </w:tc>
      </w:tr>
      <w:tr>
        <w:tc>
          <w:tcPr>
            <w:tcW w:type="dxa" w:w="15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 역량</w:t>
            </w:r>
          </w:p>
          <w:p>
            <w:pPr>
              <w:spacing w:line="280" w:lineRule="auto"/>
              <w:jc w:val="left"/>
            </w:pPr>
            <w:r>
              <w:rPr>
                <w:rFonts w:ascii="바탕" w:cs="바탕" w:eastAsia="바탕" w:hAnsi="바탕"/>
                <w:b w:val="false"/>
                <w:bCs w:val="false"/>
                <w:sz w:val="19"/>
                <w:szCs w:val="19"/>
              </w:rPr>
              <w:t xml:space="preserve">(Competency)</w:t>
            </w:r>
          </w:p>
        </w:tc>
        <w:tc>
          <w:tcPr>
            <w:tcW w:type="dxa" w:w="11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30%</w:t>
            </w:r>
          </w:p>
        </w:tc>
        <w:tc>
          <w:tcPr>
            <w:tcW w:type="dxa" w:w="35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직무기술서 기반 핵심역량 5개(컨설팅 방법론, 분석력, 산업 이해, 커뮤니케이션, 자기주도성)</w:t>
            </w:r>
          </w:p>
        </w:tc>
        <w:tc>
          <w:tcPr>
            <w:tcW w:type="dxa" w:w="18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자가 + 매니저 + 360 Peer 3원</w:t>
            </w:r>
          </w:p>
        </w:tc>
        <w:tc>
          <w:tcPr>
            <w:tcW w:type="dxa" w:w="14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반기 1회</w:t>
            </w:r>
          </w:p>
        </w:tc>
      </w:tr>
      <w:tr>
        <w:tc>
          <w:tcPr>
            <w:tcW w:type="dxa" w:w="15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협업·기여</w:t>
            </w:r>
          </w:p>
          <w:p>
            <w:pPr>
              <w:spacing w:line="280" w:lineRule="auto"/>
              <w:jc w:val="left"/>
            </w:pPr>
            <w:r>
              <w:rPr>
                <w:rFonts w:ascii="바탕" w:cs="바탕" w:eastAsia="바탕" w:hAnsi="바탕"/>
                <w:b w:val="false"/>
                <w:bCs w:val="false"/>
                <w:sz w:val="19"/>
                <w:szCs w:val="19"/>
              </w:rPr>
              <w:t xml:space="preserve">(Collaboration)</w:t>
            </w:r>
          </w:p>
        </w:tc>
        <w:tc>
          <w:tcPr>
            <w:tcW w:type="dxa" w:w="11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20%</w:t>
            </w:r>
          </w:p>
        </w:tc>
        <w:tc>
          <w:tcPr>
            <w:tcW w:type="dxa" w:w="35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팀 기여도, 지식관리 등록, 후배 코칭 시간, 영업 지원, 사내 학습 콘텐츠 기여</w:t>
            </w:r>
          </w:p>
        </w:tc>
        <w:tc>
          <w:tcPr>
            <w:tcW w:type="dxa" w:w="18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Peer 360 + KM 시스템 로그</w:t>
            </w:r>
          </w:p>
        </w:tc>
        <w:tc>
          <w:tcPr>
            <w:tcW w:type="dxa" w:w="14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분기 + 연말</w:t>
            </w:r>
          </w:p>
        </w:tc>
      </w:tr>
    </w:tbl>
    <w:p>
      <w:pPr>
        <w:spacing w:after="80" w:line="384" w:lineRule="auto"/>
        <w:jc w:val="both"/>
      </w:pPr>
      <w:r>
        <w:rPr>
          <w:rFonts w:ascii="바탕" w:cs="바탕" w:eastAsia="바탕" w:hAnsi="바탕"/>
          <w:sz w:val="22"/>
          <w:szCs w:val="22"/>
        </w:rPr>
        <w:t xml:space="preserve"> </w:t>
      </w:r>
    </w:p>
    <w:p>
      <w:pPr>
        <w:spacing w:after="100" w:before="220" w:line="320" w:lineRule="auto"/>
      </w:pPr>
      <w:r>
        <w:rPr>
          <w:rFonts w:ascii="맑은 고딕" w:cs="맑은 고딕" w:eastAsia="맑은 고딕" w:hAnsi="맑은 고딕"/>
          <w:b/>
          <w:bCs/>
          <w:sz w:val="24"/>
          <w:szCs w:val="24"/>
        </w:rPr>
        <w:t xml:space="preserve">4.5 AI 보조 성과관리와 거버넌스</w:t>
      </w:r>
    </w:p>
    <w:p>
      <w:pPr>
        <w:spacing w:after="80" w:line="384" w:lineRule="auto"/>
        <w:ind w:firstLine="200"/>
        <w:jc w:val="both"/>
      </w:pPr>
      <w:r>
        <w:rPr>
          <w:rFonts w:ascii="바탕" w:cs="바탕" w:eastAsia="바탕" w:hAnsi="바탕"/>
          <w:sz w:val="22"/>
          <w:szCs w:val="22"/>
        </w:rPr>
        <w:t xml:space="preserve">AI는 평가의 대체자가 아니라 보조 도구로 도입된다. 도입 영역은 실시간 OKR 진척률 대시보드, 피드백 초안 작성 보조, 평가 편향 모니터링의 세 축이다. 진척률 대시보드는 프로젝트 일정·산출물·고객 피드백 데이터를 자동 집계해 매니저와 구성원이 같은 사실에 기반해 대화하도록 돕는다. 피드백 초안 작성 보조는 매니저가 동료·고객 피드백과 OKR 로그를 입력하면 AI가 서술형 초안을 생성하고 매니저가 이를 검토·수정해 발송하는 구조이다. 편향 모니터링은 매니저별 평가 분포와 언어 사용 패턴을 분석해 관대화·중심화 경향을 사전에 경고한다.</w:t>
      </w:r>
    </w:p>
    <w:p>
      <w:pPr>
        <w:spacing w:after="80" w:line="384" w:lineRule="auto"/>
        <w:ind w:firstLine="200"/>
        <w:jc w:val="both"/>
      </w:pPr>
      <w:r>
        <w:rPr>
          <w:rFonts w:ascii="바탕" w:cs="바탕" w:eastAsia="바탕" w:hAnsi="바탕"/>
          <w:sz w:val="22"/>
          <w:szCs w:val="22"/>
        </w:rPr>
        <w:t xml:space="preserve">AI 거버넌스에 관해 본 설계는 네 가지 원칙을 둔다. 평가 결과의 최종 결정에 AI 단독 판단을 허용하지 않으며, AI에 입력되는 개인 데이터의 범위와 보관 기간은 사전에 공개되어 구성원의 동의를 거친다. AI 추천의 근거 데이터는 구성원의 요청 시 24시간 내 제공되며, AI 추천이 평가 결과에 미친 영향도는 분기 1회 인사위원회에 보고된다. 이는 EU AI Act가 인사 분야 AI를 고위험으로 분류한 흐름과 맥을 같이하며, 향후 국내 규제 변화에도 선제적으로 대응하는 토대가 된다(클랩, 2026).</w:t>
      </w:r>
    </w:p>
    <w:p>
      <w:pPr>
        <w:spacing w:after="100" w:before="220" w:line="320" w:lineRule="auto"/>
      </w:pPr>
      <w:r>
        <w:rPr>
          <w:rFonts w:ascii="맑은 고딕" w:cs="맑은 고딕" w:eastAsia="맑은 고딕" w:hAnsi="맑은 고딕"/>
          <w:b/>
          <w:bCs/>
          <w:sz w:val="24"/>
          <w:szCs w:val="24"/>
        </w:rPr>
        <w:t xml:space="preserve">4.6 저성과자 관리: 회복형 PIP의 설계</w:t>
      </w:r>
    </w:p>
    <w:p>
      <w:pPr>
        <w:spacing w:after="80" w:line="384" w:lineRule="auto"/>
        <w:ind w:firstLine="200"/>
        <w:jc w:val="both"/>
      </w:pPr>
      <w:r>
        <w:rPr>
          <w:rFonts w:ascii="바탕" w:cs="바탕" w:eastAsia="바탕" w:hAnsi="바탕"/>
          <w:sz w:val="22"/>
          <w:szCs w:val="22"/>
        </w:rPr>
        <w:t xml:space="preserve">저성과자 관리는 해고 정당화의 절차가 아니라 직무 적합도 재정렬의 절차로 재설계된다. 분기 평가에서 OKR 달성률이 60% 미만이며 핵심역량 평가가 직무등급 기준에 미달하는 구성원은 PIP 대상이 된다. PIP는 12주 프로그램으로 명시적 회복 목표, 주간 1:1 코칭, 사내 멘토 매칭, 직무 재교육을 표준 패키지로 제공한다. 12주 후 목표 달성 시 정상 트랙으로 복귀하며, 미달 시 직무 재배치 옵션을 우선 검토한다. 직무 재배치까지 무망한 경우에 한해 분리 절차로 이행하며, 이때도 외부 전직 지원 프로그램을 제공한다. 이 회복형 PIP는 2023년 대법원 판례가 요구하는 다단계 PIP·재배치 제안·교육 제공의 적법 요건을 충족하며, 동시에 본 설계의 직무중심 철학과도 일관된다(딜라이트노무법인, 2024).</w:t>
      </w:r>
    </w:p>
    <w:p>
      <w:pPr>
        <w:spacing w:after="100" w:before="220" w:line="320" w:lineRule="auto"/>
      </w:pPr>
      <w:r>
        <w:rPr>
          <w:rFonts w:ascii="맑은 고딕" w:cs="맑은 고딕" w:eastAsia="맑은 고딕" w:hAnsi="맑은 고딕"/>
          <w:b/>
          <w:bCs/>
          <w:sz w:val="24"/>
          <w:szCs w:val="24"/>
        </w:rPr>
        <w:t xml:space="preserve">4.7 평가-보상 분리의 운영 매트릭스</w:t>
      </w:r>
    </w:p>
    <w:p>
      <w:pPr>
        <w:spacing w:after="80" w:line="384" w:lineRule="auto"/>
        <w:ind w:firstLine="200"/>
        <w:jc w:val="both"/>
      </w:pPr>
      <w:r>
        <w:rPr>
          <w:rFonts w:ascii="바탕" w:cs="바탕" w:eastAsia="바탕" w:hAnsi="바탕"/>
          <w:sz w:val="22"/>
          <w:szCs w:val="22"/>
        </w:rPr>
        <w:t xml:space="preserve">평가-보상 분리는 선언이 아니라 구체적 운영 규칙으로 구현될 때 작동한다. 표 5는 두 트랙의 운영 구조를 비교한다. 발달 트랙은 구성원이 소집하며 코칭 로그·역량개발 트랙을 산출하고, 분배 트랙은 매니저-HR이 연 1회 캘리브레이션을 통해 직무가치 등급 조정·연봉 인상률·인센티브를 결정한다. 두 트랙의 입력은 다르다. 발달 트랙은 실시간 피드백과 자기성찰을 입력으로 삼지만, 분배 트랙은 연간 누적 OKR 성과·직무가치 평가·시장 임금 데이터를 입력으로 삼는다. 분배 결정의 책임은 매니저에게 있되, 동일 직무군 내 분포가 표준편차 1 이상 이탈할 경우 인사위원회의 사후 점검을 거치도록 함으로써 위임과 거버넌스의 균형을 도모한다.</w:t>
      </w:r>
    </w:p>
    <w:p>
      <w:pPr>
        <w:spacing w:after="80" w:before="100" w:line="300" w:lineRule="auto"/>
        <w:jc w:val="left"/>
      </w:pPr>
      <w:r>
        <w:rPr>
          <w:rFonts w:ascii="맑은 고딕" w:cs="맑은 고딕" w:eastAsia="맑은 고딕" w:hAnsi="맑은 고딕"/>
          <w:b/>
          <w:bCs/>
          <w:sz w:val="20"/>
          <w:szCs w:val="20"/>
        </w:rPr>
        <w:t xml:space="preserve">표 5. 평가-보상 분리 운영 매트릭스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구분</w:t>
            </w:r>
          </w:p>
        </w:tc>
        <w:tc>
          <w:tcPr>
            <w:tcW w:type="dxa" w:w="368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발달 트랙 (Growth Track)</w:t>
            </w:r>
          </w:p>
        </w:tc>
        <w:tc>
          <w:tcPr>
            <w:tcW w:type="dxa" w:w="368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분배 트랙 (Reward Track)</w:t>
            </w:r>
          </w:p>
        </w:tc>
      </w:tr>
      <w:tr>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목적</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개인 역량 개발과 내재적 동기 부여</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기여에 상응하는 보상의 결정과 집행</w:t>
            </w:r>
          </w:p>
        </w:tc>
      </w:tr>
      <w:tr>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주체</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구성원이 소집 (employee-driven)</w:t>
            </w:r>
          </w:p>
          <w:p>
            <w:pPr>
              <w:spacing w:line="280" w:lineRule="auto"/>
              <w:jc w:val="left"/>
            </w:pPr>
            <w:r>
              <w:rPr>
                <w:rFonts w:ascii="바탕" w:cs="바탕" w:eastAsia="바탕" w:hAnsi="바탕"/>
                <w:b w:val="false"/>
                <w:bCs w:val="false"/>
                <w:sz w:val="19"/>
                <w:szCs w:val="19"/>
              </w:rPr>
              <w:t xml:space="preserve">매니저는 코치 역할</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매니저-HR 캘리브레이션 합의</w:t>
            </w:r>
          </w:p>
          <w:p>
            <w:pPr>
              <w:spacing w:line="280" w:lineRule="auto"/>
              <w:jc w:val="left"/>
            </w:pPr>
            <w:r>
              <w:rPr>
                <w:rFonts w:ascii="바탕" w:cs="바탕" w:eastAsia="바탕" w:hAnsi="바탕"/>
                <w:b w:val="false"/>
                <w:bCs w:val="false"/>
                <w:sz w:val="19"/>
                <w:szCs w:val="19"/>
              </w:rPr>
              <w:t xml:space="preserve">위원회 사후 점검</w:t>
            </w:r>
          </w:p>
        </w:tc>
      </w:tr>
      <w:tr>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주기</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월간 1:1 + 분기 리뷰 (연 16회 이상)</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연 1회 (12월) 별도 사이클</w:t>
            </w:r>
          </w:p>
        </w:tc>
      </w:tr>
      <w:tr>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산출물</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성장 계획서, 코칭 로그, 역량개발 트랙, 360 피드백 요약</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직무가치 등급 조정, 연봉 인상률, 성과 인센티브 결정</w:t>
            </w:r>
          </w:p>
        </w:tc>
      </w:tr>
      <w:tr>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핵심 입력</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실시간 피드백, 자기성찰, 학습 의제</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연간 누적 OKR 성과, 직무가치 등급, 시장 임금 데이터</w:t>
            </w:r>
          </w:p>
        </w:tc>
      </w:tr>
      <w:tr>
        <w:tc>
          <w:tcPr>
            <w:tcW w:type="dxa" w:w="20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의사결정 책임</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구성원 본인 (자율성)</w:t>
            </w:r>
          </w:p>
        </w:tc>
        <w:tc>
          <w:tcPr>
            <w:tcW w:type="dxa" w:w="368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매니저 (예산 권한 + HR 거버넌스)</w:t>
            </w:r>
          </w:p>
        </w:tc>
      </w:tr>
    </w:tbl>
    <w:p>
      <w:pPr>
        <w:spacing w:after="80" w:line="384" w:lineRule="auto"/>
        <w:jc w:val="both"/>
      </w:pPr>
      <w:r>
        <w:rPr>
          <w:rFonts w:ascii="바탕" w:cs="바탕" w:eastAsia="바탕" w:hAnsi="바탕"/>
          <w:sz w:val="22"/>
          <w:szCs w:val="22"/>
        </w:rPr>
        <w:t xml:space="preserve"> </w:t>
      </w:r>
    </w:p>
    <w:p>
      <w:pPr>
        <w:spacing w:after="160" w:before="320" w:line="320" w:lineRule="auto"/>
      </w:pPr>
      <w:r>
        <w:rPr>
          <w:rFonts w:ascii="맑은 고딕" w:cs="맑은 고딕" w:eastAsia="맑은 고딕" w:hAnsi="맑은 고딕"/>
          <w:b/>
          <w:bCs/>
          <w:sz w:val="28"/>
          <w:szCs w:val="28"/>
        </w:rPr>
        <w:t xml:space="preserve">5. 기대효과와 도입 로드맵</w:t>
      </w:r>
    </w:p>
    <w:p>
      <w:pPr>
        <w:spacing w:after="80" w:line="384" w:lineRule="auto"/>
        <w:ind w:firstLine="200"/>
        <w:jc w:val="both"/>
      </w:pPr>
      <w:r>
        <w:rPr>
          <w:rFonts w:ascii="바탕" w:cs="바탕" w:eastAsia="바탕" w:hAnsi="바탕"/>
          <w:sz w:val="22"/>
          <w:szCs w:val="22"/>
        </w:rPr>
        <w:t xml:space="preserve">본 제도의 기대효과는 정량·정성 두 축에서 정리된다. 정량적 기대효과로는 도입 2년 차 시점에 핵심인재 자발적 퇴사율 30% 감소(Adobe 사례 준용), 컨설턴트 1인당 빌러블 시간 10% 증가, 클라이언트 NPS 15점 상승이 가정될 수 있다. 정성적 기대효과는 분기 단위 피드백 정착으로 인한 학습 가속, 직무가치 기반 보상으로 인한 분배공정성 인식 향상, 평가-보상 분리에 따른 성장 대화의 질적 심화이다. 이 효과들은 한태영(2010)이 제시한 효과성 4차원과도 정합적이다. 공정성 인식은 직무가치 기반의 분배공정성과 다단계 의견 수렴의 절차공정성을 통해 강화되며, 유용성과 만족도는 성장 대화의 질적 변화로부터, 정확성 인식은 AI 보조 분석과 캘리브레이션을 통해 제고된다.</w:t>
      </w:r>
    </w:p>
    <w:p>
      <w:pPr>
        <w:spacing w:after="80" w:line="384" w:lineRule="auto"/>
        <w:ind w:firstLine="200"/>
        <w:jc w:val="both"/>
      </w:pPr>
      <w:r>
        <w:rPr>
          <w:rFonts w:ascii="바탕" w:cs="바탕" w:eastAsia="바탕" w:hAnsi="바탕"/>
          <w:sz w:val="22"/>
          <w:szCs w:val="22"/>
        </w:rPr>
        <w:t xml:space="preserve">도입은 18개월에 걸친 3단계 로드맵으로 추진한다(표 6). 1단계는 직무기술서 정비, 직무가치 평가, 직무등급 체계 확정 등 인프라 구축에 집중하며, 2단계는 1~2개 본부에 신제도를 시범 적용하고 분기별로 보정한다. 3단계는 전사 도입과 함께 AI 보조 도구를 단계적으로 활성화하고 호봉제 임금 전환 트랙을 가동한다. 변화관리의 핵심은 평가자 훈련이며, 매니저 전원에 대해 분기 8시간의 코칭 워크숍을 의무화한다.</w:t>
      </w:r>
    </w:p>
    <w:p>
      <w:pPr>
        <w:spacing w:after="80" w:before="100" w:line="300" w:lineRule="auto"/>
        <w:jc w:val="left"/>
      </w:pPr>
      <w:r>
        <w:rPr>
          <w:rFonts w:ascii="맑은 고딕" w:cs="맑은 고딕" w:eastAsia="맑은 고딕" w:hAnsi="맑은 고딕"/>
          <w:b/>
          <w:bCs/>
          <w:sz w:val="20"/>
          <w:szCs w:val="20"/>
        </w:rPr>
        <w:t xml:space="preserve">표 6. 18개월 도입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600"/>
        <w:gridCol w:w="2660"/>
      </w:tblGrid>
      <w:tr>
        <w:trPr>
          <w:tblHeader/>
        </w:trPr>
        <w:tc>
          <w:tcPr>
            <w:tcW w:type="dxa" w:w="16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단계</w:t>
            </w:r>
          </w:p>
        </w:tc>
        <w:tc>
          <w:tcPr>
            <w:tcW w:type="dxa" w:w="15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기간</w:t>
            </w:r>
          </w:p>
        </w:tc>
        <w:tc>
          <w:tcPr>
            <w:tcW w:type="dxa" w:w="360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핵심 활동</w:t>
            </w:r>
          </w:p>
        </w:tc>
        <w:tc>
          <w:tcPr>
            <w:tcW w:type="dxa" w:w="2660"/>
            <w:tcBorders>
              <w:top w:val="single" w:color="888888" w:sz="6"/>
              <w:left w:val="single" w:color="888888" w:sz="6"/>
              <w:bottom w:val="single" w:color="888888" w:sz="6"/>
              <w:right w:val="single" w:color="888888" w:sz="6"/>
            </w:tcBorders>
            <w:shd w:fill="E8EEF4" w:val="clear"/>
            <w:tcMar>
              <w:top w:type="dxa" w:w="90"/>
              <w:left w:type="dxa" w:w="110"/>
              <w:bottom w:type="dxa" w:w="90"/>
              <w:right w:type="dxa" w:w="110"/>
            </w:tcMar>
          </w:tcPr>
          <w:p>
            <w:pPr>
              <w:spacing w:line="280" w:lineRule="auto"/>
              <w:jc w:val="center"/>
            </w:pPr>
            <w:r>
              <w:rPr>
                <w:rFonts w:ascii="바탕" w:cs="바탕" w:eastAsia="바탕" w:hAnsi="바탕"/>
                <w:b/>
                <w:bCs/>
                <w:sz w:val="19"/>
                <w:szCs w:val="19"/>
              </w:rPr>
              <w:t xml:space="preserve">산출물 / 점검 지표</w:t>
            </w:r>
          </w:p>
        </w:tc>
      </w:tr>
      <w:tr>
        <w:tc>
          <w:tcPr>
            <w:tcW w:type="dxa" w:w="16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1단계</w:t>
            </w:r>
          </w:p>
          <w:p>
            <w:pPr>
              <w:spacing w:line="280" w:lineRule="auto"/>
              <w:jc w:val="left"/>
            </w:pPr>
            <w:r>
              <w:rPr>
                <w:rFonts w:ascii="바탕" w:cs="바탕" w:eastAsia="바탕" w:hAnsi="바탕"/>
                <w:b w:val="false"/>
                <w:bCs w:val="false"/>
                <w:sz w:val="19"/>
                <w:szCs w:val="19"/>
              </w:rPr>
              <w:t xml:space="preserve">인프라 구축</w:t>
            </w:r>
          </w:p>
        </w:tc>
        <w:tc>
          <w:tcPr>
            <w:tcW w:type="dxa" w:w="15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1~6개월</w:t>
            </w:r>
          </w:p>
        </w:tc>
        <w:tc>
          <w:tcPr>
            <w:tcW w:type="dxa" w:w="36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직무군 정의 및 직무기술서 정비, 직무가치 평가 워크숍, 직무등급 체계(J1~J5) 확정, 핵심역량 모델 수립</w:t>
            </w:r>
          </w:p>
        </w:tc>
        <w:tc>
          <w:tcPr>
            <w:tcW w:type="dxa" w:w="26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직무카드 전수, 임금 밴드 초안, 평가자 매뉴얼 v1</w:t>
            </w:r>
          </w:p>
        </w:tc>
      </w:tr>
      <w:tr>
        <w:tc>
          <w:tcPr>
            <w:tcW w:type="dxa" w:w="16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2단계</w:t>
            </w:r>
          </w:p>
          <w:p>
            <w:pPr>
              <w:spacing w:line="280" w:lineRule="auto"/>
              <w:jc w:val="left"/>
            </w:pPr>
            <w:r>
              <w:rPr>
                <w:rFonts w:ascii="바탕" w:cs="바탕" w:eastAsia="바탕" w:hAnsi="바탕"/>
                <w:b w:val="false"/>
                <w:bCs w:val="false"/>
                <w:sz w:val="19"/>
                <w:szCs w:val="19"/>
              </w:rPr>
              <w:t xml:space="preserve">파일럿 운영</w:t>
            </w:r>
          </w:p>
        </w:tc>
        <w:tc>
          <w:tcPr>
            <w:tcW w:type="dxa" w:w="15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7~12개월</w:t>
            </w:r>
          </w:p>
        </w:tc>
        <w:tc>
          <w:tcPr>
            <w:tcW w:type="dxa" w:w="36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1~2개 본부 대상 분기 OKR·월간 1:1·360 시범 적용, 캘리브레이션 회의 운영, 평가-보상 분리 시뮬레이션</w:t>
            </w:r>
          </w:p>
        </w:tc>
        <w:tc>
          <w:tcPr>
            <w:tcW w:type="dxa" w:w="26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파일럿 수용성 70점 이상, 평가 누적 데이터 확보</w:t>
            </w:r>
          </w:p>
        </w:tc>
      </w:tr>
      <w:tr>
        <w:tc>
          <w:tcPr>
            <w:tcW w:type="dxa" w:w="16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3단계</w:t>
            </w:r>
          </w:p>
          <w:p>
            <w:pPr>
              <w:spacing w:line="280" w:lineRule="auto"/>
              <w:jc w:val="left"/>
            </w:pPr>
            <w:r>
              <w:rPr>
                <w:rFonts w:ascii="바탕" w:cs="바탕" w:eastAsia="바탕" w:hAnsi="바탕"/>
                <w:b w:val="false"/>
                <w:bCs w:val="false"/>
                <w:sz w:val="19"/>
                <w:szCs w:val="19"/>
              </w:rPr>
              <w:t xml:space="preserve">전사 확산</w:t>
            </w:r>
          </w:p>
        </w:tc>
        <w:tc>
          <w:tcPr>
            <w:tcW w:type="dxa" w:w="15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center"/>
            </w:pPr>
            <w:r>
              <w:rPr>
                <w:rFonts w:ascii="바탕" w:cs="바탕" w:eastAsia="바탕" w:hAnsi="바탕"/>
                <w:b w:val="false"/>
                <w:bCs w:val="false"/>
                <w:sz w:val="19"/>
                <w:szCs w:val="19"/>
              </w:rPr>
              <w:t xml:space="preserve">13~18개월</w:t>
            </w:r>
          </w:p>
        </w:tc>
        <w:tc>
          <w:tcPr>
            <w:tcW w:type="dxa" w:w="360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전사 도입, AI 보조 도구 단계적 활성화, 호봉제 임금 전환 트랙(5년) 가동, 매니저 행동 평가 신설</w:t>
            </w:r>
          </w:p>
        </w:tc>
        <w:tc>
          <w:tcPr>
            <w:tcW w:type="dxa" w:w="2660"/>
            <w:tcBorders>
              <w:top w:val="single" w:color="888888" w:sz="6"/>
              <w:left w:val="single" w:color="888888" w:sz="6"/>
              <w:bottom w:val="single" w:color="888888" w:sz="6"/>
              <w:right w:val="single" w:color="888888" w:sz="6"/>
            </w:tcBorders>
            <w:tcMar>
              <w:top w:type="dxa" w:w="90"/>
              <w:left w:type="dxa" w:w="110"/>
              <w:bottom w:type="dxa" w:w="90"/>
              <w:right w:type="dxa" w:w="110"/>
            </w:tcMar>
          </w:tcPr>
          <w:p>
            <w:pPr>
              <w:spacing w:line="280" w:lineRule="auto"/>
              <w:jc w:val="left"/>
            </w:pPr>
            <w:r>
              <w:rPr>
                <w:rFonts w:ascii="바탕" w:cs="바탕" w:eastAsia="바탕" w:hAnsi="바탕"/>
                <w:b w:val="false"/>
                <w:bCs w:val="false"/>
                <w:sz w:val="19"/>
                <w:szCs w:val="19"/>
              </w:rPr>
              <w:t xml:space="preserve">전사 수용성 75점, 자발적 퇴사율 30% 감소</w:t>
            </w:r>
          </w:p>
        </w:tc>
      </w:tr>
    </w:tbl>
    <w:p>
      <w:pPr>
        <w:spacing w:after="80" w:line="384" w:lineRule="auto"/>
        <w:jc w:val="both"/>
      </w:pPr>
      <w:r>
        <w:rPr>
          <w:rFonts w:ascii="바탕" w:cs="바탕" w:eastAsia="바탕" w:hAnsi="바탕"/>
          <w:sz w:val="22"/>
          <w:szCs w:val="22"/>
        </w:rPr>
        <w:t xml:space="preserve"> </w:t>
      </w:r>
    </w:p>
    <w:p>
      <w:pPr>
        <w:spacing w:after="80" w:line="384" w:lineRule="auto"/>
        <w:ind w:firstLine="200"/>
        <w:jc w:val="both"/>
      </w:pPr>
      <w:r>
        <w:rPr>
          <w:rFonts w:ascii="바탕" w:cs="바탕" w:eastAsia="바탕" w:hAnsi="바탕"/>
          <w:sz w:val="22"/>
          <w:szCs w:val="22"/>
        </w:rPr>
        <w:t xml:space="preserve">도입 과정에서 예상되는 리스크는 직무기술서 작성의 형식화, 매니저 역량의 편차, 기존 호봉제와의 충돌로 정리된다. 직무가치가 보상의 기준이 되는 만큼 직무기술서가 실제 책임과 산출물을 반영하지 못하고 형식적 문서로 머물면 평가 전체가 공허해진다. 이 위험은 외부 컨설팅 펌으로서 자사의 방법론을 적용해 직무 인터뷰와 산출물 검증을 병행함으로써 완화할 수 있다. 매니저 역량의 편차는 코칭 워크숍 이수와 별도의 매니저 행동 평가(Microsoft 사례 준용)로 보완하며, 호봉제 잔존 구조와의 충돌은 직무가치 기반 보상과 기존 호봉 보상의 차이를 5년에 걸쳐 점진적으로 조정하는 임금 전환 트랙으로 흡수한다.</w:t>
      </w:r>
    </w:p>
    <w:p>
      <w:pPr>
        <w:spacing w:after="80" w:line="384" w:lineRule="auto"/>
        <w:ind w:firstLine="200"/>
        <w:jc w:val="both"/>
      </w:pPr>
      <w:r>
        <w:rPr>
          <w:rFonts w:ascii="바탕" w:cs="바탕" w:eastAsia="바탕" w:hAnsi="바탕"/>
          <w:sz w:val="22"/>
          <w:szCs w:val="22"/>
        </w:rPr>
        <w:t xml:space="preserve">성공 측정은 도입 6개월·12개월·18개월 시점에 평가 수용성 조사를 통해 점검한다. SCOPE 모델의 공정성 4유형—분배·절차·상호작용·정보—을 측정 항목으로 삼고, 평가 수용성 지수와 자발적 퇴사율, OKR 달성도 분포를 핵심 KPI로 설정한다. 수용성 지수가 70점 미만으로 측정되는 본부에 대해서는 별도 진단 컨설팅을 투입하여 절차적 보완을 즉시 시행한다.</w:t>
      </w:r>
    </w:p>
    <w:p>
      <w:pPr>
        <w:spacing w:after="160" w:before="320" w:line="320" w:lineRule="auto"/>
      </w:pPr>
      <w:r>
        <w:rPr>
          <w:rFonts w:ascii="맑은 고딕" w:cs="맑은 고딕" w:eastAsia="맑은 고딕" w:hAnsi="맑은 고딕"/>
          <w:b/>
          <w:bCs/>
          <w:sz w:val="28"/>
          <w:szCs w:val="28"/>
        </w:rPr>
        <w:t xml:space="preserve">6. 결론</w:t>
      </w:r>
    </w:p>
    <w:p>
      <w:pPr>
        <w:spacing w:after="80" w:line="384" w:lineRule="auto"/>
        <w:ind w:firstLine="200"/>
        <w:jc w:val="both"/>
      </w:pPr>
      <w:r>
        <w:rPr>
          <w:rFonts w:ascii="바탕" w:cs="바탕" w:eastAsia="바탕" w:hAnsi="바탕"/>
          <w:sz w:val="22"/>
          <w:szCs w:val="22"/>
        </w:rPr>
        <w:t xml:space="preserve">성과평가 제도의 전환은 도구의 교체가 아니라 인사 인프라의 재구축을 의미한다. 본 보고서는 글로벌 6개사 사례를 4축에서 비교 분석하여 평가-보상 분리·직무가치 기반 보상·상시 발달 대화의 세 축이 개인성과 중심 평가의 결합 조건임을 도출하였으며, 한태영(2010)의 효과성 4차원에 매핑한 진단을 통해 한국 기업의 평가가 어느 차원에서도 충실히 작동하지 못하고 있음을 확인하였다.</w:t>
      </w:r>
    </w:p>
    <w:p>
      <w:pPr>
        <w:spacing w:after="80" w:line="384" w:lineRule="auto"/>
        <w:ind w:firstLine="200"/>
        <w:jc w:val="both"/>
      </w:pPr>
      <w:r>
        <w:rPr>
          <w:rFonts w:ascii="바탕" w:cs="바탕" w:eastAsia="바탕" w:hAnsi="바탕"/>
          <w:sz w:val="22"/>
          <w:szCs w:val="22"/>
        </w:rPr>
        <w:t xml:space="preserve">시앤피컨설팅을 대상으로 한 본 설계는 자사가 클라이언트에게 권고하는 직무중심 인사관리의 원칙을 자사에 먼저 적용한다는 점에서 메타적 함의를 갖는다. 직무가치 평가에 기반한 기준 보상, 누적 성과의 차등 가산, 발달 대화와 분배 대화의 분리, 회복형 PIP와 평가자 행동 평가의 신설은 한국 HR 컨설팅 산업이 직무중심 인사관리 정착의 모범 사례를 만들어내는 한 시도이다.</w:t>
      </w:r>
    </w:p>
    <w:p>
      <w:pPr>
        <w:spacing w:after="80" w:line="384" w:lineRule="auto"/>
        <w:ind w:firstLine="200"/>
        <w:jc w:val="both"/>
      </w:pPr>
      <w:r>
        <w:rPr>
          <w:rFonts w:ascii="바탕" w:cs="바탕" w:eastAsia="바탕" w:hAnsi="바탕"/>
          <w:sz w:val="22"/>
          <w:szCs w:val="22"/>
        </w:rPr>
        <w:t xml:space="preserve">결국 성과평가의 본질적 질문은 ‘누구에게 더 줄 것인가’가 아니라 ‘어떻게 더 성장하게 할 것인가’이다. 평가와 보상을 분리하고, 직무가치 위에 개인성과 평가를 얹는 본 설계는 그 질문에 대한 하나의 구조적 답변이다. 일률적 정년연장 논의의 대안으로서 직무 가치에 따른 보상 차등이 작동하는 인사 체계가 정착될 때, 한국 기업의 평가제도는 비로소 성장의 도구로 자리매김할 수 있을 것이다.</w:t>
      </w:r>
    </w:p>
    <w:p>
      <w:pPr>
        <w:spacing w:after="160" w:before="320" w:line="320" w:lineRule="auto"/>
      </w:pPr>
      <w:r>
        <w:rPr>
          <w:rFonts w:ascii="맑은 고딕" w:cs="맑은 고딕" w:eastAsia="맑은 고딕" w:hAnsi="맑은 고딕"/>
          <w:b/>
          <w:bCs/>
          <w:sz w:val="28"/>
          <w:szCs w:val="28"/>
        </w:rPr>
        <w:t xml:space="preserve">참고문헌</w:t>
      </w:r>
    </w:p>
    <w:p>
      <w:pPr>
        <w:spacing w:after="80" w:line="384" w:lineRule="auto"/>
        <w:jc w:val="both"/>
      </w:pPr>
      <w:r>
        <w:rPr>
          <w:rFonts w:ascii="바탕" w:cs="바탕" w:eastAsia="바탕" w:hAnsi="바탕"/>
          <w:sz w:val="22"/>
          <w:szCs w:val="22"/>
        </w:rPr>
        <w:t xml:space="preserve">윤동열 (2026). 성과평가의 글로벌 트렌드와 한국 기업의 과제. 건국대학교 경영전문대학원 강의자료.</w:t>
      </w:r>
    </w:p>
    <w:p>
      <w:pPr>
        <w:spacing w:after="80" w:line="384" w:lineRule="auto"/>
        <w:jc w:val="both"/>
      </w:pPr>
      <w:r>
        <w:rPr>
          <w:rFonts w:ascii="바탕" w:cs="바탕" w:eastAsia="바탕" w:hAnsi="바탕"/>
          <w:sz w:val="22"/>
          <w:szCs w:val="22"/>
        </w:rPr>
        <w:t xml:space="preserve">한태영 (2010). 인사평가와 성과관리. 시그마프레스.</w:t>
      </w:r>
    </w:p>
    <w:p>
      <w:pPr>
        <w:spacing w:after="80" w:line="384" w:lineRule="auto"/>
        <w:jc w:val="both"/>
      </w:pPr>
      <w:r>
        <w:rPr>
          <w:rFonts w:ascii="바탕" w:cs="바탕" w:eastAsia="바탕" w:hAnsi="바탕"/>
          <w:sz w:val="22"/>
          <w:szCs w:val="22"/>
        </w:rPr>
        <w:t xml:space="preserve">한국노동연구원 (2023). 직무가치 기반 임금체계 도입 현황 연구.</w:t>
      </w:r>
    </w:p>
    <w:p>
      <w:pPr>
        <w:spacing w:after="80" w:line="384" w:lineRule="auto"/>
        <w:jc w:val="both"/>
      </w:pPr>
      <w:r>
        <w:rPr>
          <w:rFonts w:ascii="바탕" w:cs="바탕" w:eastAsia="바탕" w:hAnsi="바탕"/>
          <w:sz w:val="22"/>
          <w:szCs w:val="22"/>
        </w:rPr>
        <w:t xml:space="preserve">딜라이트노무법인 (2024). PIP 시리즈: HR 저성과자 프로그램 운영 사례와 판결 분석.</w:t>
      </w:r>
    </w:p>
    <w:p>
      <w:pPr>
        <w:spacing w:after="80" w:line="384" w:lineRule="auto"/>
        <w:jc w:val="both"/>
      </w:pPr>
      <w:r>
        <w:rPr>
          <w:rFonts w:ascii="바탕" w:cs="바탕" w:eastAsia="바탕" w:hAnsi="바탕"/>
          <w:sz w:val="22"/>
          <w:szCs w:val="22"/>
        </w:rPr>
        <w:t xml:space="preserve">잡코리아 (2024). MZ 직장인이 꼽은 이상적인 상사 설문조사.</w:t>
      </w:r>
    </w:p>
    <w:p>
      <w:pPr>
        <w:spacing w:after="80" w:line="384" w:lineRule="auto"/>
        <w:jc w:val="both"/>
      </w:pPr>
      <w:r>
        <w:rPr>
          <w:rFonts w:ascii="바탕" w:cs="바탕" w:eastAsia="바탕" w:hAnsi="바탕"/>
          <w:sz w:val="22"/>
          <w:szCs w:val="22"/>
        </w:rPr>
        <w:t xml:space="preserve">클랩 (2026). 2026 HR 트렌드로 본 AI 성과관리 솔루션의 필요성.</w:t>
      </w:r>
    </w:p>
    <w:p>
      <w:pPr>
        <w:spacing w:after="80" w:line="384" w:lineRule="auto"/>
        <w:jc w:val="both"/>
      </w:pPr>
      <w:r>
        <w:rPr>
          <w:rFonts w:ascii="바탕" w:cs="바탕" w:eastAsia="바탕" w:hAnsi="바탕"/>
          <w:sz w:val="22"/>
          <w:szCs w:val="22"/>
        </w:rPr>
        <w:t xml:space="preserve">CGK (2023). Generation Z in the Workplace Feedback Survey.</w:t>
      </w:r>
    </w:p>
    <w:p>
      <w:pPr>
        <w:spacing w:after="80" w:line="384" w:lineRule="auto"/>
        <w:jc w:val="both"/>
      </w:pPr>
      <w:r>
        <w:rPr>
          <w:rFonts w:ascii="바탕" w:cs="바탕" w:eastAsia="바탕" w:hAnsi="바탕"/>
          <w:sz w:val="22"/>
          <w:szCs w:val="22"/>
        </w:rPr>
        <w:t xml:space="preserve">Deci, E. L., &amp; Ryan, R. M. (2000). The What and Why of Goal Pursuits: Human Needs and the Self-Determination of Behavior. Psychological Inquiry, 11(4), 227-268.</w:t>
      </w:r>
    </w:p>
    <w:p>
      <w:pPr>
        <w:spacing w:after="80" w:line="384" w:lineRule="auto"/>
        <w:jc w:val="both"/>
      </w:pPr>
      <w:r>
        <w:rPr>
          <w:rFonts w:ascii="바탕" w:cs="바탕" w:eastAsia="바탕" w:hAnsi="바탕"/>
          <w:sz w:val="22"/>
          <w:szCs w:val="22"/>
        </w:rPr>
        <w:t xml:space="preserve">Folger, R. (1992). Distributive and Procedural Justice in the Workplace. Social Justice Research, 5(2), 131-148.</w:t>
      </w:r>
    </w:p>
    <w:p>
      <w:pPr>
        <w:spacing w:after="80" w:line="384" w:lineRule="auto"/>
        <w:jc w:val="both"/>
      </w:pPr>
      <w:r>
        <w:rPr>
          <w:rFonts w:ascii="바탕" w:cs="바탕" w:eastAsia="바탕" w:hAnsi="바탕"/>
          <w:sz w:val="22"/>
          <w:szCs w:val="22"/>
        </w:rPr>
        <w:t xml:space="preserve">Hastings, R., &amp; Meyer, E. (2020). No Rules Rules: Netflix and the Culture of Reinvention. Penguin Press.</w:t>
      </w:r>
    </w:p>
    <w:p>
      <w:pPr>
        <w:spacing w:after="80" w:line="384" w:lineRule="auto"/>
        <w:jc w:val="both"/>
      </w:pPr>
      <w:r>
        <w:rPr>
          <w:rFonts w:ascii="바탕" w:cs="바탕" w:eastAsia="바탕" w:hAnsi="바탕"/>
          <w:sz w:val="22"/>
          <w:szCs w:val="22"/>
        </w:rPr>
        <w:t xml:space="preserve">Lind, E. A., &amp; Tyler, T. R. (1988). The Social Psychology of Procedural Justice. Plenum Press.</w:t>
      </w:r>
    </w:p>
    <w:p>
      <w:pPr>
        <w:spacing w:after="80" w:line="384" w:lineRule="auto"/>
        <w:jc w:val="both"/>
      </w:pPr>
      <w:r>
        <w:rPr>
          <w:rFonts w:ascii="바탕" w:cs="바탕" w:eastAsia="바탕" w:hAnsi="바탕"/>
          <w:sz w:val="22"/>
          <w:szCs w:val="22"/>
        </w:rPr>
        <w:t xml:space="preserve">Locke, E. A., &amp; Latham, G. P. (2002). Building a Practically Useful Theory of Goal Setting and Task Motivation. American Psychologist, 57(9), 705-717.</w:t>
      </w:r>
    </w:p>
    <w:p>
      <w:pPr>
        <w:spacing w:after="80" w:line="384" w:lineRule="auto"/>
        <w:jc w:val="both"/>
      </w:pPr>
      <w:r>
        <w:rPr>
          <w:rFonts w:ascii="바탕" w:cs="바탕" w:eastAsia="바탕" w:hAnsi="바탕"/>
          <w:sz w:val="22"/>
          <w:szCs w:val="22"/>
        </w:rPr>
        <w:t xml:space="preserve">Morris, D. (2014). Death to the Performance Review: How Adobe Reinvented Performance Management. Adobe Blog.</w:t>
      </w:r>
    </w:p>
    <w:p>
      <w:pPr>
        <w:spacing w:after="80" w:line="384" w:lineRule="auto"/>
        <w:jc w:val="both"/>
      </w:pPr>
      <w:r>
        <w:rPr>
          <w:rFonts w:ascii="바탕" w:cs="바탕" w:eastAsia="바탕" w:hAnsi="바탕"/>
          <w:sz w:val="22"/>
          <w:szCs w:val="22"/>
        </w:rPr>
        <w:t xml:space="preserve">Allwork.Space (2025). Google's New Performance Review System Promises Huge Bonuses for High Achievers.</w:t>
      </w:r>
    </w:p>
    <w:p>
      <w:pPr>
        <w:spacing w:after="80" w:line="384" w:lineRule="auto"/>
        <w:jc w:val="both"/>
      </w:pPr>
      <w:r>
        <w:rPr>
          <w:rFonts w:ascii="바탕" w:cs="바탕" w:eastAsia="바탕" w:hAnsi="바탕"/>
          <w:sz w:val="22"/>
          <w:szCs w:val="22"/>
        </w:rPr>
        <w:t xml:space="preserve">Deel (2024). How Microsoft's Performance Reviews Empower Employees and Drive Business Performance.</w:t>
      </w:r>
    </w:p>
    <w:p>
      <w:pPr>
        <w:spacing w:after="80" w:line="384" w:lineRule="auto"/>
        <w:jc w:val="both"/>
      </w:pPr>
      <w:r>
        <w:rPr>
          <w:rFonts w:ascii="바탕" w:cs="바탕" w:eastAsia="바탕" w:hAnsi="바탕"/>
          <w:sz w:val="22"/>
          <w:szCs w:val="22"/>
        </w:rPr>
        <w:t xml:space="preserve">Agility Portal (2026). Understanding Amazon Forte and OLR Performance Review.</w:t>
      </w:r>
    </w:p>
    <w:p>
      <w:pPr>
        <w:spacing w:after="80" w:line="384" w:lineRule="auto"/>
        <w:jc w:val="both"/>
      </w:pPr>
      <w:r>
        <w:rPr>
          <w:rFonts w:ascii="바탕" w:cs="바탕" w:eastAsia="바탕" w:hAnsi="바탕"/>
          <w:sz w:val="22"/>
          <w:szCs w:val="22"/>
        </w:rPr>
        <w:t xml:space="preserve">Workforce.com (2018). IBM Sets a New Checkpoint.</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r>
    <w:r>
      <w:rPr>
        <w:rFonts w:ascii="바탕" w:cs="바탕" w:eastAsia="바탕" w:hAnsi="바탕"/>
        <w:sz w:val="18"/>
        <w:szCs w:val="18"/>
      </w:rPr>
      <w:fldChar w:fldCharType="begin"/>
      <w:instrText xml:space="preserve">PAGE</w:instrText>
      <w:fldChar w:fldCharType="separate"/>
      <w:fldChar w:fldCharType="end"/>
    </w:r>
    <w:r>
      <w:rPr>
        <w:rFonts w:ascii="바탕" w:cs="바탕" w:eastAsia="바탕" w:hAnsi="바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개인성과 향상을 위한 성과평가 제도 도입 방안</dc:title>
  <dc:creator>이석주</dc:creator>
  <cp:lastModifiedBy>Un-named</cp:lastModifiedBy>
  <cp:revision>1</cp:revision>
  <dcterms:created xsi:type="dcterms:W3CDTF">2026-05-29T09:52:26.092Z</dcterms:created>
  <dcterms:modified xsi:type="dcterms:W3CDTF">2026-05-29T09:52:26.093Z</dcterms:modified>
</cp:coreProperties>
</file>

<file path=docProps/custom.xml><?xml version="1.0" encoding="utf-8"?>
<Properties xmlns="http://schemas.openxmlformats.org/officeDocument/2006/custom-properties" xmlns:vt="http://schemas.openxmlformats.org/officeDocument/2006/docPropsVTypes"/>
</file>