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before="2400"/>
      </w:pPr>
      <w:r>
        <w:t xml:space="preserve"/>
      </w:r>
    </w:p>
    <w:p>
      <w:pPr>
        <w:spacing w:after="320" w:line="360" w:lineRule="auto"/>
        <w:jc w:val="center"/>
      </w:pPr>
      <w:r>
        <w:rPr>
          <w:rFonts w:ascii="맑은 고딕" w:cs="맑은 고딕" w:eastAsia="맑은 고딕" w:hAnsi="맑은 고딕"/>
          <w:b/>
          <w:bCs/>
          <w:color w:val="1F3864"/>
          <w:sz w:val="40"/>
          <w:szCs w:val="40"/>
        </w:rPr>
        <w:t xml:space="preserve">성과평가 중간과제</w:t>
      </w:r>
    </w:p>
    <w:p>
      <w:pPr>
        <w:spacing w:after="480" w:line="400" w:lineRule="auto"/>
        <w:jc w:val="center"/>
      </w:pPr>
      <w:r>
        <w:rPr>
          <w:rFonts w:ascii="맑은 고딕" w:cs="맑은 고딕" w:eastAsia="맑은 고딕" w:hAnsi="맑은 고딕"/>
          <w:b/>
          <w:bCs/>
          <w:color w:val="2F5496"/>
          <w:sz w:val="28"/>
          <w:szCs w:val="28"/>
        </w:rPr>
        <w:t xml:space="preserve">해외 글로벌 기업 사례를 참고한
개인성과 향상을 위한 성과평가 제도 도입 방안</w:t>
      </w:r>
    </w:p>
    <w:p>
      <w:pPr>
        <w:spacing w:before="1800"/>
      </w:pPr>
      <w:r>
        <w:t xml:space="preserve"/>
      </w:r>
    </w:p>
    <w:p>
      <w:pPr>
        <w:spacing w:after="140" w:line="360" w:lineRule="auto"/>
        <w:jc w:val="center"/>
      </w:pPr>
      <w:r>
        <w:rPr>
          <w:rFonts w:ascii="맑은 고딕" w:cs="맑은 고딕" w:eastAsia="맑은 고딕" w:hAnsi="맑은 고딕"/>
          <w:sz w:val="23"/>
          <w:szCs w:val="23"/>
        </w:rPr>
        <w:t xml:space="preserve">건국대학교 경영전문대학원 (MBA)</w:t>
      </w:r>
    </w:p>
    <w:p>
      <w:pPr>
        <w:spacing w:after="140" w:line="360" w:lineRule="auto"/>
        <w:jc w:val="center"/>
      </w:pPr>
      <w:r>
        <w:rPr>
          <w:rFonts w:ascii="맑은 고딕" w:cs="맑은 고딕" w:eastAsia="맑은 고딕" w:hAnsi="맑은 고딕"/>
          <w:sz w:val="23"/>
          <w:szCs w:val="23"/>
        </w:rPr>
        <w:t xml:space="preserve">전공 │ 인사조직     과목 │ 성과평가 및 보상</w:t>
      </w:r>
    </w:p>
    <w:p>
      <w:pPr>
        <w:spacing w:after="140" w:line="360" w:lineRule="auto"/>
        <w:jc w:val="center"/>
      </w:pPr>
      <w:r>
        <w:rPr>
          <w:rFonts w:ascii="맑은 고딕" w:cs="맑은 고딕" w:eastAsia="맑은 고딕" w:hAnsi="맑은 고딕"/>
          <w:sz w:val="23"/>
          <w:szCs w:val="23"/>
        </w:rPr>
        <w:t xml:space="preserve">담당 │ 윤동열 교수님</w:t>
      </w:r>
    </w:p>
    <w:p>
      <w:pPr>
        <w:spacing w:after="140" w:before="400" w:line="360" w:lineRule="auto"/>
        <w:jc w:val="center"/>
      </w:pPr>
      <w:r>
        <w:rPr>
          <w:rFonts w:ascii="맑은 고딕" w:cs="맑은 고딕" w:eastAsia="맑은 고딕" w:hAnsi="맑은 고딕"/>
          <w:b/>
          <w:bCs/>
          <w:sz w:val="26"/>
          <w:szCs w:val="26"/>
        </w:rPr>
        <w:t xml:space="preserve">제출자   이 석 주</w:t>
      </w:r>
    </w:p>
    <w:p>
      <w:pPr>
        <w:spacing w:after="140" w:line="360" w:lineRule="auto"/>
        <w:jc w:val="center"/>
      </w:pPr>
      <w:r>
        <w:rPr>
          <w:rFonts w:ascii="맑은 고딕" w:cs="맑은 고딕" w:eastAsia="맑은 고딕" w:hAnsi="맑은 고딕"/>
          <w:sz w:val="22"/>
          <w:szCs w:val="22"/>
        </w:rPr>
        <w:t xml:space="preserve">제출일   2026. 5. 28.</w:t>
      </w:r>
    </w:p>
    <w:p>
      <w:pPr>
        <w:pStyle w:val="Heading1"/>
        <w:pageBreakBefore/>
        <w:pBdr>
          <w:bottom w:val="single" w:color="1F3864" w:sz="10" w:space="8"/>
        </w:pBdr>
        <w:spacing w:after="240" w:before="200" w:line="360" w:lineRule="auto"/>
      </w:pPr>
      <w:r>
        <w:rPr>
          <w:rFonts w:ascii="맑은 고딕" w:cs="맑은 고딕" w:eastAsia="맑은 고딕" w:hAnsi="맑은 고딕"/>
          <w:b/>
          <w:bCs/>
          <w:color w:val="1F3864"/>
          <w:sz w:val="30"/>
          <w:szCs w:val="30"/>
        </w:rPr>
        <w:t xml:space="preserve">Ⅰ. 개인성과 중심 성과평가의 중요성</w:t>
      </w:r>
    </w:p>
    <w:p>
      <w:pPr>
        <w:spacing w:after="100" w:before="0" w:line="384" w:lineRule="auto"/>
        <w:ind w:firstLine="240"/>
        <w:jc w:val="both"/>
      </w:pPr>
      <w:r>
        <w:rPr>
          <w:rFonts w:ascii="맑은 고딕" w:cs="맑은 고딕" w:eastAsia="맑은 고딕" w:hAnsi="맑은 고딕"/>
          <w:b w:val="false"/>
          <w:bCs w:val="false"/>
          <w:color w:val="000000"/>
          <w:sz w:val="22"/>
          <w:szCs w:val="22"/>
        </w:rPr>
        <w:t xml:space="preserve">조직성과는 개인성과의 합이다. 한 사람의 목표달성과 역량 성장이 정확히 관리될 때 조직성과도 함께 향상된다. 본 장은 개인성과 관리가 왜 조직성과 관리보다 우선되어야 하는지를 다섯 가지 관점에서 정리한다.</w:t>
      </w:r>
    </w:p>
    <w:p>
      <w:pPr>
        <w:pStyle w:val="Heading2"/>
        <w:spacing w:after="140" w:before="320" w:line="360" w:lineRule="auto"/>
      </w:pPr>
      <w:r>
        <w:rPr>
          <w:rFonts w:ascii="맑은 고딕" w:cs="맑은 고딕" w:eastAsia="맑은 고딕" w:hAnsi="맑은 고딕"/>
          <w:b/>
          <w:bCs/>
          <w:color w:val="1F3864"/>
          <w:sz w:val="25"/>
          <w:szCs w:val="25"/>
        </w:rPr>
        <w:t xml:space="preserve">1. 왜 조직성과보다 개인성과 관리가 중요한가</w:t>
      </w:r>
    </w:p>
    <w:p>
      <w:pPr>
        <w:spacing w:after="100" w:before="0" w:line="384" w:lineRule="auto"/>
        <w:ind w:firstLine="240"/>
        <w:jc w:val="both"/>
      </w:pPr>
      <w:r>
        <w:rPr>
          <w:rFonts w:ascii="맑은 고딕" w:cs="맑은 고딕" w:eastAsia="맑은 고딕" w:hAnsi="맑은 고딕"/>
          <w:b w:val="false"/>
          <w:bCs w:val="false"/>
          <w:color w:val="000000"/>
          <w:sz w:val="22"/>
          <w:szCs w:val="22"/>
        </w:rPr>
        <w:t xml:space="preserve">조직성과는 측정 단위가 너무 크다. 매출과 영업이익은 개인의 기여를 식별하지 못한다. 반면 개인성과는 측정 가능하고, 피드백 가능하며, 개선 가능하다. Google이 ‘Project Oxygen’ 연구에서 확인한 결론도 같다. 좋은 관리자의 첫 번째 행동은 ‘좋은 코치가 되는 것’이었다. 즉, 조직성과의 출발점이자 종착점은 개인이다.</w:t>
      </w:r>
    </w:p>
    <w:p>
      <w:pPr>
        <w:spacing w:after="100" w:before="0" w:line="384" w:lineRule="auto"/>
        <w:ind w:firstLine="240"/>
        <w:jc w:val="both"/>
      </w:pPr>
      <w:r>
        <w:rPr>
          <w:rFonts w:ascii="맑은 고딕" w:cs="맑은 고딕" w:eastAsia="맑은 고딕" w:hAnsi="맑은 고딕"/>
          <w:b w:val="false"/>
          <w:bCs w:val="false"/>
          <w:color w:val="000000"/>
          <w:sz w:val="22"/>
          <w:szCs w:val="22"/>
        </w:rPr>
        <w:t xml:space="preserve">Deloitte(2025) ‘Global Human Capital Trends’ 보고서는 조직성과 향상의 가장 큰 레버가 ‘팀 단위 OKR이 아니라 개인 단위의 명확한 기대치와 코칭 빈도’라고 본다. 한태영(2010)도 평가의 효과성이 ‘제도의 정교함’이 아니라 ‘피평가자의 태도와 인식’에서 결정된다고 본다. 결국 개인성과 관리는 조직성과 관리의 전제 조건이다.</w:t>
      </w:r>
    </w:p>
    <w:p>
      <w:pPr>
        <w:pStyle w:val="Heading2"/>
        <w:spacing w:after="140" w:before="320" w:line="360" w:lineRule="auto"/>
      </w:pPr>
      <w:r>
        <w:rPr>
          <w:rFonts w:ascii="맑은 고딕" w:cs="맑은 고딕" w:eastAsia="맑은 고딕" w:hAnsi="맑은 고딕"/>
          <w:b/>
          <w:bCs/>
          <w:color w:val="1F3864"/>
          <w:sz w:val="25"/>
          <w:szCs w:val="25"/>
        </w:rPr>
        <w:t xml:space="preserve">2. 개인성과와 생산성의 관계</w:t>
      </w:r>
    </w:p>
    <w:p>
      <w:pPr>
        <w:spacing w:after="100" w:before="0" w:line="384" w:lineRule="auto"/>
        <w:ind w:firstLine="240"/>
        <w:jc w:val="both"/>
      </w:pPr>
      <w:r>
        <w:rPr>
          <w:rFonts w:ascii="맑은 고딕" w:cs="맑은 고딕" w:eastAsia="맑은 고딕" w:hAnsi="맑은 고딕"/>
          <w:b w:val="false"/>
          <w:bCs w:val="false"/>
          <w:color w:val="000000"/>
          <w:sz w:val="22"/>
          <w:szCs w:val="22"/>
        </w:rPr>
        <w:t xml:space="preserve">개인성과 관리가 작동하면 생산성이 향상된다. 명확한 목표가 노력의 방향을 잡아주고, 적시 피드백이 시행착오를 줄이며, 코칭이 학습을 가속한다. Locke &amp; Latham(2002)의 목표설정 이론은 ‘구체적이고 도전적인 목표가 막연한 목표보다 높은 성과를 낳는다’고 본다. Google의 OKR ‘0.7 룰’은 이 이론을 시스템화한 사례다.</w:t>
      </w:r>
    </w:p>
    <w:p>
      <w:pPr>
        <w:spacing w:after="100" w:before="0" w:line="384" w:lineRule="auto"/>
        <w:ind w:firstLine="240"/>
        <w:jc w:val="both"/>
      </w:pPr>
      <w:r>
        <w:rPr>
          <w:rFonts w:ascii="맑은 고딕" w:cs="맑은 고딕" w:eastAsia="맑은 고딕" w:hAnsi="맑은 고딕"/>
          <w:b w:val="false"/>
          <w:bCs w:val="false"/>
          <w:color w:val="000000"/>
          <w:sz w:val="22"/>
          <w:szCs w:val="22"/>
        </w:rPr>
        <w:t xml:space="preserve">반대로 개인성과 관리가 작동하지 않으면 생산성은 하락한다. 목표가 모호하면 노력의 방향이 분산된다. 피드백이 없으면 시행착오가 반복된다. 코칭이 없으면 역량 성장이 멈춘다. 한국 기업의 ‘열심히 일하지만 성과가 나지 않는’ 현상의 근본 원인이 여기에 있다.</w:t>
      </w:r>
    </w:p>
    <w:p>
      <w:pPr>
        <w:pStyle w:val="Heading2"/>
        <w:spacing w:after="140" w:before="320" w:line="360" w:lineRule="auto"/>
      </w:pPr>
      <w:r>
        <w:rPr>
          <w:rFonts w:ascii="맑은 고딕" w:cs="맑은 고딕" w:eastAsia="맑은 고딕" w:hAnsi="맑은 고딕"/>
          <w:b/>
          <w:bCs/>
          <w:color w:val="1F3864"/>
          <w:sz w:val="25"/>
          <w:szCs w:val="25"/>
        </w:rPr>
        <w:t xml:space="preserve">3. 개인성과와 보상·승진·동기부여의 연계성</w:t>
      </w:r>
    </w:p>
    <w:p>
      <w:pPr>
        <w:spacing w:after="100" w:before="0" w:line="384" w:lineRule="auto"/>
        <w:ind w:firstLine="240"/>
        <w:jc w:val="both"/>
      </w:pPr>
      <w:r>
        <w:rPr>
          <w:rFonts w:ascii="맑은 고딕" w:cs="맑은 고딕" w:eastAsia="맑은 고딕" w:hAnsi="맑은 고딕"/>
          <w:b w:val="false"/>
          <w:bCs w:val="false"/>
          <w:color w:val="000000"/>
          <w:sz w:val="22"/>
          <w:szCs w:val="22"/>
        </w:rPr>
        <w:t xml:space="preserve">Vroom(1964)의 기대이론은 ‘노력-성과-보상의 연결이 명확할 때 동기가 발현된다’고 본다. Adams(1965)의 형평이론은 ‘투입-산출 비율의 형평이 지각될 때 만족이 발생한다’고 본다. 두 이론은 모두 ‘개인성과가 명확히 측정·인정·보상될 때’ 동기와 만족이 강화된다는 점을 시사한다.</w:t>
      </w:r>
    </w:p>
    <w:p>
      <w:pPr>
        <w:spacing w:after="100" w:before="0" w:line="384" w:lineRule="auto"/>
        <w:ind w:firstLine="240"/>
        <w:jc w:val="both"/>
      </w:pPr>
      <w:r>
        <w:rPr>
          <w:rFonts w:ascii="맑은 고딕" w:cs="맑은 고딕" w:eastAsia="맑은 고딕" w:hAnsi="맑은 고딕"/>
          <w:b w:val="false"/>
          <w:bCs w:val="false"/>
          <w:color w:val="000000"/>
          <w:sz w:val="22"/>
          <w:szCs w:val="22"/>
        </w:rPr>
        <w:t xml:space="preserve">그러나 한국 기업의 평가-보상 연계는 두 가지 문제를 안고 있다. 첫째, 평가-보상이 ‘자동 공식’으로 직결되어 평가의 코칭 기능을 잠식한다. 둘째, 보상의 차등 폭이 좁아 평가 결과의 인센티브 효과가 약하다. 결과적으로 평가는 부담스러운 행정 절차로 변질되고, 보상은 평등주의적 분배로 수렴한다.</w:t>
      </w:r>
    </w:p>
    <w:p>
      <w:pPr>
        <w:pStyle w:val="Heading2"/>
        <w:spacing w:after="140" w:before="320" w:line="360" w:lineRule="auto"/>
      </w:pPr>
      <w:r>
        <w:rPr>
          <w:rFonts w:ascii="맑은 고딕" w:cs="맑은 고딕" w:eastAsia="맑은 고딕" w:hAnsi="맑은 고딕"/>
          <w:b/>
          <w:bCs/>
          <w:color w:val="1F3864"/>
          <w:sz w:val="25"/>
          <w:szCs w:val="25"/>
        </w:rPr>
        <w:t xml:space="preserve">4. 디지털 시대 개인성과 관리의 변화</w:t>
      </w:r>
    </w:p>
    <w:p>
      <w:pPr>
        <w:spacing w:after="100" w:before="0" w:line="384" w:lineRule="auto"/>
        <w:ind w:firstLine="240"/>
        <w:jc w:val="both"/>
      </w:pPr>
      <w:r>
        <w:rPr>
          <w:rFonts w:ascii="맑은 고딕" w:cs="맑은 고딕" w:eastAsia="맑은 고딕" w:hAnsi="맑은 고딕"/>
          <w:b w:val="false"/>
          <w:bCs w:val="false"/>
          <w:color w:val="000000"/>
          <w:sz w:val="22"/>
          <w:szCs w:val="22"/>
        </w:rPr>
        <w:t xml:space="preserve">디지털 전환은 개인성과 관리의 도구와 방식을 동시에 바꾸었다. 협업 도구 로그, 코드 커밋, 영업 파이프라인 진척률 같은 데이터가 실시간으로 개인성과 신호를 생성한다. People Analytics 플랫폼(Lattice·Workleap·Betterworks 등)은 이 신호를 집계하여 평가자에게 실시간으로 제공한다.</w:t>
      </w:r>
    </w:p>
    <w:p>
      <w:pPr>
        <w:spacing w:after="100" w:before="0" w:line="384" w:lineRule="auto"/>
        <w:ind w:firstLine="240"/>
        <w:jc w:val="both"/>
      </w:pPr>
      <w:r>
        <w:rPr>
          <w:rFonts w:ascii="맑은 고딕" w:cs="맑은 고딕" w:eastAsia="맑은 고딕" w:hAnsi="맑은 고딕"/>
          <w:b w:val="false"/>
          <w:bCs w:val="false"/>
          <w:color w:val="000000"/>
          <w:sz w:val="22"/>
          <w:szCs w:val="22"/>
        </w:rPr>
        <w:t xml:space="preserve">이로 인해 평가의 시점이 ‘연말 회상’에서 ‘상시 관찰’로 이동했다. AI는 1대 1 미팅의 어젠다를 자동 제안하고, 360도 서술형 피드백의 핵심 테마를 자동 분류한다. 윤동열(2026)이 정리한 6대 트렌드 중 ‘AI의 평가 보조 도구화’가 바로 이 흐름이다. 단, AI는 평가의 보조이지 결정자가 아니다. 거버넌스가 함께 갖추어져야 한다.</w:t>
      </w:r>
    </w:p>
    <w:p>
      <w:pPr>
        <w:pStyle w:val="Heading2"/>
        <w:spacing w:after="140" w:before="320" w:line="360" w:lineRule="auto"/>
      </w:pPr>
      <w:r>
        <w:rPr>
          <w:rFonts w:ascii="맑은 고딕" w:cs="맑은 고딕" w:eastAsia="맑은 고딕" w:hAnsi="맑은 고딕"/>
          <w:b/>
          <w:bCs/>
          <w:color w:val="1F3864"/>
          <w:sz w:val="25"/>
          <w:szCs w:val="25"/>
        </w:rPr>
        <w:t xml:space="preserve">5. Z세대 인재관리와 개인 피드백의 중요성</w:t>
      </w:r>
    </w:p>
    <w:p>
      <w:pPr>
        <w:spacing w:after="100" w:before="0" w:line="384" w:lineRule="auto"/>
        <w:ind w:firstLine="240"/>
        <w:jc w:val="both"/>
      </w:pPr>
      <w:r>
        <w:rPr>
          <w:rFonts w:ascii="맑은 고딕" w:cs="맑은 고딕" w:eastAsia="맑은 고딕" w:hAnsi="맑은 고딕"/>
          <w:b w:val="false"/>
          <w:bCs w:val="false"/>
          <w:color w:val="000000"/>
          <w:sz w:val="22"/>
          <w:szCs w:val="22"/>
        </w:rPr>
        <w:t xml:space="preserve">한국 기업 구성원의 약 60퍼센트가 MZ세대다(대학내일20대연구소, 2024). Z세대 직장인의 20퍼센트 이상은 ‘매일 또는 하루 여러 차례 피드백을 원한다’고 응답한다. 피드백의 형식도 대면 면담보다 메신저와 앱을 통한 짧고 잦은 방식을 선호한다.</w:t>
      </w:r>
    </w:p>
    <w:p>
      <w:pPr>
        <w:spacing w:after="100" w:before="0" w:line="384" w:lineRule="auto"/>
        <w:ind w:firstLine="240"/>
        <w:jc w:val="both"/>
      </w:pPr>
      <w:r>
        <w:rPr>
          <w:rFonts w:ascii="맑은 고딕" w:cs="맑은 고딕" w:eastAsia="맑은 고딕" w:hAnsi="맑은 고딕"/>
          <w:b w:val="false"/>
          <w:bCs w:val="false"/>
          <w:color w:val="000000"/>
          <w:sz w:val="22"/>
          <w:szCs w:val="22"/>
        </w:rPr>
        <w:t xml:space="preserve">이는 인구통계학적 변화가 ‘연 1회 평가 모델’과 본질적으로 충돌하고 있음을 의미한다. 즉, 상시 피드백 인프라의 구축은 더 이상 선택이 아니라 인재 유지의 전제조건이다. Z세대가 원하는 것은 ‘완벽한 등급’이 아니라 ‘성장하고 있다는 감각’이다.</w:t>
      </w:r>
    </w:p>
    <w:p>
      <w:pPr>
        <w:pStyle w:val="Heading1"/>
        <w:pageBreakBefore/>
        <w:pBdr>
          <w:bottom w:val="single" w:color="1F3864" w:sz="10" w:space="8"/>
        </w:pBdr>
        <w:spacing w:after="240" w:before="200" w:line="360" w:lineRule="auto"/>
      </w:pPr>
      <w:r>
        <w:rPr>
          <w:rFonts w:ascii="맑은 고딕" w:cs="맑은 고딕" w:eastAsia="맑은 고딕" w:hAnsi="맑은 고딕"/>
          <w:b/>
          <w:bCs/>
          <w:color w:val="1F3864"/>
          <w:sz w:val="30"/>
          <w:szCs w:val="30"/>
        </w:rPr>
        <w:t xml:space="preserve">Ⅱ. 해외 글로벌 기업 사례 분석</w:t>
      </w:r>
    </w:p>
    <w:p>
      <w:pPr>
        <w:spacing w:after="100" w:before="0" w:line="384" w:lineRule="auto"/>
        <w:ind w:firstLine="240"/>
        <w:jc w:val="both"/>
      </w:pPr>
      <w:r>
        <w:rPr>
          <w:rFonts w:ascii="맑은 고딕" w:cs="맑은 고딕" w:eastAsia="맑은 고딕" w:hAnsi="맑은 고딕"/>
          <w:b w:val="false"/>
          <w:bCs w:val="false"/>
          <w:color w:val="000000"/>
          <w:sz w:val="22"/>
          <w:szCs w:val="22"/>
        </w:rPr>
        <w:t xml:space="preserve">본 장은 글로벌 6개사(Google·Microsoft·Adobe·Netflix·Amazon·IBM)의 개인성과 평가제도를 분석한다. 각 사례는 도입 배경, 일곱 가지 분석 항목(목표 설정 / 측정 기준 / 1대 1 면담 / 피드백 주기 / 보상 연계 / 저성과자 관리 / 핵심인재 육성), 성과와 한계의 순서로 다룬다. 분석 항목은 과제 명세에 따라 통일한다.</w:t>
      </w:r>
    </w:p>
    <w:p>
      <w:pPr>
        <w:pStyle w:val="Heading2"/>
        <w:spacing w:after="140" w:before="320" w:line="360" w:lineRule="auto"/>
      </w:pPr>
      <w:r>
        <w:rPr>
          <w:rFonts w:ascii="맑은 고딕" w:cs="맑은 고딕" w:eastAsia="맑은 고딕" w:hAnsi="맑은 고딕"/>
          <w:b/>
          <w:bCs/>
          <w:color w:val="1F3864"/>
          <w:sz w:val="25"/>
          <w:szCs w:val="25"/>
        </w:rPr>
        <w:t xml:space="preserve">1. Google — OKR과 GRAD 기반 임팩트 평가</w:t>
      </w:r>
    </w:p>
    <w:p>
      <w:pPr>
        <w:pStyle w:val="Heading3"/>
        <w:spacing w:after="80" w:before="200" w:line="360" w:lineRule="auto"/>
      </w:pPr>
      <w:r>
        <w:rPr>
          <w:rFonts w:ascii="맑은 고딕" w:cs="맑은 고딕" w:eastAsia="맑은 고딕" w:hAnsi="맑은 고딕"/>
          <w:b/>
          <w:bCs/>
          <w:color w:val="2F5496"/>
          <w:sz w:val="22"/>
          <w:szCs w:val="22"/>
        </w:rPr>
        <w:t xml:space="preserve">도입 배경</w:t>
      </w:r>
    </w:p>
    <w:p>
      <w:pPr>
        <w:spacing w:after="100" w:before="0" w:line="384" w:lineRule="auto"/>
        <w:ind w:firstLine="240"/>
        <w:jc w:val="both"/>
      </w:pPr>
      <w:r>
        <w:rPr>
          <w:rFonts w:ascii="맑은 고딕" w:cs="맑은 고딕" w:eastAsia="맑은 고딕" w:hAnsi="맑은 고딕"/>
          <w:b w:val="false"/>
          <w:bCs w:val="false"/>
          <w:color w:val="000000"/>
          <w:sz w:val="22"/>
          <w:szCs w:val="22"/>
        </w:rPr>
        <w:t xml:space="preserve">Google은 1999년 창업 초기에 OKR(Objectives and Key Results) 프레임워크를 도입했다. 도입 주역은 John Doerr다. Doerr는 Intel에서 Andy Grove로부터 OKR을 배웠고, Google의 초기 투자자로서 창업자 Larry Page와 Sergey Brin에게 OKR을 전수했다(Doerr, 2018).</w:t>
      </w:r>
    </w:p>
    <w:p>
      <w:pPr>
        <w:spacing w:after="100" w:before="0" w:line="384" w:lineRule="auto"/>
        <w:ind w:firstLine="240"/>
        <w:jc w:val="both"/>
      </w:pPr>
      <w:r>
        <w:rPr>
          <w:rFonts w:ascii="맑은 고딕" w:cs="맑은 고딕" w:eastAsia="맑은 고딕" w:hAnsi="맑은 고딕"/>
          <w:b w:val="false"/>
          <w:bCs w:val="false"/>
          <w:color w:val="000000"/>
          <w:sz w:val="22"/>
          <w:szCs w:val="22"/>
        </w:rPr>
        <w:t xml:space="preserve">Google은 회사 규모가 18만 명에 이르면서 평가체계 개편을 시도했다. 2022년 도입된 GRAD(Googler Reviews and Development) 체계는 ‘연 2회의 등급 부여’를 ‘연 1회의 임팩트 평가 + 분기 Check-in’으로 단순화했다. 평가 빈도를 줄이는 대신 평가의 깊이를 강화하는 방향이었다.</w:t>
      </w:r>
    </w:p>
    <w:p>
      <w:pPr>
        <w:spacing w:after="100" w:before="0" w:line="384" w:lineRule="auto"/>
        <w:ind w:firstLine="240"/>
        <w:jc w:val="both"/>
      </w:pPr>
      <w:r>
        <w:rPr>
          <w:rFonts w:ascii="맑은 고딕" w:cs="맑은 고딕" w:eastAsia="맑은 고딕" w:hAnsi="맑은 고딕"/>
          <w:b w:val="false"/>
          <w:bCs w:val="false"/>
          <w:color w:val="000000"/>
          <w:sz w:val="22"/>
          <w:szCs w:val="22"/>
        </w:rPr>
        <w:t xml:space="preserve">2024년 1월 Google은 약 12,000명을 정리해고했다. 이를 계기로 ‘평가가 해고의 도구로 변질되고 있다’는 내부 우려가 제기되었다(Business Insider, 2025). 2025년 말 평가부터 Google은 다시 한 번 평가체계를 개편한다. 핵심은 상위 5~10퍼센트 고성과자에게 보상을 집중하는 ‘차별화 강화’ 방향이다.</w:t>
      </w:r>
    </w:p>
    <w:p>
      <w:pPr>
        <w:pStyle w:val="Heading3"/>
        <w:spacing w:after="80" w:before="200" w:line="360" w:lineRule="auto"/>
      </w:pPr>
      <w:r>
        <w:rPr>
          <w:rFonts w:ascii="맑은 고딕" w:cs="맑은 고딕" w:eastAsia="맑은 고딕" w:hAnsi="맑은 고딕"/>
          <w:b/>
          <w:bCs/>
          <w:color w:val="2F5496"/>
          <w:sz w:val="22"/>
          <w:szCs w:val="22"/>
        </w:rPr>
        <w:t xml:space="preserve">(1) 개인 목표 설정 — OKR</w:t>
      </w:r>
    </w:p>
    <w:p>
      <w:pPr>
        <w:spacing w:after="100" w:before="0" w:line="384" w:lineRule="auto"/>
        <w:ind w:firstLine="240"/>
        <w:jc w:val="both"/>
      </w:pPr>
      <w:r>
        <w:rPr>
          <w:rFonts w:ascii="맑은 고딕" w:cs="맑은 고딕" w:eastAsia="맑은 고딕" w:hAnsi="맑은 고딕"/>
          <w:b w:val="false"/>
          <w:bCs w:val="false"/>
          <w:color w:val="000000"/>
          <w:sz w:val="22"/>
          <w:szCs w:val="22"/>
        </w:rPr>
        <w:t xml:space="preserve">Google의 목표 설정은 OKR로 통일된다. 분기 초에 회사 OKR이 공개되고, 팀과 개인이 이를 자신의 OKR로 분해한다. Objective는 정성적이고 영감을 주는 방향성이고, Key Result는 정량적이고 측정 가능한 결과다. 한 개인은 분기당 3~5개의 OKR을 설정한다.</w:t>
      </w:r>
    </w:p>
    <w:p>
      <w:pPr>
        <w:spacing w:after="100" w:before="0" w:line="384" w:lineRule="auto"/>
        <w:ind w:firstLine="240"/>
        <w:jc w:val="both"/>
      </w:pPr>
      <w:r>
        <w:rPr>
          <w:rFonts w:ascii="맑은 고딕" w:cs="맑은 고딕" w:eastAsia="맑은 고딕" w:hAnsi="맑은 고딕"/>
          <w:b w:val="false"/>
          <w:bCs w:val="false"/>
          <w:color w:val="000000"/>
          <w:sz w:val="22"/>
          <w:szCs w:val="22"/>
        </w:rPr>
        <w:t xml:space="preserve">OKR의 ‘0.7 룰’이 특징이다. Key Result 달성률 70퍼센트를 ‘좋은 수준’으로 본다. 100퍼센트 달성은 ‘목표가 너무 쉬웠다는 신호’로 해석된다. 이는 ‘aspirational(도전적) + measurable(측정 가능)’ 원칙의 시스템화다.</w:t>
      </w:r>
    </w:p>
    <w:p>
      <w:pPr>
        <w:spacing w:after="100" w:before="0" w:line="384" w:lineRule="auto"/>
        <w:ind w:firstLine="240"/>
        <w:jc w:val="both"/>
      </w:pPr>
      <w:r>
        <w:rPr>
          <w:rFonts w:ascii="맑은 고딕" w:cs="맑은 고딕" w:eastAsia="맑은 고딕" w:hAnsi="맑은 고딕"/>
          <w:b w:val="false"/>
          <w:bCs w:val="false"/>
          <w:color w:val="000000"/>
          <w:sz w:val="22"/>
          <w:szCs w:val="22"/>
        </w:rPr>
        <w:t xml:space="preserve">OKR은 전사 공개를 원칙으로 한다. 동료가 서로의 OKR을 볼 수 있어 협업 정렬이 자동으로 이루어진다. 이는 Locke &amp; Latham(2002)의 목표설정 이론을 가장 정교하게 구현한 사례로 평가된다.</w:t>
      </w:r>
    </w:p>
    <w:p>
      <w:pPr>
        <w:pStyle w:val="Heading3"/>
        <w:spacing w:after="80" w:before="200" w:line="360" w:lineRule="auto"/>
      </w:pPr>
      <w:r>
        <w:rPr>
          <w:rFonts w:ascii="맑은 고딕" w:cs="맑은 고딕" w:eastAsia="맑은 고딕" w:hAnsi="맑은 고딕"/>
          <w:b/>
          <w:bCs/>
          <w:color w:val="2F5496"/>
          <w:sz w:val="22"/>
          <w:szCs w:val="22"/>
        </w:rPr>
        <w:t xml:space="preserve">(2) 개인 성과 측정 기준 — 5단계 임팩트 스케일</w:t>
      </w:r>
    </w:p>
    <w:p>
      <w:pPr>
        <w:spacing w:after="100" w:before="0" w:line="384" w:lineRule="auto"/>
        <w:ind w:firstLine="240"/>
        <w:jc w:val="both"/>
      </w:pPr>
      <w:r>
        <w:rPr>
          <w:rFonts w:ascii="맑은 고딕" w:cs="맑은 고딕" w:eastAsia="맑은 고딕" w:hAnsi="맑은 고딕"/>
          <w:b w:val="false"/>
          <w:bCs w:val="false"/>
          <w:color w:val="000000"/>
          <w:sz w:val="22"/>
          <w:szCs w:val="22"/>
        </w:rPr>
        <w:t xml:space="preserve">GRAD 평가는 5단계 임팩트 스케일을 사용한다. Not Enough Impact / Moderate Impact / Significant Impact / Outstanding Impact / Transformative Impact의 다섯 단계다. 단순 등급이 아니라 ‘임팩트’라는 서술형 개념이다.</w:t>
      </w:r>
    </w:p>
    <w:p>
      <w:pPr>
        <w:spacing w:after="100" w:before="0" w:line="384" w:lineRule="auto"/>
        <w:ind w:firstLine="240"/>
        <w:jc w:val="both"/>
      </w:pPr>
      <w:r>
        <w:rPr>
          <w:rFonts w:ascii="맑은 고딕" w:cs="맑은 고딕" w:eastAsia="맑은 고딕" w:hAnsi="맑은 고딕"/>
          <w:b w:val="false"/>
          <w:bCs w:val="false"/>
          <w:color w:val="000000"/>
          <w:sz w:val="22"/>
          <w:szCs w:val="22"/>
        </w:rPr>
        <w:t xml:space="preserve">측정 입력은 세 가지로 구성된다. OKR 달성도가 첫째, 360도 피드백이 둘째, Googlegeist 직원 서베이 데이터가 셋째다. Googlegeist는 매니저 코칭과 심리적 안전감을 측정하는 70여 개 문항으로 구성된다. 단일 데이터가 아닌 다중 데이터 기반 평가다.</w:t>
      </w:r>
    </w:p>
    <w:p>
      <w:pPr>
        <w:pStyle w:val="Heading3"/>
        <w:spacing w:after="80" w:before="200" w:line="360" w:lineRule="auto"/>
      </w:pPr>
      <w:r>
        <w:rPr>
          <w:rFonts w:ascii="맑은 고딕" w:cs="맑은 고딕" w:eastAsia="맑은 고딕" w:hAnsi="맑은 고딕"/>
          <w:b/>
          <w:bCs/>
          <w:color w:val="2F5496"/>
          <w:sz w:val="22"/>
          <w:szCs w:val="22"/>
        </w:rPr>
        <w:t xml:space="preserve">(3) 상사와의 1대 1 면담 제도</w:t>
      </w:r>
    </w:p>
    <w:p>
      <w:pPr>
        <w:spacing w:after="100" w:before="0" w:line="384" w:lineRule="auto"/>
        <w:ind w:firstLine="240"/>
        <w:jc w:val="both"/>
      </w:pPr>
      <w:r>
        <w:rPr>
          <w:rFonts w:ascii="맑은 고딕" w:cs="맑은 고딕" w:eastAsia="맑은 고딕" w:hAnsi="맑은 고딕"/>
          <w:b w:val="false"/>
          <w:bCs w:val="false"/>
          <w:color w:val="000000"/>
          <w:sz w:val="22"/>
          <w:szCs w:val="22"/>
        </w:rPr>
        <w:t xml:space="preserve">매니저와 월간 1대 1 미팅이 표준이다. 1대 1 노트는 매니저와 구성원이 공유 문서로 함께 작성한다. 진척률, 블로커, 도움요청, 코칭 주제가 매번 기록된다. 이 기록이 분기 Check-in과 연말 GRAD 평가의 입력 자료로 자동 연결된다.</w:t>
      </w:r>
    </w:p>
    <w:p>
      <w:pPr>
        <w:spacing w:after="100" w:before="0" w:line="384" w:lineRule="auto"/>
        <w:ind w:firstLine="240"/>
        <w:jc w:val="both"/>
      </w:pPr>
      <w:r>
        <w:rPr>
          <w:rFonts w:ascii="맑은 고딕" w:cs="맑은 고딕" w:eastAsia="맑은 고딕" w:hAnsi="맑은 고딕"/>
          <w:b w:val="false"/>
          <w:bCs w:val="false"/>
          <w:color w:val="000000"/>
          <w:sz w:val="22"/>
          <w:szCs w:val="22"/>
        </w:rPr>
        <w:t xml:space="preserve">Project Oxygen 연구의 영향이 크다. Google이 2008년부터 데이터로 분석한 ‘우수 매니저의 8가지 행동’ 중 1위가 ‘좋은 코치가 되는 것(Be a good coach)’이었다. 이후 매니저 평가지표에 ‘코칭 빈도와 품질’이 포함되었다.</w:t>
      </w:r>
    </w:p>
    <w:p>
      <w:pPr>
        <w:pStyle w:val="Heading3"/>
        <w:spacing w:after="80" w:before="200" w:line="360" w:lineRule="auto"/>
      </w:pPr>
      <w:r>
        <w:rPr>
          <w:rFonts w:ascii="맑은 고딕" w:cs="맑은 고딕" w:eastAsia="맑은 고딕" w:hAnsi="맑은 고딕"/>
          <w:b/>
          <w:bCs/>
          <w:color w:val="2F5496"/>
          <w:sz w:val="22"/>
          <w:szCs w:val="22"/>
        </w:rPr>
        <w:t xml:space="preserve">(4) 피드백 주기</w:t>
      </w:r>
    </w:p>
    <w:p>
      <w:pPr>
        <w:spacing w:after="100" w:before="0" w:line="384" w:lineRule="auto"/>
        <w:ind w:firstLine="240"/>
        <w:jc w:val="both"/>
      </w:pPr>
      <w:r>
        <w:rPr>
          <w:rFonts w:ascii="맑은 고딕" w:cs="맑은 고딕" w:eastAsia="맑은 고딕" w:hAnsi="맑은 고딕"/>
          <w:b w:val="false"/>
          <w:bCs w:val="false"/>
          <w:color w:val="000000"/>
          <w:sz w:val="22"/>
          <w:szCs w:val="22"/>
        </w:rPr>
        <w:t xml:space="preserve">피드백은 상시가 기본이다. 분기 Check-in은 ‘공식 점검’의 시점이다. 연 1회 GRAD 평가는 ‘연중 누적의 종합’이다. 따라서 연말 평가는 새로운 데이터가 아닌 ‘이미 알고 있는 데이터의 요약’이다.</w:t>
      </w:r>
    </w:p>
    <w:p>
      <w:pPr>
        <w:spacing w:after="100" w:before="0" w:line="384" w:lineRule="auto"/>
        <w:ind w:firstLine="240"/>
        <w:jc w:val="both"/>
      </w:pPr>
      <w:r>
        <w:rPr>
          <w:rFonts w:ascii="맑은 고딕" w:cs="맑은 고딕" w:eastAsia="맑은 고딕" w:hAnsi="맑은 고딕"/>
          <w:b w:val="false"/>
          <w:bCs w:val="false"/>
          <w:color w:val="000000"/>
          <w:sz w:val="22"/>
          <w:szCs w:val="22"/>
        </w:rPr>
        <w:t xml:space="preserve">Google은 Project Aristotle 연구로 ‘우수한 팀의 5요소’를 정의했다. 심리적 안전감(psychological safety), 신뢰성, 구조와 명확성, 의미, 영향력이다. 피드백 문화는 심리적 안전감을 전제로 작동한다는 점이 강조된다.</w:t>
      </w:r>
    </w:p>
    <w:p>
      <w:pPr>
        <w:pStyle w:val="Heading3"/>
        <w:spacing w:after="80" w:before="200" w:line="360" w:lineRule="auto"/>
      </w:pPr>
      <w:r>
        <w:rPr>
          <w:rFonts w:ascii="맑은 고딕" w:cs="맑은 고딕" w:eastAsia="맑은 고딕" w:hAnsi="맑은 고딕"/>
          <w:b/>
          <w:bCs/>
          <w:color w:val="2F5496"/>
          <w:sz w:val="22"/>
          <w:szCs w:val="22"/>
        </w:rPr>
        <w:t xml:space="preserve">(5) 개인성과와 보상 연계 방식</w:t>
      </w:r>
    </w:p>
    <w:p>
      <w:pPr>
        <w:spacing w:after="100" w:before="0" w:line="384" w:lineRule="auto"/>
        <w:ind w:firstLine="240"/>
        <w:jc w:val="both"/>
      </w:pPr>
      <w:r>
        <w:rPr>
          <w:rFonts w:ascii="맑은 고딕" w:cs="맑은 고딕" w:eastAsia="맑은 고딕" w:hAnsi="맑은 고딕"/>
          <w:b w:val="false"/>
          <w:bCs w:val="false"/>
          <w:color w:val="000000"/>
          <w:sz w:val="22"/>
          <w:szCs w:val="22"/>
        </w:rPr>
        <w:t xml:space="preserve">Google의 보상은 4중 구조다. 베이스 연봉, 연간 보너스, GSU(Google Stock Units, 4년 베스팅 주식), Sign-on Bonus의 네 가지다. 임팩트 평가가 이 네 가지에 모두 영향을 미친다.</w:t>
      </w:r>
    </w:p>
    <w:p>
      <w:pPr>
        <w:spacing w:after="100" w:before="0" w:line="384" w:lineRule="auto"/>
        <w:ind w:firstLine="240"/>
        <w:jc w:val="both"/>
      </w:pPr>
      <w:r>
        <w:rPr>
          <w:rFonts w:ascii="맑은 고딕" w:cs="맑은 고딕" w:eastAsia="맑은 고딕" w:hAnsi="맑은 고딕"/>
          <w:b w:val="false"/>
          <w:bCs w:val="false"/>
          <w:color w:val="000000"/>
          <w:sz w:val="22"/>
          <w:szCs w:val="22"/>
        </w:rPr>
        <w:t xml:space="preserve">최종 보상은 Calibration Committee가 결정한다. 매니저, 차상위 매니저, HRBP가 함께 모여 ‘부서 간 형평성’을 검증한다. 매니저 단독의 평가 오류를 동료 합의로 보정하는 구조다. Calibration은 평가의 ‘구조적 공정성’을 확보하는 핵심 장치다.</w:t>
      </w:r>
    </w:p>
    <w:p>
      <w:pPr>
        <w:spacing w:after="100" w:before="0" w:line="384" w:lineRule="auto"/>
        <w:ind w:firstLine="240"/>
        <w:jc w:val="both"/>
      </w:pPr>
      <w:r>
        <w:rPr>
          <w:rFonts w:ascii="맑은 고딕" w:cs="맑은 고딕" w:eastAsia="맑은 고딕" w:hAnsi="맑은 고딕"/>
          <w:b w:val="false"/>
          <w:bCs w:val="false"/>
          <w:color w:val="000000"/>
          <w:sz w:val="22"/>
          <w:szCs w:val="22"/>
        </w:rPr>
        <w:t xml:space="preserve">2025년 개편의 핵심은 ‘차별화 강화’다. Outstanding Impact와 Transformative Impact의 비중을 확대해 상위 5~10퍼센트에 보너스와 GSU를 집중하는 방향이다(Business Insider, 2025). 평등주의적 분배에서 ‘승자독식’에 가까운 모델로 이동하고 있다.</w:t>
      </w:r>
    </w:p>
    <w:p>
      <w:pPr>
        <w:pStyle w:val="Heading3"/>
        <w:spacing w:after="80" w:before="200" w:line="360" w:lineRule="auto"/>
      </w:pPr>
      <w:r>
        <w:rPr>
          <w:rFonts w:ascii="맑은 고딕" w:cs="맑은 고딕" w:eastAsia="맑은 고딕" w:hAnsi="맑은 고딕"/>
          <w:b/>
          <w:bCs/>
          <w:color w:val="2F5496"/>
          <w:sz w:val="22"/>
          <w:szCs w:val="22"/>
        </w:rPr>
        <w:t xml:space="preserve">(6) 저성과자 관리 방식</w:t>
      </w:r>
    </w:p>
    <w:p>
      <w:pPr>
        <w:spacing w:after="100" w:before="0" w:line="384" w:lineRule="auto"/>
        <w:ind w:firstLine="240"/>
        <w:jc w:val="both"/>
      </w:pPr>
      <w:r>
        <w:rPr>
          <w:rFonts w:ascii="맑은 고딕" w:cs="맑은 고딕" w:eastAsia="맑은 고딕" w:hAnsi="맑은 고딕"/>
          <w:b w:val="false"/>
          <w:bCs w:val="false"/>
          <w:color w:val="000000"/>
          <w:sz w:val="22"/>
          <w:szCs w:val="22"/>
        </w:rPr>
        <w:t xml:space="preserve">‘Not Enough Impact’ 평가를 받은 구성원이 PIP(Performance Improvement Plan) 대상이 된다. PIP는 통상 3~6개월 운영되며, 명확한 개선 목표, 매니저의 지원, 주기적 점검이 의무화된다. 개선이 확인되면 정상 평가로 복귀한다.</w:t>
      </w:r>
    </w:p>
    <w:p>
      <w:pPr>
        <w:spacing w:after="100" w:before="0" w:line="384" w:lineRule="auto"/>
        <w:ind w:firstLine="240"/>
        <w:jc w:val="both"/>
      </w:pPr>
      <w:r>
        <w:rPr>
          <w:rFonts w:ascii="맑은 고딕" w:cs="맑은 고딕" w:eastAsia="맑은 고딕" w:hAnsi="맑은 고딕"/>
          <w:b w:val="false"/>
          <w:bCs w:val="false"/>
          <w:color w:val="000000"/>
          <w:sz w:val="22"/>
          <w:szCs w:val="22"/>
        </w:rPr>
        <w:t xml:space="preserve">개선이 없으면 합의 분리(severance package)로 이행한다. 다만 2024년 정리해고 이후 ‘PIP가 해고 알리바이로 활용된다’는 비판이 내부와 외부에서 제기되고 있다. Google은 PIP의 운영 투명성과 매니저의 코칭 의무를 강화하는 방향으로 대응 중이다.</w:t>
      </w:r>
    </w:p>
    <w:p>
      <w:pPr>
        <w:pStyle w:val="Heading3"/>
        <w:spacing w:after="80" w:before="200" w:line="360" w:lineRule="auto"/>
      </w:pPr>
      <w:r>
        <w:rPr>
          <w:rFonts w:ascii="맑은 고딕" w:cs="맑은 고딕" w:eastAsia="맑은 고딕" w:hAnsi="맑은 고딕"/>
          <w:b/>
          <w:bCs/>
          <w:color w:val="2F5496"/>
          <w:sz w:val="22"/>
          <w:szCs w:val="22"/>
        </w:rPr>
        <w:t xml:space="preserve">(7) 핵심인재 육성 프로그램</w:t>
      </w:r>
    </w:p>
    <w:p>
      <w:pPr>
        <w:spacing w:after="100" w:before="0" w:line="384" w:lineRule="auto"/>
        <w:ind w:firstLine="240"/>
        <w:jc w:val="both"/>
      </w:pPr>
      <w:r>
        <w:rPr>
          <w:rFonts w:ascii="맑은 고딕" w:cs="맑은 고딕" w:eastAsia="맑은 고딕" w:hAnsi="맑은 고딕"/>
          <w:b w:val="false"/>
          <w:bCs w:val="false"/>
          <w:color w:val="000000"/>
          <w:sz w:val="22"/>
          <w:szCs w:val="22"/>
        </w:rPr>
        <w:t xml:space="preserve">Google은 9-Box Talent Review를 활용한다. 가로축은 ‘현재 성과’, 세로축은 ‘미래 잠재력’이다. 9개 셀로 구성된 매트릭스에서 상위 셀(High-Performance / High-Potential)에 위치한 구성원이 핵심인재로 분류된다.</w:t>
      </w:r>
    </w:p>
    <w:p>
      <w:pPr>
        <w:spacing w:after="100" w:before="0" w:line="384" w:lineRule="auto"/>
        <w:ind w:firstLine="240"/>
        <w:jc w:val="both"/>
      </w:pPr>
      <w:r>
        <w:rPr>
          <w:rFonts w:ascii="맑은 고딕" w:cs="맑은 고딕" w:eastAsia="맑은 고딕" w:hAnsi="맑은 고딕"/>
          <w:b w:val="false"/>
          <w:bCs w:val="false"/>
          <w:color w:val="000000"/>
          <w:sz w:val="22"/>
          <w:szCs w:val="22"/>
        </w:rPr>
        <w:t xml:space="preserve">핵심인재에게는 다음 단계의 책임을 미리 부여하는 ‘Stretch Assignment’가 제공된다. 또한 Google의 사내 리더십 프로그램인 ‘LeadLab’과 ‘Manager Foundations’ 트레이닝의 우선 참여 대상이 된다. Project Oxygen의 8가지 매니저 행동이 리더십 육성의 표준 커리큘럼이다.</w:t>
      </w:r>
    </w:p>
    <w:p>
      <w:pPr>
        <w:pStyle w:val="Heading2"/>
        <w:spacing w:after="140" w:before="320" w:line="360" w:lineRule="auto"/>
      </w:pPr>
      <w:r>
        <w:rPr>
          <w:rFonts w:ascii="맑은 고딕" w:cs="맑은 고딕" w:eastAsia="맑은 고딕" w:hAnsi="맑은 고딕"/>
          <w:b/>
          <w:bCs/>
          <w:color w:val="1F3864"/>
          <w:sz w:val="25"/>
          <w:szCs w:val="25"/>
        </w:rPr>
        <w:t xml:space="preserve">2. Microsoft — Connect와 Growth Mindset 기반 평가</w:t>
      </w:r>
    </w:p>
    <w:p>
      <w:pPr>
        <w:pStyle w:val="Heading3"/>
        <w:spacing w:after="80" w:before="200" w:line="360" w:lineRule="auto"/>
      </w:pPr>
      <w:r>
        <w:rPr>
          <w:rFonts w:ascii="맑은 고딕" w:cs="맑은 고딕" w:eastAsia="맑은 고딕" w:hAnsi="맑은 고딕"/>
          <w:b/>
          <w:bCs/>
          <w:color w:val="2F5496"/>
          <w:sz w:val="22"/>
          <w:szCs w:val="22"/>
        </w:rPr>
        <w:t xml:space="preserve">도입 배경</w:t>
      </w:r>
    </w:p>
    <w:p>
      <w:pPr>
        <w:spacing w:after="100" w:before="0" w:line="384" w:lineRule="auto"/>
        <w:ind w:firstLine="240"/>
        <w:jc w:val="both"/>
      </w:pPr>
      <w:r>
        <w:rPr>
          <w:rFonts w:ascii="맑은 고딕" w:cs="맑은 고딕" w:eastAsia="맑은 고딕" w:hAnsi="맑은 고딕"/>
          <w:b w:val="false"/>
          <w:bCs w:val="false"/>
          <w:color w:val="000000"/>
          <w:sz w:val="22"/>
          <w:szCs w:val="22"/>
        </w:rPr>
        <w:t xml:space="preserve">Microsoft는 1990년대부터 GE의 잭 웰치(Jack Welch) 방식인 Stack Ranking을 운영했다. 매년 강제분포로 직원을 상위 20퍼센트, 중간 70퍼센트, 하위 10퍼센트로 구분했다. 하위 10퍼센트는 ‘Vitality Curve’의 이름 아래 사실상 정리해고 대상이 되었다.</w:t>
      </w:r>
    </w:p>
    <w:p>
      <w:pPr>
        <w:spacing w:after="100" w:before="0" w:line="384" w:lineRule="auto"/>
        <w:ind w:firstLine="240"/>
        <w:jc w:val="both"/>
      </w:pPr>
      <w:r>
        <w:rPr>
          <w:rFonts w:ascii="맑은 고딕" w:cs="맑은 고딕" w:eastAsia="맑은 고딕" w:hAnsi="맑은 고딕"/>
          <w:b w:val="false"/>
          <w:bCs w:val="false"/>
          <w:color w:val="000000"/>
          <w:sz w:val="22"/>
          <w:szCs w:val="22"/>
        </w:rPr>
        <w:t xml:space="preserve">이 제도는 ‘잃어버린 10년’의 주범 중 하나로 비판받았다. Vanity Fair는 2012년 ‘Microsoft’s Lost Decade’라는 제목의 기사에서 ‘동료를 이기는 것이 곧 자신의 성과’가 되는 문화가 협업을 죽였다고 진단했다. 모바일과 클라우드 경쟁에서 Microsoft가 뒤처진 원인의 하나로 지적되었다.</w:t>
      </w:r>
    </w:p>
    <w:p>
      <w:pPr>
        <w:spacing w:after="100" w:before="0" w:line="384" w:lineRule="auto"/>
        <w:ind w:firstLine="240"/>
        <w:jc w:val="both"/>
      </w:pPr>
      <w:r>
        <w:rPr>
          <w:rFonts w:ascii="맑은 고딕" w:cs="맑은 고딕" w:eastAsia="맑은 고딕" w:hAnsi="맑은 고딕"/>
          <w:b w:val="false"/>
          <w:bCs w:val="false"/>
          <w:color w:val="000000"/>
          <w:sz w:val="22"/>
          <w:szCs w:val="22"/>
        </w:rPr>
        <w:t xml:space="preserve">2013년 11월, Lisa Brummel CHRO는 전사 이메일로 Stack Ranking 폐지를 선언했다. ‘No more curve, no more ratings’라는 메시지였다(SHRM, 2013). 2014년 Satya Nadella가 CEO로 취임하면서 Growth Mindset 철학에 입각한 평가 재설계가 본격화되었다(Nadella, 2017). Growth Mindset 개념은 스탠퍼드 대학 Carol Dweck 교수의 연구에서 차용한 것이다.</w:t>
      </w:r>
    </w:p>
    <w:p>
      <w:pPr>
        <w:pStyle w:val="Heading3"/>
        <w:spacing w:after="80" w:before="200" w:line="360" w:lineRule="auto"/>
      </w:pPr>
      <w:r>
        <w:rPr>
          <w:rFonts w:ascii="맑은 고딕" w:cs="맑은 고딕" w:eastAsia="맑은 고딕" w:hAnsi="맑은 고딕"/>
          <w:b/>
          <w:bCs/>
          <w:color w:val="2F5496"/>
          <w:sz w:val="22"/>
          <w:szCs w:val="22"/>
        </w:rPr>
        <w:t xml:space="preserve">(1) 개인 목표 설정 — Core Priorities</w:t>
      </w:r>
    </w:p>
    <w:p>
      <w:pPr>
        <w:spacing w:after="100" w:before="0" w:line="384" w:lineRule="auto"/>
        <w:ind w:firstLine="240"/>
        <w:jc w:val="both"/>
      </w:pPr>
      <w:r>
        <w:rPr>
          <w:rFonts w:ascii="맑은 고딕" w:cs="맑은 고딕" w:eastAsia="맑은 고딕" w:hAnsi="맑은 고딕"/>
          <w:b w:val="false"/>
          <w:bCs w:val="false"/>
          <w:color w:val="000000"/>
          <w:sz w:val="22"/>
          <w:szCs w:val="22"/>
        </w:rPr>
        <w:t xml:space="preserve">Microsoft의 분기 목표는 Core Priorities라는 이름으로 통일된다. 한 개인의 분기 Core Priorities는 통상 3~5개로 구성된다. 회사 OKR이 아닌 ‘우선과제’ 개념이라는 점에서 Google과 다르다.</w:t>
      </w:r>
    </w:p>
    <w:p>
      <w:pPr>
        <w:spacing w:after="100" w:before="0" w:line="384" w:lineRule="auto"/>
        <w:ind w:firstLine="240"/>
        <w:jc w:val="both"/>
      </w:pPr>
      <w:r>
        <w:rPr>
          <w:rFonts w:ascii="맑은 고딕" w:cs="맑은 고딕" w:eastAsia="맑은 고딕" w:hAnsi="맑은 고딕"/>
          <w:b w:val="false"/>
          <w:bCs w:val="false"/>
          <w:color w:val="000000"/>
          <w:sz w:val="22"/>
          <w:szCs w:val="22"/>
        </w:rPr>
        <w:t xml:space="preserve">Core Priorities는 ‘개인 기여 + 타인 기여 + 타인의 영향력 활용’의 세 축으로 구조화된다. 개인 성과만이 아니라 ‘동료를 도왔는가’, ‘동료의 영향력을 활용했는가’가 명시적으로 평가에 포함된다. 협업이 평가의 핵심 요소로 격상된 것이다.</w:t>
      </w:r>
    </w:p>
    <w:p>
      <w:pPr>
        <w:pStyle w:val="Heading3"/>
        <w:spacing w:after="80" w:before="200" w:line="360" w:lineRule="auto"/>
      </w:pPr>
      <w:r>
        <w:rPr>
          <w:rFonts w:ascii="맑은 고딕" w:cs="맑은 고딕" w:eastAsia="맑은 고딕" w:hAnsi="맑은 고딕"/>
          <w:b/>
          <w:bCs/>
          <w:color w:val="2F5496"/>
          <w:sz w:val="22"/>
          <w:szCs w:val="22"/>
        </w:rPr>
        <w:t xml:space="preserve">(2) 개인 성과 측정 기준 — 무등급 서술형</w:t>
      </w:r>
    </w:p>
    <w:p>
      <w:pPr>
        <w:spacing w:after="100" w:before="0" w:line="384" w:lineRule="auto"/>
        <w:ind w:firstLine="240"/>
        <w:jc w:val="both"/>
      </w:pPr>
      <w:r>
        <w:rPr>
          <w:rFonts w:ascii="맑은 고딕" w:cs="맑은 고딕" w:eastAsia="맑은 고딕" w:hAnsi="맑은 고딕"/>
          <w:b w:val="false"/>
          <w:bCs w:val="false"/>
          <w:color w:val="000000"/>
          <w:sz w:val="22"/>
          <w:szCs w:val="22"/>
        </w:rPr>
        <w:t xml:space="preserve">공식 등급이 없다. 평가는 매니저의 서술형 기여도 평가로 이루어진다. 다만 매니저는 ‘보상 권고(Rewards Recommendation)’를 작성해야 한다. 이 권고가 보상의 결정 input이 된다.</w:t>
      </w:r>
    </w:p>
    <w:p>
      <w:pPr>
        <w:spacing w:after="100" w:before="0" w:line="384" w:lineRule="auto"/>
        <w:ind w:firstLine="240"/>
        <w:jc w:val="both"/>
      </w:pPr>
      <w:r>
        <w:rPr>
          <w:rFonts w:ascii="맑은 고딕" w:cs="맑은 고딕" w:eastAsia="맑은 고딕" w:hAnsi="맑은 고딕"/>
          <w:b w:val="false"/>
          <w:bCs w:val="false"/>
          <w:color w:val="000000"/>
          <w:sz w:val="22"/>
          <w:szCs w:val="22"/>
        </w:rPr>
        <w:t xml:space="preserve">Manager Excellence Survey(MES)가 함께 운영된다. 구성원이 매니저의 코칭, 피드백, 비전 제시, 권한 위임 등 9개 행동을 점수화한다. 이 점수가 매니저의 평가지표로 편입된다. ‘평가받는 자가 평가자를 평가’하는 구조가 시스템화되었다.</w:t>
      </w:r>
    </w:p>
    <w:p>
      <w:pPr>
        <w:pStyle w:val="Heading3"/>
        <w:spacing w:after="80" w:before="200" w:line="360" w:lineRule="auto"/>
      </w:pPr>
      <w:r>
        <w:rPr>
          <w:rFonts w:ascii="맑은 고딕" w:cs="맑은 고딕" w:eastAsia="맑은 고딕" w:hAnsi="맑은 고딕"/>
          <w:b/>
          <w:bCs/>
          <w:color w:val="2F5496"/>
          <w:sz w:val="22"/>
          <w:szCs w:val="22"/>
        </w:rPr>
        <w:t xml:space="preserve">(3) 상사와의 1대 1 면담 — Connect</w:t>
      </w:r>
    </w:p>
    <w:p>
      <w:pPr>
        <w:spacing w:after="100" w:before="0" w:line="384" w:lineRule="auto"/>
        <w:ind w:firstLine="240"/>
        <w:jc w:val="both"/>
      </w:pPr>
      <w:r>
        <w:rPr>
          <w:rFonts w:ascii="맑은 고딕" w:cs="맑은 고딕" w:eastAsia="맑은 고딕" w:hAnsi="맑은 고딕"/>
          <w:b w:val="false"/>
          <w:bCs w:val="false"/>
          <w:color w:val="000000"/>
          <w:sz w:val="22"/>
          <w:szCs w:val="22"/>
        </w:rPr>
        <w:t xml:space="preserve">분기별 Connect 대화가 필수다. Connect는 ‘평가 양식’이 아닌 ‘대화 구조’다. Core Priorities, Impact, Learning &amp; Growth의 세 영역을 다룬다. 통상 60~90분이 할당된다.</w:t>
      </w:r>
    </w:p>
    <w:p>
      <w:pPr>
        <w:spacing w:after="100" w:before="0" w:line="384" w:lineRule="auto"/>
        <w:ind w:firstLine="240"/>
        <w:jc w:val="both"/>
      </w:pPr>
      <w:r>
        <w:rPr>
          <w:rFonts w:ascii="맑은 고딕" w:cs="맑은 고딕" w:eastAsia="맑은 고딕" w:hAnsi="맑은 고딕"/>
          <w:b w:val="false"/>
          <w:bCs w:val="false"/>
          <w:color w:val="000000"/>
          <w:sz w:val="22"/>
          <w:szCs w:val="22"/>
        </w:rPr>
        <w:t xml:space="preserve">Connect의 핵심 슬로건은 ‘know-it-all에서 learn-it-all로’다. Nadella가 취임 후 가장 자주 사용한 표현이다. 매니저는 ‘모든 것을 아는 자’가 아니라 ‘함께 배우는 자’로 재정의된다. 슬로건이 대화 가이드에 내장되어 매니저 행동을 변화시킨다.</w:t>
      </w:r>
    </w:p>
    <w:p>
      <w:pPr>
        <w:pStyle w:val="Heading3"/>
        <w:spacing w:after="80" w:before="200" w:line="360" w:lineRule="auto"/>
      </w:pPr>
      <w:r>
        <w:rPr>
          <w:rFonts w:ascii="맑은 고딕" w:cs="맑은 고딕" w:eastAsia="맑은 고딕" w:hAnsi="맑은 고딕"/>
          <w:b/>
          <w:bCs/>
          <w:color w:val="2F5496"/>
          <w:sz w:val="22"/>
          <w:szCs w:val="22"/>
        </w:rPr>
        <w:t xml:space="preserve">(4) 피드백 주기</w:t>
      </w:r>
    </w:p>
    <w:p>
      <w:pPr>
        <w:spacing w:after="100" w:before="0" w:line="384" w:lineRule="auto"/>
        <w:ind w:firstLine="240"/>
        <w:jc w:val="both"/>
      </w:pPr>
      <w:r>
        <w:rPr>
          <w:rFonts w:ascii="맑은 고딕" w:cs="맑은 고딕" w:eastAsia="맑은 고딕" w:hAnsi="맑은 고딕"/>
          <w:b w:val="false"/>
          <w:bCs w:val="false"/>
          <w:color w:val="000000"/>
          <w:sz w:val="22"/>
          <w:szCs w:val="22"/>
        </w:rPr>
        <w:t xml:space="preserve">분기 Connect를 중심으로 상시 피드백이 결합된다. ‘Perspectives’라는 도구로 매니저와 동료가 언제든 피드백을 보낼 수 있다. ‘Kudos’ 도구로 동료 인정이 일상화된다.</w:t>
      </w:r>
    </w:p>
    <w:p>
      <w:pPr>
        <w:spacing w:after="100" w:before="0" w:line="384" w:lineRule="auto"/>
        <w:ind w:firstLine="240"/>
        <w:jc w:val="both"/>
      </w:pPr>
      <w:r>
        <w:rPr>
          <w:rFonts w:ascii="맑은 고딕" w:cs="맑은 고딕" w:eastAsia="맑은 고딕" w:hAnsi="맑은 고딕"/>
          <w:b w:val="false"/>
          <w:bCs w:val="false"/>
          <w:color w:val="000000"/>
          <w:sz w:val="22"/>
          <w:szCs w:val="22"/>
        </w:rPr>
        <w:t xml:space="preserve">Microsoft Teams 안에 Praise 카드 기능이 통합되어 있다. 별도 앱이 아니라 일상 협업 도구 안에서 피드백이 발생한다. 이는 윤동열(2026)이 정리한 ‘평가가 업무 흐름 속으로 들어가는’ 트렌드의 대표 사례다.</w:t>
      </w:r>
    </w:p>
    <w:p>
      <w:pPr>
        <w:pStyle w:val="Heading3"/>
        <w:spacing w:after="80" w:before="200" w:line="360" w:lineRule="auto"/>
      </w:pPr>
      <w:r>
        <w:rPr>
          <w:rFonts w:ascii="맑은 고딕" w:cs="맑은 고딕" w:eastAsia="맑은 고딕" w:hAnsi="맑은 고딕"/>
          <w:b/>
          <w:bCs/>
          <w:color w:val="2F5496"/>
          <w:sz w:val="22"/>
          <w:szCs w:val="22"/>
        </w:rPr>
        <w:t xml:space="preserve">(5) 개인성과와 보상 연계 방식</w:t>
      </w:r>
    </w:p>
    <w:p>
      <w:pPr>
        <w:spacing w:after="100" w:before="0" w:line="384" w:lineRule="auto"/>
        <w:ind w:firstLine="240"/>
        <w:jc w:val="both"/>
      </w:pPr>
      <w:r>
        <w:rPr>
          <w:rFonts w:ascii="맑은 고딕" w:cs="맑은 고딕" w:eastAsia="맑은 고딕" w:hAnsi="맑은 고딕"/>
          <w:b w:val="false"/>
          <w:bCs w:val="false"/>
          <w:color w:val="000000"/>
          <w:sz w:val="22"/>
          <w:szCs w:val="22"/>
        </w:rPr>
        <w:t xml:space="preserve">강제분포가 폐지되어 매니저가 보상 예산 범위 안에서 자유롭게 차등 분배한다. 다만 보상 결정 시 시장 데이터와 직무가치가 함께 고려된다. ‘평가 등급 = 보상’이라는 자동 공식이 해체되었다.</w:t>
      </w:r>
    </w:p>
    <w:p>
      <w:pPr>
        <w:spacing w:after="100" w:before="0" w:line="384" w:lineRule="auto"/>
        <w:ind w:firstLine="240"/>
        <w:jc w:val="both"/>
      </w:pPr>
      <w:r>
        <w:rPr>
          <w:rFonts w:ascii="맑은 고딕" w:cs="맑은 고딕" w:eastAsia="맑은 고딕" w:hAnsi="맑은 고딕"/>
          <w:b w:val="false"/>
          <w:bCs w:val="false"/>
          <w:color w:val="000000"/>
          <w:sz w:val="22"/>
          <w:szCs w:val="22"/>
        </w:rPr>
        <w:t xml:space="preserve">Microsoft의 보상은 4중 구조다. 베이스 연봉, 연간 보너스, 4년 베스팅 주식(Stock Awards), 특별 주식 부여(Special Stock Awards)다. 특별 주식은 핵심인재에게 별도로 부여되며, 매니저의 추천과 위원회 승인을 거친다.</w:t>
      </w:r>
    </w:p>
    <w:p>
      <w:pPr>
        <w:spacing w:after="100" w:before="0" w:line="384" w:lineRule="auto"/>
        <w:ind w:firstLine="240"/>
        <w:jc w:val="both"/>
      </w:pPr>
      <w:r>
        <w:rPr>
          <w:rFonts w:ascii="맑은 고딕" w:cs="맑은 고딕" w:eastAsia="맑은 고딕" w:hAnsi="맑은 고딕"/>
          <w:b w:val="false"/>
          <w:bCs w:val="false"/>
          <w:color w:val="000000"/>
          <w:sz w:val="22"/>
          <w:szCs w:val="22"/>
        </w:rPr>
        <w:t xml:space="preserve">Connect 도입 이후 직원 몰입도(Glint engagement score)는 매년 상승해 왔다. Microsoft 시가총액은 2014년 약 3,000억 달러에서 2025년 3조 달러 수준으로 10배 성장했다. 평가체계 단독의 효과로 귀속할 수는 없지만, ‘평가체계 전환이 조직문화 전환의 핵심 레버였다’는 평가가 일반적이다.</w:t>
      </w:r>
    </w:p>
    <w:p>
      <w:pPr>
        <w:pStyle w:val="Heading3"/>
        <w:spacing w:after="80" w:before="200" w:line="360" w:lineRule="auto"/>
      </w:pPr>
      <w:r>
        <w:rPr>
          <w:rFonts w:ascii="맑은 고딕" w:cs="맑은 고딕" w:eastAsia="맑은 고딕" w:hAnsi="맑은 고딕"/>
          <w:b/>
          <w:bCs/>
          <w:color w:val="2F5496"/>
          <w:sz w:val="22"/>
          <w:szCs w:val="22"/>
        </w:rPr>
        <w:t xml:space="preserve">(6) 저성과자 관리 방식</w:t>
      </w:r>
    </w:p>
    <w:p>
      <w:pPr>
        <w:spacing w:after="100" w:before="0" w:line="384" w:lineRule="auto"/>
        <w:ind w:firstLine="240"/>
        <w:jc w:val="both"/>
      </w:pPr>
      <w:r>
        <w:rPr>
          <w:rFonts w:ascii="맑은 고딕" w:cs="맑은 고딕" w:eastAsia="맑은 고딕" w:hAnsi="맑은 고딕"/>
          <w:b w:val="false"/>
          <w:bCs w:val="false"/>
          <w:color w:val="000000"/>
          <w:sz w:val="22"/>
          <w:szCs w:val="22"/>
        </w:rPr>
        <w:t xml:space="preserve">코칭 → PIP → 합의 분리의 3단 트랙을 운영한다. 코칭 단계에서 매니저가 명확한 개선 목표와 지원을 제공한다. 개선이 없으면 정식 PIP에 진입한다. PIP에서도 개선이 없으면 합의 분리로 이행한다.</w:t>
      </w:r>
    </w:p>
    <w:p>
      <w:pPr>
        <w:spacing w:after="100" w:before="0" w:line="384" w:lineRule="auto"/>
        <w:ind w:firstLine="240"/>
        <w:jc w:val="both"/>
      </w:pPr>
      <w:r>
        <w:rPr>
          <w:rFonts w:ascii="맑은 고딕" w:cs="맑은 고딕" w:eastAsia="맑은 고딕" w:hAnsi="맑은 고딕"/>
          <w:b w:val="false"/>
          <w:bCs w:val="false"/>
          <w:color w:val="000000"/>
          <w:sz w:val="22"/>
          <w:szCs w:val="22"/>
        </w:rPr>
        <w:t xml:space="preserve">한국 기업과 비교할 때 차이는 매니저의 역할이다. Microsoft 매니저는 ‘등급 부여자’가 아닌 ‘성과 개선 동반자’로 자리매김한다. 매니저는 저성과자의 개선 책임을 함께 진다.</w:t>
      </w:r>
    </w:p>
    <w:p>
      <w:pPr>
        <w:pStyle w:val="Heading3"/>
        <w:spacing w:after="80" w:before="200" w:line="360" w:lineRule="auto"/>
      </w:pPr>
      <w:r>
        <w:rPr>
          <w:rFonts w:ascii="맑은 고딕" w:cs="맑은 고딕" w:eastAsia="맑은 고딕" w:hAnsi="맑은 고딕"/>
          <w:b/>
          <w:bCs/>
          <w:color w:val="2F5496"/>
          <w:sz w:val="22"/>
          <w:szCs w:val="22"/>
        </w:rPr>
        <w:t xml:space="preserve">(7) 핵심인재 육성 프로그램</w:t>
      </w:r>
    </w:p>
    <w:p>
      <w:pPr>
        <w:spacing w:after="100" w:before="0" w:line="384" w:lineRule="auto"/>
        <w:ind w:firstLine="240"/>
        <w:jc w:val="both"/>
      </w:pPr>
      <w:r>
        <w:rPr>
          <w:rFonts w:ascii="맑은 고딕" w:cs="맑은 고딕" w:eastAsia="맑은 고딕" w:hAnsi="맑은 고딕"/>
          <w:b w:val="false"/>
          <w:bCs w:val="false"/>
          <w:color w:val="000000"/>
          <w:sz w:val="22"/>
          <w:szCs w:val="22"/>
        </w:rPr>
        <w:t xml:space="preserve">HiPo(High Potential) 프로그램이 운영된다. 매니저가 추천하고 위원회가 검증한다. HiPo로 식별된 구성원에게는 Stretch Assignment, 임원 멘토링, 특별 주식 부여가 제공된다.</w:t>
      </w:r>
    </w:p>
    <w:p>
      <w:pPr>
        <w:spacing w:after="100" w:before="0" w:line="384" w:lineRule="auto"/>
        <w:ind w:firstLine="240"/>
        <w:jc w:val="both"/>
      </w:pPr>
      <w:r>
        <w:rPr>
          <w:rFonts w:ascii="맑은 고딕" w:cs="맑은 고딕" w:eastAsia="맑은 고딕" w:hAnsi="맑은 고딕"/>
          <w:b w:val="false"/>
          <w:bCs w:val="false"/>
          <w:color w:val="000000"/>
          <w:sz w:val="22"/>
          <w:szCs w:val="22"/>
        </w:rPr>
        <w:t xml:space="preserve">Growth Mindset 워크숍이 전 직원에게 제공된다. 매니저는 별도로 Manager Foundations와 People Manager Habits 트레이닝을 의무 이수한다. 매니저 자격증 트랙은 평가 결과에 영향을 미친다.</w:t>
      </w:r>
    </w:p>
    <w:p>
      <w:pPr>
        <w:pStyle w:val="Heading2"/>
        <w:spacing w:after="140" w:before="320" w:line="360" w:lineRule="auto"/>
      </w:pPr>
      <w:r>
        <w:rPr>
          <w:rFonts w:ascii="맑은 고딕" w:cs="맑은 고딕" w:eastAsia="맑은 고딕" w:hAnsi="맑은 고딕"/>
          <w:b/>
          <w:bCs/>
          <w:color w:val="1F3864"/>
          <w:sz w:val="25"/>
          <w:szCs w:val="25"/>
        </w:rPr>
        <w:t xml:space="preserve">3. Adobe — Check-in, 등급 폐지의 원형</w:t>
      </w:r>
    </w:p>
    <w:p>
      <w:pPr>
        <w:pStyle w:val="Heading3"/>
        <w:spacing w:after="80" w:before="200" w:line="360" w:lineRule="auto"/>
      </w:pPr>
      <w:r>
        <w:rPr>
          <w:rFonts w:ascii="맑은 고딕" w:cs="맑은 고딕" w:eastAsia="맑은 고딕" w:hAnsi="맑은 고딕"/>
          <w:b/>
          <w:bCs/>
          <w:color w:val="2F5496"/>
          <w:sz w:val="22"/>
          <w:szCs w:val="22"/>
        </w:rPr>
        <w:t xml:space="preserve">도입 배경</w:t>
      </w:r>
    </w:p>
    <w:p>
      <w:pPr>
        <w:spacing w:after="100" w:before="0" w:line="384" w:lineRule="auto"/>
        <w:ind w:firstLine="240"/>
        <w:jc w:val="both"/>
      </w:pPr>
      <w:r>
        <w:rPr>
          <w:rFonts w:ascii="맑은 고딕" w:cs="맑은 고딕" w:eastAsia="맑은 고딕" w:hAnsi="맑은 고딕"/>
          <w:b w:val="false"/>
          <w:bCs w:val="false"/>
          <w:color w:val="000000"/>
          <w:sz w:val="22"/>
          <w:szCs w:val="22"/>
        </w:rPr>
        <w:t xml:space="preserve">Adobe는 2012년 연례 평가를 공식 폐지했다. 도입 주역은 Donna Morris CHRO다. Morris는 인도 출장 중 호텔 객실에서 ‘평가에 소요되는 시간이 8만 시간인데, 정작 비즈니스 가치는 거의 없다’는 계산을 했다(Stanford GSB, 2015). 8만 시간은 풀타임 직원 40명에 해당하는 규모다.</w:t>
      </w:r>
    </w:p>
    <w:p>
      <w:pPr>
        <w:spacing w:after="100" w:before="0" w:line="384" w:lineRule="auto"/>
        <w:ind w:firstLine="240"/>
        <w:jc w:val="both"/>
      </w:pPr>
      <w:r>
        <w:rPr>
          <w:rFonts w:ascii="맑은 고딕" w:cs="맑은 고딕" w:eastAsia="맑은 고딕" w:hAnsi="맑은 고딕"/>
          <w:b w:val="false"/>
          <w:bCs w:val="false"/>
          <w:color w:val="000000"/>
          <w:sz w:val="22"/>
          <w:szCs w:val="22"/>
        </w:rPr>
        <w:t xml:space="preserve">Adobe는 ‘평가 시즌 직후 자발적 이직률이 급증한다’는 데이터도 확인했다. 평가가 성과 개선이 아닌 ‘퇴직 결심의 계기’가 되고 있다는 진단이었다. Morris는 인도 출장에서 돌아오는 비행기 안에서 ‘Why Adobe killed off the annual performance review’ 칼럼을 작성했다.</w:t>
      </w:r>
    </w:p>
    <w:p>
      <w:pPr>
        <w:spacing w:after="100" w:before="0" w:line="384" w:lineRule="auto"/>
        <w:ind w:firstLine="240"/>
        <w:jc w:val="both"/>
      </w:pPr>
      <w:r>
        <w:rPr>
          <w:rFonts w:ascii="맑은 고딕" w:cs="맑은 고딕" w:eastAsia="맑은 고딕" w:hAnsi="맑은 고딕"/>
          <w:b w:val="false"/>
          <w:bCs w:val="false"/>
          <w:color w:val="000000"/>
          <w:sz w:val="22"/>
          <w:szCs w:val="22"/>
        </w:rPr>
        <w:t xml:space="preserve">Adobe의 결정은 글로벌 HR 커뮤니티에 큰 충격을 주었다. 이후 Microsoft(2013), Accenture(2015), Deloitte(2015), GE(2016) 등이 잇따라 연례 평가 폐지에 동참했다. Adobe는 ‘평가 폐지 운동’의 원형이 되었다.</w:t>
      </w:r>
    </w:p>
    <w:p>
      <w:pPr>
        <w:pStyle w:val="Heading3"/>
        <w:spacing w:after="80" w:before="200" w:line="360" w:lineRule="auto"/>
      </w:pPr>
      <w:r>
        <w:rPr>
          <w:rFonts w:ascii="맑은 고딕" w:cs="맑은 고딕" w:eastAsia="맑은 고딕" w:hAnsi="맑은 고딕"/>
          <w:b/>
          <w:bCs/>
          <w:color w:val="2F5496"/>
          <w:sz w:val="22"/>
          <w:szCs w:val="22"/>
        </w:rPr>
        <w:t xml:space="preserve">(1) 개인 목표 설정 — Expectations</w:t>
      </w:r>
    </w:p>
    <w:p>
      <w:pPr>
        <w:spacing w:after="100" w:before="0" w:line="384" w:lineRule="auto"/>
        <w:ind w:firstLine="240"/>
        <w:jc w:val="both"/>
      </w:pPr>
      <w:r>
        <w:rPr>
          <w:rFonts w:ascii="맑은 고딕" w:cs="맑은 고딕" w:eastAsia="맑은 고딕" w:hAnsi="맑은 고딕"/>
          <w:b w:val="false"/>
          <w:bCs w:val="false"/>
          <w:color w:val="000000"/>
          <w:sz w:val="22"/>
          <w:szCs w:val="22"/>
        </w:rPr>
        <w:t xml:space="preserve">Adobe의 분기 목표는 Expectations(기대치)라는 이름으로 통일된다. 정형 양식이나 시스템은 없다. 매니저와 구성원이 ‘대화로’ 합의한다. ‘양식보다 대화’라는 원칙이 평가 폐지의 철학과 일관된다.</w:t>
      </w:r>
    </w:p>
    <w:p>
      <w:pPr>
        <w:spacing w:after="100" w:before="0" w:line="384" w:lineRule="auto"/>
        <w:ind w:firstLine="240"/>
        <w:jc w:val="both"/>
      </w:pPr>
      <w:r>
        <w:rPr>
          <w:rFonts w:ascii="맑은 고딕" w:cs="맑은 고딕" w:eastAsia="맑은 고딕" w:hAnsi="맑은 고딕"/>
          <w:b w:val="false"/>
          <w:bCs w:val="false"/>
          <w:color w:val="000000"/>
          <w:sz w:val="22"/>
          <w:szCs w:val="22"/>
        </w:rPr>
        <w:t xml:space="preserve">Expectations는 통상 3~5개로 구성된다. 단순한 KPI가 아니라 ‘분기 동안 가장 중요한 일’이라는 개념이다. 회사 OKR과 정렬되지만 강제 분해는 아니다.</w:t>
      </w:r>
    </w:p>
    <w:p>
      <w:pPr>
        <w:pStyle w:val="Heading3"/>
        <w:spacing w:after="80" w:before="200" w:line="360" w:lineRule="auto"/>
      </w:pPr>
      <w:r>
        <w:rPr>
          <w:rFonts w:ascii="맑은 고딕" w:cs="맑은 고딕" w:eastAsia="맑은 고딕" w:hAnsi="맑은 고딕"/>
          <w:b/>
          <w:bCs/>
          <w:color w:val="2F5496"/>
          <w:sz w:val="22"/>
          <w:szCs w:val="22"/>
        </w:rPr>
        <w:t xml:space="preserve">(2) 개인 성과 측정 기준 — 형식 없음</w:t>
      </w:r>
    </w:p>
    <w:p>
      <w:pPr>
        <w:spacing w:after="100" w:before="0" w:line="384" w:lineRule="auto"/>
        <w:ind w:firstLine="240"/>
        <w:jc w:val="both"/>
      </w:pPr>
      <w:r>
        <w:rPr>
          <w:rFonts w:ascii="맑은 고딕" w:cs="맑은 고딕" w:eastAsia="맑은 고딕" w:hAnsi="맑은 고딕"/>
          <w:b w:val="false"/>
          <w:bCs w:val="false"/>
          <w:color w:val="000000"/>
          <w:sz w:val="22"/>
          <w:szCs w:val="22"/>
        </w:rPr>
        <w:t xml:space="preserve">공식 등급도, 강제 분포도, 정형 양식도 없다. 매니저의 누적 Check-in 기록과 비즈니스 임팩트가 평가의 근거다. ‘평가양식’이 사라진 자리에 ‘대화의 누적 기록’이 들어왔다.</w:t>
      </w:r>
    </w:p>
    <w:p>
      <w:pPr>
        <w:spacing w:after="100" w:before="0" w:line="384" w:lineRule="auto"/>
        <w:ind w:firstLine="240"/>
        <w:jc w:val="both"/>
      </w:pPr>
      <w:r>
        <w:rPr>
          <w:rFonts w:ascii="맑은 고딕" w:cs="맑은 고딕" w:eastAsia="맑은 고딕" w:hAnsi="맑은 고딕"/>
          <w:b w:val="false"/>
          <w:bCs w:val="false"/>
          <w:color w:val="000000"/>
          <w:sz w:val="22"/>
          <w:szCs w:val="22"/>
        </w:rPr>
        <w:t xml:space="preserve">다만 매년 매니저는 ‘Reward Decision’을 내려야 한다. 이 결정의 근거는 누적된 Check-in 기록이다. 매니저는 ‘why’를 명문화해야 하며, 사후 감사가 가능한 구조다. 즉, ‘등급 없음’이 ‘평가 없음’을 뜻하지는 않는다.</w:t>
      </w:r>
    </w:p>
    <w:p>
      <w:pPr>
        <w:pStyle w:val="Heading3"/>
        <w:spacing w:after="80" w:before="200" w:line="360" w:lineRule="auto"/>
      </w:pPr>
      <w:r>
        <w:rPr>
          <w:rFonts w:ascii="맑은 고딕" w:cs="맑은 고딕" w:eastAsia="맑은 고딕" w:hAnsi="맑은 고딕"/>
          <w:b/>
          <w:bCs/>
          <w:color w:val="2F5496"/>
          <w:sz w:val="22"/>
          <w:szCs w:val="22"/>
        </w:rPr>
        <w:t xml:space="preserve">(3) 상사와의 1대 1 면담 — Check-in</w:t>
      </w:r>
    </w:p>
    <w:p>
      <w:pPr>
        <w:spacing w:after="100" w:before="0" w:line="384" w:lineRule="auto"/>
        <w:ind w:firstLine="240"/>
        <w:jc w:val="both"/>
      </w:pPr>
      <w:r>
        <w:rPr>
          <w:rFonts w:ascii="맑은 고딕" w:cs="맑은 고딕" w:eastAsia="맑은 고딕" w:hAnsi="맑은 고딕"/>
          <w:b w:val="false"/>
          <w:bCs w:val="false"/>
          <w:color w:val="000000"/>
          <w:sz w:val="22"/>
          <w:szCs w:val="22"/>
        </w:rPr>
        <w:t xml:space="preserve">Check-in은 매니저와 구성원이 갖는 구조화된 대화다. 최소 분기 1회, 권장 6~8주 간격으로 진행된다. 한 번에 60~90분이 할당된다.</w:t>
      </w:r>
    </w:p>
    <w:p>
      <w:pPr>
        <w:spacing w:after="100" w:before="0" w:line="384" w:lineRule="auto"/>
        <w:ind w:firstLine="240"/>
        <w:jc w:val="both"/>
      </w:pPr>
      <w:r>
        <w:rPr>
          <w:rFonts w:ascii="맑은 고딕" w:cs="맑은 고딕" w:eastAsia="맑은 고딕" w:hAnsi="맑은 고딕"/>
          <w:b w:val="false"/>
          <w:bCs w:val="false"/>
          <w:color w:val="000000"/>
          <w:sz w:val="22"/>
          <w:szCs w:val="22"/>
        </w:rPr>
        <w:t xml:space="preserve">Check-in은 Expectations, Feedback, Development의 세 영역을 다룬다. 첫째 영역에서 기대치 진척을 점검한다. 둘째 영역에서 상호 피드백을 교환한다. 셋째 영역에서 역량개발과 커리어를 논의한다.</w:t>
      </w:r>
    </w:p>
    <w:p>
      <w:pPr>
        <w:pStyle w:val="Heading3"/>
        <w:spacing w:after="80" w:before="200" w:line="360" w:lineRule="auto"/>
      </w:pPr>
      <w:r>
        <w:rPr>
          <w:rFonts w:ascii="맑은 고딕" w:cs="맑은 고딕" w:eastAsia="맑은 고딕" w:hAnsi="맑은 고딕"/>
          <w:b/>
          <w:bCs/>
          <w:color w:val="2F5496"/>
          <w:sz w:val="22"/>
          <w:szCs w:val="22"/>
        </w:rPr>
        <w:t xml:space="preserve">(4) 피드백 주기</w:t>
      </w:r>
    </w:p>
    <w:p>
      <w:pPr>
        <w:spacing w:after="100" w:before="0" w:line="384" w:lineRule="auto"/>
        <w:ind w:firstLine="240"/>
        <w:jc w:val="both"/>
      </w:pPr>
      <w:r>
        <w:rPr>
          <w:rFonts w:ascii="맑은 고딕" w:cs="맑은 고딕" w:eastAsia="맑은 고딕" w:hAnsi="맑은 고딕"/>
          <w:b w:val="false"/>
          <w:bCs w:val="false"/>
          <w:color w:val="000000"/>
          <w:sz w:val="22"/>
          <w:szCs w:val="22"/>
        </w:rPr>
        <w:t xml:space="preserve">Check-in이 곧 피드백이다. 별도의 피드백 이벤트나 시즌이 없다. 대신 매니저의 ‘대화 빈도와 품질’이 매니저 평가의 핵심 지표다.</w:t>
      </w:r>
    </w:p>
    <w:p>
      <w:pPr>
        <w:spacing w:after="100" w:before="0" w:line="384" w:lineRule="auto"/>
        <w:ind w:firstLine="240"/>
        <w:jc w:val="both"/>
      </w:pPr>
      <w:r>
        <w:rPr>
          <w:rFonts w:ascii="맑은 고딕" w:cs="맑은 고딕" w:eastAsia="맑은 고딕" w:hAnsi="맑은 고딕"/>
          <w:b w:val="false"/>
          <w:bCs w:val="false"/>
          <w:color w:val="000000"/>
          <w:sz w:val="22"/>
          <w:szCs w:val="22"/>
        </w:rPr>
        <w:t xml:space="preserve">Check-in Resources라는 도구 일체가 사내 포털에서 제공된다. 매니저 코칭 가이드, 대화 스타터 카드, 역량개발 카드, ‘어려운 대화’ 시나리오 등이 포함된다. 매니저의 대화 역량을 시스템 차원에서 지원하는 구조다.</w:t>
      </w:r>
    </w:p>
    <w:p>
      <w:pPr>
        <w:pStyle w:val="Heading3"/>
        <w:spacing w:after="80" w:before="200" w:line="360" w:lineRule="auto"/>
      </w:pPr>
      <w:r>
        <w:rPr>
          <w:rFonts w:ascii="맑은 고딕" w:cs="맑은 고딕" w:eastAsia="맑은 고딕" w:hAnsi="맑은 고딕"/>
          <w:b/>
          <w:bCs/>
          <w:color w:val="2F5496"/>
          <w:sz w:val="22"/>
          <w:szCs w:val="22"/>
        </w:rPr>
        <w:t xml:space="preserve">(5) 개인성과와 보상 연계 방식</w:t>
      </w:r>
    </w:p>
    <w:p>
      <w:pPr>
        <w:spacing w:after="100" w:before="0" w:line="384" w:lineRule="auto"/>
        <w:ind w:firstLine="240"/>
        <w:jc w:val="both"/>
      </w:pPr>
      <w:r>
        <w:rPr>
          <w:rFonts w:ascii="맑은 고딕" w:cs="맑은 고딕" w:eastAsia="맑은 고딕" w:hAnsi="맑은 고딕"/>
          <w:b w:val="false"/>
          <w:bCs w:val="false"/>
          <w:color w:val="000000"/>
          <w:sz w:val="22"/>
          <w:szCs w:val="22"/>
        </w:rPr>
        <w:t xml:space="preserve">Adobe는 평가와 보상을 ‘느슨하게 결합(loose coupling)’한다. 매년 11월에 평가 면담을 진행하고, 별도로 다음 해 1~2월에 Reward Decision을 내린다. 시점이 분리되어 ‘평가 = 보상 협상’이 되는 것을 차단한다.</w:t>
      </w:r>
    </w:p>
    <w:p>
      <w:pPr>
        <w:spacing w:after="100" w:before="0" w:line="384" w:lineRule="auto"/>
        <w:ind w:firstLine="240"/>
        <w:jc w:val="both"/>
      </w:pPr>
      <w:r>
        <w:rPr>
          <w:rFonts w:ascii="맑은 고딕" w:cs="맑은 고딕" w:eastAsia="맑은 고딕" w:hAnsi="맑은 고딕"/>
          <w:b w:val="false"/>
          <w:bCs w:val="false"/>
          <w:color w:val="000000"/>
          <w:sz w:val="22"/>
          <w:szCs w:val="22"/>
        </w:rPr>
        <w:t xml:space="preserve">보상 결정 시 직무가치, 시장 데이터, 누적 임팩트 기록, 보유 인재 risk가 함께 고려된다. 평가 결과가 단일 input이 아닌 다중 input 중 하나가 된다.</w:t>
      </w:r>
    </w:p>
    <w:p>
      <w:pPr>
        <w:spacing w:after="100" w:before="0" w:line="384" w:lineRule="auto"/>
        <w:ind w:firstLine="240"/>
        <w:jc w:val="both"/>
      </w:pPr>
      <w:r>
        <w:rPr>
          <w:rFonts w:ascii="맑은 고딕" w:cs="맑은 고딕" w:eastAsia="맑은 고딕" w:hAnsi="맑은 고딕"/>
          <w:b w:val="false"/>
          <w:bCs w:val="false"/>
          <w:color w:val="000000"/>
          <w:sz w:val="22"/>
          <w:szCs w:val="22"/>
        </w:rPr>
        <w:t xml:space="preserve">도입 효과는 정량적으로 측정되었다. Check-in 도입 1년 만에 자발적 이직률이 약 30퍼센트 감소했다. 매니저 시간 약 8만 시간이 회수되었다. 직원의 78퍼센트가 ‘매니저가 내 피드백에 열려 있다’고 응답했다(Stanford GSB, 2015).</w:t>
      </w:r>
    </w:p>
    <w:p>
      <w:pPr>
        <w:pStyle w:val="Heading3"/>
        <w:spacing w:after="80" w:before="200" w:line="360" w:lineRule="auto"/>
      </w:pPr>
      <w:r>
        <w:rPr>
          <w:rFonts w:ascii="맑은 고딕" w:cs="맑은 고딕" w:eastAsia="맑은 고딕" w:hAnsi="맑은 고딕"/>
          <w:b/>
          <w:bCs/>
          <w:color w:val="2F5496"/>
          <w:sz w:val="22"/>
          <w:szCs w:val="22"/>
        </w:rPr>
        <w:t xml:space="preserve">(6) 저성과자 관리 방식</w:t>
      </w:r>
    </w:p>
    <w:p>
      <w:pPr>
        <w:spacing w:after="100" w:before="0" w:line="384" w:lineRule="auto"/>
        <w:ind w:firstLine="240"/>
        <w:jc w:val="both"/>
      </w:pPr>
      <w:r>
        <w:rPr>
          <w:rFonts w:ascii="맑은 고딕" w:cs="맑은 고딕" w:eastAsia="맑은 고딕" w:hAnsi="맑은 고딕"/>
          <w:b w:val="false"/>
          <w:bCs w:val="false"/>
          <w:color w:val="000000"/>
          <w:sz w:val="22"/>
          <w:szCs w:val="22"/>
        </w:rPr>
        <w:t xml:space="preserve">누적된 Check-in 기록에서 개선이 없으면 합의 분리로 이행한다. 별도의 PIP 단계는 운영하지 않는다. ‘PIP가 해고 알리바이로 변질되는 문제’를 구조적으로 차단한 것이다.</w:t>
      </w:r>
    </w:p>
    <w:p>
      <w:pPr>
        <w:spacing w:after="100" w:before="0" w:line="384" w:lineRule="auto"/>
        <w:ind w:firstLine="240"/>
        <w:jc w:val="both"/>
      </w:pPr>
      <w:r>
        <w:rPr>
          <w:rFonts w:ascii="맑은 고딕" w:cs="맑은 고딕" w:eastAsia="맑은 고딕" w:hAnsi="맑은 고딕"/>
          <w:b w:val="false"/>
          <w:bCs w:val="false"/>
          <w:color w:val="000000"/>
          <w:sz w:val="22"/>
          <w:szCs w:val="22"/>
        </w:rPr>
        <w:t xml:space="preserve">특이하게도 Check-in 도입 이후 비자발적 이직률은 오히려 50퍼센트 증가했다. 매니저가 ‘솔직한 피드백’을 더 잘 제공하면서 ‘적합하지 않은 인재의 조기 식별’이 가능해진 결과다. 자발적 이직 감소와 비자발적 이직 증가가 동시에 일어나는 것이 평가 폐지 모델의 핵심 효과다.</w:t>
      </w:r>
    </w:p>
    <w:p>
      <w:pPr>
        <w:pStyle w:val="Heading3"/>
        <w:spacing w:after="80" w:before="200" w:line="360" w:lineRule="auto"/>
      </w:pPr>
      <w:r>
        <w:rPr>
          <w:rFonts w:ascii="맑은 고딕" w:cs="맑은 고딕" w:eastAsia="맑은 고딕" w:hAnsi="맑은 고딕"/>
          <w:b/>
          <w:bCs/>
          <w:color w:val="2F5496"/>
          <w:sz w:val="22"/>
          <w:szCs w:val="22"/>
        </w:rPr>
        <w:t xml:space="preserve">(7) 핵심인재 육성 프로그램</w:t>
      </w:r>
    </w:p>
    <w:p>
      <w:pPr>
        <w:spacing w:after="100" w:before="0" w:line="384" w:lineRule="auto"/>
        <w:ind w:firstLine="240"/>
        <w:jc w:val="both"/>
      </w:pPr>
      <w:r>
        <w:rPr>
          <w:rFonts w:ascii="맑은 고딕" w:cs="맑은 고딕" w:eastAsia="맑은 고딕" w:hAnsi="맑은 고딕"/>
          <w:b w:val="false"/>
          <w:bCs w:val="false"/>
          <w:color w:val="000000"/>
          <w:sz w:val="22"/>
          <w:szCs w:val="22"/>
        </w:rPr>
        <w:t xml:space="preserve">Career Map과 Internal Mobility 플랫폼이 결합된다. 구성원은 자신의 커리어 경로를 시각화하고, 사내 다른 직무에 자유롭게 지원한다. 매니저는 사내 이동을 ‘배신’이 아닌 ‘성장’으로 본다.</w:t>
      </w:r>
    </w:p>
    <w:p>
      <w:pPr>
        <w:spacing w:after="100" w:before="0" w:line="384" w:lineRule="auto"/>
        <w:ind w:firstLine="240"/>
        <w:jc w:val="both"/>
      </w:pPr>
      <w:r>
        <w:rPr>
          <w:rFonts w:ascii="맑은 고딕" w:cs="맑은 고딕" w:eastAsia="맑은 고딕" w:hAnsi="맑은 고딕"/>
          <w:b w:val="false"/>
          <w:bCs w:val="false"/>
          <w:color w:val="000000"/>
          <w:sz w:val="22"/>
          <w:szCs w:val="22"/>
        </w:rPr>
        <w:t xml:space="preserve">평가 결과가 직접 보상으로 가지 않고 ‘성장 경로 설계’의 입력으로 활용된다. 핵심인재에게는 임원 멘토링과 글로벌 이동 기회가 부여된다. 평가의 목적이 ‘분배’가 아닌 ‘성장’으로 재정의된 사례다.</w:t>
      </w:r>
    </w:p>
    <w:p>
      <w:pPr>
        <w:pStyle w:val="Heading2"/>
        <w:spacing w:after="140" w:before="320" w:line="360" w:lineRule="auto"/>
      </w:pPr>
      <w:r>
        <w:rPr>
          <w:rFonts w:ascii="맑은 고딕" w:cs="맑은 고딕" w:eastAsia="맑은 고딕" w:hAnsi="맑은 고딕"/>
          <w:b/>
          <w:bCs/>
          <w:color w:val="1F3864"/>
          <w:sz w:val="25"/>
          <w:szCs w:val="25"/>
        </w:rPr>
        <w:t xml:space="preserve">4. Netflix — Keeper Test와 인재 밀도</w:t>
      </w:r>
    </w:p>
    <w:p>
      <w:pPr>
        <w:pStyle w:val="Heading3"/>
        <w:spacing w:after="80" w:before="200" w:line="360" w:lineRule="auto"/>
      </w:pPr>
      <w:r>
        <w:rPr>
          <w:rFonts w:ascii="맑은 고딕" w:cs="맑은 고딕" w:eastAsia="맑은 고딕" w:hAnsi="맑은 고딕"/>
          <w:b/>
          <w:bCs/>
          <w:color w:val="2F5496"/>
          <w:sz w:val="22"/>
          <w:szCs w:val="22"/>
        </w:rPr>
        <w:t xml:space="preserve">도입 배경</w:t>
      </w:r>
    </w:p>
    <w:p>
      <w:pPr>
        <w:spacing w:after="100" w:before="0" w:line="384" w:lineRule="auto"/>
        <w:ind w:firstLine="240"/>
        <w:jc w:val="both"/>
      </w:pPr>
      <w:r>
        <w:rPr>
          <w:rFonts w:ascii="맑은 고딕" w:cs="맑은 고딕" w:eastAsia="맑은 고딕" w:hAnsi="맑은 고딕"/>
          <w:b w:val="false"/>
          <w:bCs w:val="false"/>
          <w:color w:val="000000"/>
          <w:sz w:val="22"/>
          <w:szCs w:val="22"/>
        </w:rPr>
        <w:t xml:space="preserve">Netflix는 1997년 Reed Hastings와 Marc Randolph가 창업했다. 초기에는 DVD 우편 배송 사업이었고, 2007년 스트리밍으로 전환했다. 직원 수가 적었던 초기에 형성된 ‘소수의 최고 인재로 운영한다’는 문화가 현재까지 이어진다.</w:t>
      </w:r>
    </w:p>
    <w:p>
      <w:pPr>
        <w:spacing w:after="100" w:before="0" w:line="384" w:lineRule="auto"/>
        <w:ind w:firstLine="240"/>
        <w:jc w:val="both"/>
      </w:pPr>
      <w:r>
        <w:rPr>
          <w:rFonts w:ascii="맑은 고딕" w:cs="맑은 고딕" w:eastAsia="맑은 고딕" w:hAnsi="맑은 고딕"/>
          <w:b w:val="false"/>
          <w:bCs w:val="false"/>
          <w:color w:val="000000"/>
          <w:sz w:val="22"/>
          <w:szCs w:val="22"/>
        </w:rPr>
        <w:t xml:space="preserve">Netflix의 평가철학은 2009년 ‘Culture Deck’이라는 125페이지 슬라이드 자료로 공개되었다. 페이스북 COO Sheryl Sandberg가 ‘실리콘밸리에서 가장 중요한 문서’라고 평한 자료다. 누적 1,300만 회 이상 조회되었다. 이후 2020년 Hastings는 INSEAD 교수 Erin Meyer와 함께 『No Rules Rules』를 출간했다(Hastings &amp; Meyer, 2020).</w:t>
      </w:r>
    </w:p>
    <w:p>
      <w:pPr>
        <w:spacing w:after="100" w:before="0" w:line="384" w:lineRule="auto"/>
        <w:ind w:firstLine="240"/>
        <w:jc w:val="both"/>
      </w:pPr>
      <w:r>
        <w:rPr>
          <w:rFonts w:ascii="맑은 고딕" w:cs="맑은 고딕" w:eastAsia="맑은 고딕" w:hAnsi="맑은 고딕"/>
          <w:b w:val="false"/>
          <w:bCs w:val="false"/>
          <w:color w:val="000000"/>
          <w:sz w:val="22"/>
          <w:szCs w:val="22"/>
        </w:rPr>
        <w:t xml:space="preserve">Netflix는 전통적 의미의 연례평가, 등급, 승진심사, PIP를 모두 폐지했다. 대신 Keeper Test와 360도 피드백 두 가지만 유지한다. ‘평가체계의 최소화’가 Netflix의 차별점이다.</w:t>
      </w:r>
    </w:p>
    <w:p>
      <w:pPr>
        <w:pStyle w:val="Heading3"/>
        <w:spacing w:after="80" w:before="200" w:line="360" w:lineRule="auto"/>
      </w:pPr>
      <w:r>
        <w:rPr>
          <w:rFonts w:ascii="맑은 고딕" w:cs="맑은 고딕" w:eastAsia="맑은 고딕" w:hAnsi="맑은 고딕"/>
          <w:b/>
          <w:bCs/>
          <w:color w:val="2F5496"/>
          <w:sz w:val="22"/>
          <w:szCs w:val="22"/>
        </w:rPr>
        <w:t xml:space="preserve">(1) 개인 목표 설정 — 프로젝트별 비공식</w:t>
      </w:r>
    </w:p>
    <w:p>
      <w:pPr>
        <w:spacing w:after="100" w:before="0" w:line="384" w:lineRule="auto"/>
        <w:ind w:firstLine="240"/>
        <w:jc w:val="both"/>
      </w:pPr>
      <w:r>
        <w:rPr>
          <w:rFonts w:ascii="맑은 고딕" w:cs="맑은 고딕" w:eastAsia="맑은 고딕" w:hAnsi="맑은 고딕"/>
          <w:b w:val="false"/>
          <w:bCs w:val="false"/>
          <w:color w:val="000000"/>
          <w:sz w:val="22"/>
          <w:szCs w:val="22"/>
        </w:rPr>
        <w:t xml:space="preserve">Netflix는 회사 차원의 OKR이나 KPI 시스템을 운영하지 않는다. 프로젝트별로 ‘맥락(context)’을 매니저가 공유하고, 구성원이 자율적으로 목표를 설정한다. ‘통제(control)’ 대신 ‘맥락(context)’이 핵심 원칙이다.</w:t>
      </w:r>
    </w:p>
    <w:p>
      <w:pPr>
        <w:spacing w:after="100" w:before="0" w:line="384" w:lineRule="auto"/>
        <w:ind w:firstLine="240"/>
        <w:jc w:val="both"/>
      </w:pPr>
      <w:r>
        <w:rPr>
          <w:rFonts w:ascii="맑은 고딕" w:cs="맑은 고딕" w:eastAsia="맑은 고딕" w:hAnsi="맑은 고딕"/>
          <w:b w:val="false"/>
          <w:bCs w:val="false"/>
          <w:color w:val="000000"/>
          <w:sz w:val="22"/>
          <w:szCs w:val="22"/>
        </w:rPr>
        <w:t xml:space="preserve">이는 Hastings의 명저 『No Rules Rules』의 핵심 메시지다. 명확한 맥락만 공유되면 ‘완전히 정렬된 자율’이 가능하다는 주장이다. 단, 이 모델은 ‘최고의 인재’를 전제로 한다는 점에서 모든 조직에 적용 가능하지 않다.</w:t>
      </w:r>
    </w:p>
    <w:p>
      <w:pPr>
        <w:pStyle w:val="Heading3"/>
        <w:spacing w:after="80" w:before="200" w:line="360" w:lineRule="auto"/>
      </w:pPr>
      <w:r>
        <w:rPr>
          <w:rFonts w:ascii="맑은 고딕" w:cs="맑은 고딕" w:eastAsia="맑은 고딕" w:hAnsi="맑은 고딕"/>
          <w:b/>
          <w:bCs/>
          <w:color w:val="2F5496"/>
          <w:sz w:val="22"/>
          <w:szCs w:val="22"/>
        </w:rPr>
        <w:t xml:space="preserve">(2) 개인 성과 측정 기준 — Keeper Test</w:t>
      </w:r>
    </w:p>
    <w:p>
      <w:pPr>
        <w:spacing w:after="100" w:before="0" w:line="384" w:lineRule="auto"/>
        <w:ind w:firstLine="240"/>
        <w:jc w:val="both"/>
      </w:pPr>
      <w:r>
        <w:rPr>
          <w:rFonts w:ascii="맑은 고딕" w:cs="맑은 고딕" w:eastAsia="맑은 고딕" w:hAnsi="맑은 고딕"/>
          <w:b w:val="false"/>
          <w:bCs w:val="false"/>
          <w:color w:val="000000"/>
          <w:sz w:val="22"/>
          <w:szCs w:val="22"/>
        </w:rPr>
        <w:t xml:space="preserve">공식 등급이 없다. 측정 기준은 단 하나다. ‘만약 이 직원이 내일 사표를 낸다면, 나는 그를 붙잡기 위해 진심으로 노력할 것인가’라는 Keeper Test다.</w:t>
      </w:r>
    </w:p>
    <w:p>
      <w:pPr>
        <w:spacing w:after="100" w:before="0" w:line="384" w:lineRule="auto"/>
        <w:ind w:firstLine="240"/>
        <w:jc w:val="both"/>
      </w:pPr>
      <w:r>
        <w:rPr>
          <w:rFonts w:ascii="맑은 고딕" w:cs="맑은 고딕" w:eastAsia="맑은 고딕" w:hAnsi="맑은 고딕"/>
          <w:b w:val="false"/>
          <w:bCs w:val="false"/>
          <w:color w:val="000000"/>
          <w:sz w:val="22"/>
          <w:szCs w:val="22"/>
        </w:rPr>
        <w:t xml:space="preserve">Keeper라는 단어의 유래는 Hastings의 어린 시절 일화에서 나왔다. 아버지와 낚시를 갔는데 잡은 물고기를 두고 아버지가 ‘이건 Keeper야(놓아주지 않고 가져갈 만한 물고기야)’라고 말한 데서 비롯되었다. 단순한 사고 도구지만 매니저의 의사결정을 명확하게 만든다.</w:t>
      </w:r>
    </w:p>
    <w:p>
      <w:pPr>
        <w:pStyle w:val="Heading3"/>
        <w:spacing w:after="80" w:before="200" w:line="360" w:lineRule="auto"/>
      </w:pPr>
      <w:r>
        <w:rPr>
          <w:rFonts w:ascii="맑은 고딕" w:cs="맑은 고딕" w:eastAsia="맑은 고딕" w:hAnsi="맑은 고딕"/>
          <w:b/>
          <w:bCs/>
          <w:color w:val="2F5496"/>
          <w:sz w:val="22"/>
          <w:szCs w:val="22"/>
        </w:rPr>
        <w:t xml:space="preserve">(3) 상사와의 1대 1 면담</w:t>
      </w:r>
    </w:p>
    <w:p>
      <w:pPr>
        <w:spacing w:after="100" w:before="0" w:line="384" w:lineRule="auto"/>
        <w:ind w:firstLine="240"/>
        <w:jc w:val="both"/>
      </w:pPr>
      <w:r>
        <w:rPr>
          <w:rFonts w:ascii="맑은 고딕" w:cs="맑은 고딕" w:eastAsia="맑은 고딕" w:hAnsi="맑은 고딕"/>
          <w:b w:val="false"/>
          <w:bCs w:val="false"/>
          <w:color w:val="000000"/>
          <w:sz w:val="22"/>
          <w:szCs w:val="22"/>
        </w:rPr>
        <w:t xml:space="preserve">정기 면담의 형식적 의무는 없다. 매니저와 구성원이 필요할 때 수시로 대화한다. 단, 매니저는 정기적으로 Keeper Test를 스스로 묻는다. Keeper Test의 답이 ‘아니오’가 되면 즉시 구성원에게 솔직히 알리는 것이 매니저의 의무다.</w:t>
      </w:r>
    </w:p>
    <w:p>
      <w:pPr>
        <w:spacing w:after="100" w:before="0" w:line="384" w:lineRule="auto"/>
        <w:ind w:firstLine="240"/>
        <w:jc w:val="both"/>
      </w:pPr>
      <w:r>
        <w:rPr>
          <w:rFonts w:ascii="맑은 고딕" w:cs="맑은 고딕" w:eastAsia="맑은 고딕" w:hAnsi="맑은 고딕"/>
          <w:b w:val="false"/>
          <w:bCs w:val="false"/>
          <w:color w:val="000000"/>
          <w:sz w:val="22"/>
          <w:szCs w:val="22"/>
        </w:rPr>
        <w:t xml:space="preserve">Netflix 매니저는 ‘Sunshining’이라는 문화를 실천한다. ‘마음에 담아두지 말고 햇볕에 드러내자’는 의미다. 어려운 피드백도 즉시, 솔직하게 전달한다. ‘솔직함의 의무(duty of candor)’가 매니저의 핵심 행동이다.</w:t>
      </w:r>
    </w:p>
    <w:p>
      <w:pPr>
        <w:pStyle w:val="Heading3"/>
        <w:spacing w:after="80" w:before="200" w:line="360" w:lineRule="auto"/>
      </w:pPr>
      <w:r>
        <w:rPr>
          <w:rFonts w:ascii="맑은 고딕" w:cs="맑은 고딕" w:eastAsia="맑은 고딕" w:hAnsi="맑은 고딕"/>
          <w:b/>
          <w:bCs/>
          <w:color w:val="2F5496"/>
          <w:sz w:val="22"/>
          <w:szCs w:val="22"/>
        </w:rPr>
        <w:t xml:space="preserve">(4) 피드백 주기</w:t>
      </w:r>
    </w:p>
    <w:p>
      <w:pPr>
        <w:spacing w:after="100" w:before="0" w:line="384" w:lineRule="auto"/>
        <w:ind w:firstLine="240"/>
        <w:jc w:val="both"/>
      </w:pPr>
      <w:r>
        <w:rPr>
          <w:rFonts w:ascii="맑은 고딕" w:cs="맑은 고딕" w:eastAsia="맑은 고딕" w:hAnsi="맑은 고딕"/>
          <w:b w:val="false"/>
          <w:bCs w:val="false"/>
          <w:color w:val="000000"/>
          <w:sz w:val="22"/>
          <w:szCs w:val="22"/>
        </w:rPr>
        <w:t xml:space="preserve">상시 피드백이 원칙이다. 형식은 ‘Start / Stop / Continue’ 프레임이다. 시작해야 할 행동, 그만두어야 할 행동, 계속해야 할 행동을 짧고 명확하게 전달한다.</w:t>
      </w:r>
    </w:p>
    <w:p>
      <w:pPr>
        <w:spacing w:after="100" w:before="0" w:line="384" w:lineRule="auto"/>
        <w:ind w:firstLine="240"/>
        <w:jc w:val="both"/>
      </w:pPr>
      <w:r>
        <w:rPr>
          <w:rFonts w:ascii="맑은 고딕" w:cs="맑은 고딕" w:eastAsia="맑은 고딕" w:hAnsi="맑은 고딕"/>
          <w:b w:val="false"/>
          <w:bCs w:val="false"/>
          <w:color w:val="000000"/>
          <w:sz w:val="22"/>
          <w:szCs w:val="22"/>
        </w:rPr>
        <w:t xml:space="preserve">연 1회 360도 서명형 피드백이 운영된다. 익명이 아닌 ‘이름을 밝히는’ 피드백이다. 일부 팀은 한 단계 더 나아가 Live 360도(대면 라운드)를 진행한다. 한 사람이 가운데 앉고 동료들이 돌아가며 직접 피드백을 전달한다.</w:t>
      </w:r>
    </w:p>
    <w:p>
      <w:pPr>
        <w:pStyle w:val="Heading3"/>
        <w:spacing w:after="80" w:before="200" w:line="360" w:lineRule="auto"/>
      </w:pPr>
      <w:r>
        <w:rPr>
          <w:rFonts w:ascii="맑은 고딕" w:cs="맑은 고딕" w:eastAsia="맑은 고딕" w:hAnsi="맑은 고딕"/>
          <w:b/>
          <w:bCs/>
          <w:color w:val="2F5496"/>
          <w:sz w:val="22"/>
          <w:szCs w:val="22"/>
        </w:rPr>
        <w:t xml:space="preserve">(5) 개인성과와 보상 연계 방식</w:t>
      </w:r>
    </w:p>
    <w:p>
      <w:pPr>
        <w:spacing w:after="100" w:before="0" w:line="384" w:lineRule="auto"/>
        <w:ind w:firstLine="240"/>
        <w:jc w:val="both"/>
      </w:pPr>
      <w:r>
        <w:rPr>
          <w:rFonts w:ascii="맑은 고딕" w:cs="맑은 고딕" w:eastAsia="맑은 고딕" w:hAnsi="맑은 고딕"/>
          <w:b w:val="false"/>
          <w:bCs w:val="false"/>
          <w:color w:val="000000"/>
          <w:sz w:val="22"/>
          <w:szCs w:val="22"/>
        </w:rPr>
        <w:t xml:space="preserve">보상은 시장 최상위(Top of Market)로 책정된다. 직무별 시장 보상의 90~100분위(percentile)를 목표로 한다. ‘평가 등급에 따라 차등 보상’이 아닌 ‘일괄 최상위 보상’ 모델이다.</w:t>
      </w:r>
    </w:p>
    <w:p>
      <w:pPr>
        <w:spacing w:after="100" w:before="0" w:line="384" w:lineRule="auto"/>
        <w:ind w:firstLine="240"/>
        <w:jc w:val="both"/>
      </w:pPr>
      <w:r>
        <w:rPr>
          <w:rFonts w:ascii="맑은 고딕" w:cs="맑은 고딕" w:eastAsia="맑은 고딕" w:hAnsi="맑은 고딕"/>
          <w:b w:val="false"/>
          <w:bCs w:val="false"/>
          <w:color w:val="000000"/>
          <w:sz w:val="22"/>
          <w:szCs w:val="22"/>
        </w:rPr>
        <w:t xml:space="preserve">구성원은 매년 자신의 시장 가치를 점검할 책임을 진다. 헤드헌터를 통해 외부 오퍼를 받아도 좋다. Netflix는 ‘우리 직원이 외부 시장에서 얼마인지’를 알고 싶어한다. 그 가격을 지불할 의향이 있기 때문이다.</w:t>
      </w:r>
    </w:p>
    <w:p>
      <w:pPr>
        <w:spacing w:after="100" w:before="0" w:line="384" w:lineRule="auto"/>
        <w:ind w:firstLine="240"/>
        <w:jc w:val="both"/>
      </w:pPr>
      <w:r>
        <w:rPr>
          <w:rFonts w:ascii="맑은 고딕" w:cs="맑은 고딕" w:eastAsia="맑은 고딕" w:hAnsi="맑은 고딕"/>
          <w:b w:val="false"/>
          <w:bCs w:val="false"/>
          <w:color w:val="000000"/>
          <w:sz w:val="22"/>
          <w:szCs w:val="22"/>
        </w:rPr>
        <w:t xml:space="preserve">이별 시에는 ‘후한 퇴직 패키지(Generous Severance)’가 보장된다. 4~9개월치 급여가 일반적이다. ‘솔직한 평가가 가능하려면 해고의 비용을 회사가 부담해야 한다’는 철학이다.</w:t>
      </w:r>
    </w:p>
    <w:p>
      <w:pPr>
        <w:pStyle w:val="Heading3"/>
        <w:spacing w:after="80" w:before="200" w:line="360" w:lineRule="auto"/>
      </w:pPr>
      <w:r>
        <w:rPr>
          <w:rFonts w:ascii="맑은 고딕" w:cs="맑은 고딕" w:eastAsia="맑은 고딕" w:hAnsi="맑은 고딕"/>
          <w:b/>
          <w:bCs/>
          <w:color w:val="2F5496"/>
          <w:sz w:val="22"/>
          <w:szCs w:val="22"/>
        </w:rPr>
        <w:t xml:space="preserve">(6) 저성과자 관리 방식</w:t>
      </w:r>
    </w:p>
    <w:p>
      <w:pPr>
        <w:spacing w:after="100" w:before="0" w:line="384" w:lineRule="auto"/>
        <w:ind w:firstLine="240"/>
        <w:jc w:val="both"/>
      </w:pPr>
      <w:r>
        <w:rPr>
          <w:rFonts w:ascii="맑은 고딕" w:cs="맑은 고딕" w:eastAsia="맑은 고딕" w:hAnsi="맑은 고딕"/>
          <w:b w:val="false"/>
          <w:bCs w:val="false"/>
          <w:color w:val="000000"/>
          <w:sz w:val="22"/>
          <w:szCs w:val="22"/>
        </w:rPr>
        <w:t xml:space="preserve">PIP를 운영하지 않는다. Keeper Test에서 ‘아니오’가 나오면 즉시 본인에게 솔직히 알리고 후한 퇴직 패키지와 함께 정중히 이별한다. ‘성과 개선’에 시간을 쓰지 않는다.</w:t>
      </w:r>
    </w:p>
    <w:p>
      <w:pPr>
        <w:spacing w:after="100" w:before="0" w:line="384" w:lineRule="auto"/>
        <w:ind w:firstLine="240"/>
        <w:jc w:val="both"/>
      </w:pPr>
      <w:r>
        <w:rPr>
          <w:rFonts w:ascii="맑은 고딕" w:cs="맑은 고딕" w:eastAsia="맑은 고딕" w:hAnsi="맑은 고딕"/>
          <w:b w:val="false"/>
          <w:bCs w:val="false"/>
          <w:color w:val="000000"/>
          <w:sz w:val="22"/>
          <w:szCs w:val="22"/>
        </w:rPr>
        <w:t xml:space="preserve">이 모델의 강점은 단순성과 솔직함이다. 한계는 명확하다. 윤동열(2026)이 지적하듯 ‘심리적 안전감’과 ‘끊임없는 평가’의 본질적 긴장이 존재한다. 노동시장 구조와 해고 규제가 다른 한국 환경에서는 직접 이식보다 ‘사고 도구로의 차용’이 현실적이다.</w:t>
      </w:r>
    </w:p>
    <w:p>
      <w:pPr>
        <w:pStyle w:val="Heading3"/>
        <w:spacing w:after="80" w:before="200" w:line="360" w:lineRule="auto"/>
      </w:pPr>
      <w:r>
        <w:rPr>
          <w:rFonts w:ascii="맑은 고딕" w:cs="맑은 고딕" w:eastAsia="맑은 고딕" w:hAnsi="맑은 고딕"/>
          <w:b/>
          <w:bCs/>
          <w:color w:val="2F5496"/>
          <w:sz w:val="22"/>
          <w:szCs w:val="22"/>
        </w:rPr>
        <w:t xml:space="preserve">(7) 핵심인재 육성 프로그램</w:t>
      </w:r>
    </w:p>
    <w:p>
      <w:pPr>
        <w:spacing w:after="100" w:before="0" w:line="384" w:lineRule="auto"/>
        <w:ind w:firstLine="240"/>
        <w:jc w:val="both"/>
      </w:pPr>
      <w:r>
        <w:rPr>
          <w:rFonts w:ascii="맑은 고딕" w:cs="맑은 고딕" w:eastAsia="맑은 고딕" w:hAnsi="맑은 고딕"/>
          <w:b w:val="false"/>
          <w:bCs w:val="false"/>
          <w:color w:val="000000"/>
          <w:sz w:val="22"/>
          <w:szCs w:val="22"/>
        </w:rPr>
        <w:t xml:space="preserve">Netflix에는 별도의 HiPo 트랙이 없다. ‘모든 직원이 최고’라는 가정 위에서 운영하기 때문이다. 인재 밀도(talent density)를 높이는 방법은 채용 기준의 극도로 까다로움과 ‘최고가 아닌 직원의 빠른 이별’이다.</w:t>
      </w:r>
    </w:p>
    <w:p>
      <w:pPr>
        <w:spacing w:after="100" w:before="0" w:line="384" w:lineRule="auto"/>
        <w:ind w:firstLine="240"/>
        <w:jc w:val="both"/>
      </w:pPr>
      <w:r>
        <w:rPr>
          <w:rFonts w:ascii="맑은 고딕" w:cs="맑은 고딕" w:eastAsia="맑은 고딕" w:hAnsi="맑은 고딕"/>
          <w:b w:val="false"/>
          <w:bCs w:val="false"/>
          <w:color w:val="000000"/>
          <w:sz w:val="22"/>
          <w:szCs w:val="22"/>
        </w:rPr>
        <w:t xml:space="preserve">리더십 육성도 형식적 프로그램보다 ‘맥락 제공 능력’을 강조한다. 매니저의 역할은 ‘통제’가 아닌 ‘맥락 설정’이다. 매니저가 명확한 맥락을 제공하면 자율적인 구성원이 알아서 의사결정한다는 모델이다.</w:t>
      </w:r>
    </w:p>
    <w:p>
      <w:pPr>
        <w:pStyle w:val="Heading2"/>
        <w:spacing w:after="140" w:before="320" w:line="360" w:lineRule="auto"/>
      </w:pPr>
      <w:r>
        <w:rPr>
          <w:rFonts w:ascii="맑은 고딕" w:cs="맑은 고딕" w:eastAsia="맑은 고딕" w:hAnsi="맑은 고딕"/>
          <w:b/>
          <w:bCs/>
          <w:color w:val="1F3864"/>
          <w:sz w:val="25"/>
          <w:szCs w:val="25"/>
        </w:rPr>
        <w:t xml:space="preserve">5. Amazon — Leadership Principles와 OLR</w:t>
      </w:r>
    </w:p>
    <w:p>
      <w:pPr>
        <w:pStyle w:val="Heading3"/>
        <w:spacing w:after="80" w:before="200" w:line="360" w:lineRule="auto"/>
      </w:pPr>
      <w:r>
        <w:rPr>
          <w:rFonts w:ascii="맑은 고딕" w:cs="맑은 고딕" w:eastAsia="맑은 고딕" w:hAnsi="맑은 고딕"/>
          <w:b/>
          <w:bCs/>
          <w:color w:val="2F5496"/>
          <w:sz w:val="22"/>
          <w:szCs w:val="22"/>
        </w:rPr>
        <w:t xml:space="preserve">도입 배경</w:t>
      </w:r>
    </w:p>
    <w:p>
      <w:pPr>
        <w:spacing w:after="100" w:before="0" w:line="384" w:lineRule="auto"/>
        <w:ind w:firstLine="240"/>
        <w:jc w:val="both"/>
      </w:pPr>
      <w:r>
        <w:rPr>
          <w:rFonts w:ascii="맑은 고딕" w:cs="맑은 고딕" w:eastAsia="맑은 고딕" w:hAnsi="맑은 고딕"/>
          <w:b w:val="false"/>
          <w:bCs w:val="false"/>
          <w:color w:val="000000"/>
          <w:sz w:val="22"/>
          <w:szCs w:val="22"/>
        </w:rPr>
        <w:t xml:space="preserve">Amazon은 1994년 Jeff Bezos가 창업했다. ‘Day 1’ 정신과 ‘Customer Obsession’이 창업 초기부터 강조되었다. 평가체계 역시 ‘고객 집착’을 행동으로 구현하는 도구로 설계되었다.</w:t>
      </w:r>
    </w:p>
    <w:p>
      <w:pPr>
        <w:spacing w:after="100" w:before="0" w:line="384" w:lineRule="auto"/>
        <w:ind w:firstLine="240"/>
        <w:jc w:val="both"/>
      </w:pPr>
      <w:r>
        <w:rPr>
          <w:rFonts w:ascii="맑은 고딕" w:cs="맑은 고딕" w:eastAsia="맑은 고딕" w:hAnsi="맑은 고딕"/>
          <w:b w:val="false"/>
          <w:bCs w:val="false"/>
          <w:color w:val="000000"/>
          <w:sz w:val="22"/>
          <w:szCs w:val="22"/>
        </w:rPr>
        <w:t xml:space="preserve">Amazon은 16개의 Leadership Principles(LP)를 운영한다. Customer Obsession, Ownership, Invent and Simplify, Are Right A Lot, Learn and Be Curious, Hire and Develop the Best, Insist on the Highest Standards, Think Big, Bias for Action, Frugality, Earn Trust, Dive Deep, Have Backbone-Disagree and Commit, Deliver Results, Strive to be Earth’s Best Employer, Success and Scale Bring Broad Responsibility의 16개다. 모든 평가가 이 16개 행동을 기준으로 이루어진다.</w:t>
      </w:r>
    </w:p>
    <w:p>
      <w:pPr>
        <w:spacing w:after="100" w:before="0" w:line="384" w:lineRule="auto"/>
        <w:ind w:firstLine="240"/>
        <w:jc w:val="both"/>
      </w:pPr>
      <w:r>
        <w:rPr>
          <w:rFonts w:ascii="맑은 고딕" w:cs="맑은 고딕" w:eastAsia="맑은 고딕" w:hAnsi="맑은 고딕"/>
          <w:b w:val="false"/>
          <w:bCs w:val="false"/>
          <w:color w:val="000000"/>
          <w:sz w:val="22"/>
          <w:szCs w:val="22"/>
        </w:rPr>
        <w:t xml:space="preserve">Amazon의 직원 수는 글로벌 약 150만 명에 이른다. 2022~2023년에는 27,000명 이상의 정리해고가 있었다. 2024년에는 RTO(Return to Office) 주 5일 정책으로 전환했다. 평가체계의 강도도 함께 강화되고 있다는 평가다.</w:t>
      </w:r>
    </w:p>
    <w:p>
      <w:pPr>
        <w:pStyle w:val="Heading3"/>
        <w:spacing w:after="80" w:before="200" w:line="360" w:lineRule="auto"/>
      </w:pPr>
      <w:r>
        <w:rPr>
          <w:rFonts w:ascii="맑은 고딕" w:cs="맑은 고딕" w:eastAsia="맑은 고딕" w:hAnsi="맑은 고딕"/>
          <w:b/>
          <w:bCs/>
          <w:color w:val="2F5496"/>
          <w:sz w:val="22"/>
          <w:szCs w:val="22"/>
        </w:rPr>
        <w:t xml:space="preserve">(1) 개인 목표 설정 — S-Team Goals과 6-pager</w:t>
      </w:r>
    </w:p>
    <w:p>
      <w:pPr>
        <w:spacing w:after="100" w:before="0" w:line="384" w:lineRule="auto"/>
        <w:ind w:firstLine="240"/>
        <w:jc w:val="both"/>
      </w:pPr>
      <w:r>
        <w:rPr>
          <w:rFonts w:ascii="맑은 고딕" w:cs="맑은 고딕" w:eastAsia="맑은 고딕" w:hAnsi="맑은 고딕"/>
          <w:b w:val="false"/>
          <w:bCs w:val="false"/>
          <w:color w:val="000000"/>
          <w:sz w:val="22"/>
          <w:szCs w:val="22"/>
        </w:rPr>
        <w:t xml:space="preserve">회사 차원의 목표는 ‘S-Team Goals’이다. S-Team(Senior Team, Bezos 직속 임원진)이 매년 결정한 100여 개의 톱다운 목표다. 개인은 이를 자신의 직무로 분해한다.</w:t>
      </w:r>
    </w:p>
    <w:p>
      <w:pPr>
        <w:spacing w:after="100" w:before="0" w:line="384" w:lineRule="auto"/>
        <w:ind w:firstLine="240"/>
        <w:jc w:val="both"/>
      </w:pPr>
      <w:r>
        <w:rPr>
          <w:rFonts w:ascii="맑은 고딕" w:cs="맑은 고딕" w:eastAsia="맑은 고딕" w:hAnsi="맑은 고딕"/>
          <w:b w:val="false"/>
          <w:bCs w:val="false"/>
          <w:color w:val="000000"/>
          <w:sz w:val="22"/>
          <w:szCs w:val="22"/>
        </w:rPr>
        <w:t xml:space="preserve">모든 목표와 제안은 ‘6-pager’라는 6페이지 서술형 문서로 작성된다. PowerPoint는 회의에서 금지된다. 회의 시작 시 참석자 전원이 6-pager를 묵독하는 ‘침묵의 30분’이 표준이다. 글로 정리되지 않은 생각은 받아들여지지 않는다.</w:t>
      </w:r>
    </w:p>
    <w:p>
      <w:pPr>
        <w:pStyle w:val="Heading3"/>
        <w:spacing w:after="80" w:before="200" w:line="360" w:lineRule="auto"/>
      </w:pPr>
      <w:r>
        <w:rPr>
          <w:rFonts w:ascii="맑은 고딕" w:cs="맑은 고딕" w:eastAsia="맑은 고딕" w:hAnsi="맑은 고딕"/>
          <w:b/>
          <w:bCs/>
          <w:color w:val="2F5496"/>
          <w:sz w:val="22"/>
          <w:szCs w:val="22"/>
        </w:rPr>
        <w:t xml:space="preserve">(2) 개인 성과 측정 기준 — LP 16개 행동</w:t>
      </w:r>
    </w:p>
    <w:p>
      <w:pPr>
        <w:spacing w:after="100" w:before="0" w:line="384" w:lineRule="auto"/>
        <w:ind w:firstLine="240"/>
        <w:jc w:val="both"/>
      </w:pPr>
      <w:r>
        <w:rPr>
          <w:rFonts w:ascii="맑은 고딕" w:cs="맑은 고딕" w:eastAsia="맑은 고딕" w:hAnsi="맑은 고딕"/>
          <w:b w:val="false"/>
          <w:bCs w:val="false"/>
          <w:color w:val="000000"/>
          <w:sz w:val="22"/>
          <w:szCs w:val="22"/>
        </w:rPr>
        <w:t xml:space="preserve">Amazon의 평가는 ‘무엇을 달성했는가(What)’와 ‘어떻게 일했는가(LP 16개)’를 양축으로 한다. 모든 성과 주장은 작성된 문서로 뒷받침되어야 한다. ‘기억’이 아닌 ‘기록’ 기반 평가다.</w:t>
      </w:r>
    </w:p>
    <w:p>
      <w:pPr>
        <w:spacing w:after="100" w:before="0" w:line="384" w:lineRule="auto"/>
        <w:ind w:firstLine="240"/>
        <w:jc w:val="both"/>
      </w:pPr>
      <w:r>
        <w:rPr>
          <w:rFonts w:ascii="맑은 고딕" w:cs="맑은 고딕" w:eastAsia="맑은 고딕" w:hAnsi="맑은 고딕"/>
          <w:b w:val="false"/>
          <w:bCs w:val="false"/>
          <w:color w:val="000000"/>
          <w:sz w:val="22"/>
          <w:szCs w:val="22"/>
        </w:rPr>
        <w:t xml:space="preserve">면접부터 평가까지 16개 LP가 공통 언어다. ‘이번 분기의 Customer Obsession 사례를 말해보라’ 같은 질문이 일상적이다. 신입사원도 입사 첫 주에 16개 LP를 외운다.</w:t>
      </w:r>
    </w:p>
    <w:p>
      <w:pPr>
        <w:pStyle w:val="Heading3"/>
        <w:spacing w:after="80" w:before="200" w:line="360" w:lineRule="auto"/>
      </w:pPr>
      <w:r>
        <w:rPr>
          <w:rFonts w:ascii="맑은 고딕" w:cs="맑은 고딕" w:eastAsia="맑은 고딕" w:hAnsi="맑은 고딕"/>
          <w:b/>
          <w:bCs/>
          <w:color w:val="2F5496"/>
          <w:sz w:val="22"/>
          <w:szCs w:val="22"/>
        </w:rPr>
        <w:t xml:space="preserve">(3) 상사와의 1대 1 면담</w:t>
      </w:r>
    </w:p>
    <w:p>
      <w:pPr>
        <w:spacing w:after="100" w:before="0" w:line="384" w:lineRule="auto"/>
        <w:ind w:firstLine="240"/>
        <w:jc w:val="both"/>
      </w:pPr>
      <w:r>
        <w:rPr>
          <w:rFonts w:ascii="맑은 고딕" w:cs="맑은 고딕" w:eastAsia="맑은 고딕" w:hAnsi="맑은 고딕"/>
          <w:b w:val="false"/>
          <w:bCs w:val="false"/>
          <w:color w:val="000000"/>
          <w:sz w:val="22"/>
          <w:szCs w:val="22"/>
        </w:rPr>
        <w:t xml:space="preserve">주간 1대 1 미팅이 일반적이다. 매니저는 LP를 사용해 코칭과 피드백을 제공한다. 16개 LP 자체가 공통 대화 언어가 된다. ‘이 의사결정에서 어떤 LP가 작동했는가’가 일상적 질문이다.</w:t>
      </w:r>
    </w:p>
    <w:p>
      <w:pPr>
        <w:spacing w:after="100" w:before="0" w:line="384" w:lineRule="auto"/>
        <w:ind w:firstLine="240"/>
        <w:jc w:val="both"/>
      </w:pPr>
      <w:r>
        <w:rPr>
          <w:rFonts w:ascii="맑은 고딕" w:cs="맑은 고딕" w:eastAsia="맑은 고딕" w:hAnsi="맑은 고딕"/>
          <w:b w:val="false"/>
          <w:bCs w:val="false"/>
          <w:color w:val="000000"/>
          <w:sz w:val="22"/>
          <w:szCs w:val="22"/>
        </w:rPr>
        <w:t xml:space="preserve">Amazon의 직급 체계는 SDE I(Level 4)부터 Distinguished Engineer(Level 10)까지로 구성된다. 직급별 LP의 적용 강도가 다르다. 시니어가 될수록 ‘Think Big’과 ‘Are Right A Lot’의 가중치가 높아진다.</w:t>
      </w:r>
    </w:p>
    <w:p>
      <w:pPr>
        <w:pStyle w:val="Heading3"/>
        <w:spacing w:after="80" w:before="200" w:line="360" w:lineRule="auto"/>
      </w:pPr>
      <w:r>
        <w:rPr>
          <w:rFonts w:ascii="맑은 고딕" w:cs="맑은 고딕" w:eastAsia="맑은 고딕" w:hAnsi="맑은 고딕"/>
          <w:b/>
          <w:bCs/>
          <w:color w:val="2F5496"/>
          <w:sz w:val="22"/>
          <w:szCs w:val="22"/>
        </w:rPr>
        <w:t xml:space="preserve">(4) 피드백 주기</w:t>
      </w:r>
    </w:p>
    <w:p>
      <w:pPr>
        <w:spacing w:after="100" w:before="0" w:line="384" w:lineRule="auto"/>
        <w:ind w:firstLine="240"/>
        <w:jc w:val="both"/>
      </w:pPr>
      <w:r>
        <w:rPr>
          <w:rFonts w:ascii="맑은 고딕" w:cs="맑은 고딕" w:eastAsia="맑은 고딕" w:hAnsi="맑은 고딕"/>
          <w:b w:val="false"/>
          <w:bCs w:val="false"/>
          <w:color w:val="000000"/>
          <w:sz w:val="22"/>
          <w:szCs w:val="22"/>
        </w:rPr>
        <w:t xml:space="preserve">프로젝트 종료 시점마다 ‘회고(retrospective)’를 진행한다. Forte라는 도구로 매니저, 동료, 셀프 평가가 통합된다. Forte 시즌은 매년 2회 운영된다.</w:t>
      </w:r>
    </w:p>
    <w:p>
      <w:pPr>
        <w:spacing w:after="100" w:before="0" w:line="384" w:lineRule="auto"/>
        <w:ind w:firstLine="240"/>
        <w:jc w:val="both"/>
      </w:pPr>
      <w:r>
        <w:rPr>
          <w:rFonts w:ascii="맑은 고딕" w:cs="맑은 고딕" w:eastAsia="맑은 고딕" w:hAnsi="맑은 고딕"/>
          <w:b w:val="false"/>
          <w:bCs w:val="false"/>
          <w:color w:val="000000"/>
          <w:sz w:val="22"/>
          <w:szCs w:val="22"/>
        </w:rPr>
        <w:t xml:space="preserve">Forte의 결과는 OLR(Organizational Leadership Review)이라는 대규모 캘리브레이션 세션의 입력이 된다. OLR은 부서별로 진행되며, 한 부서당 수일이 소요되는 인텐시브 세션이다. 시니어 매니저들이 모여 ‘이 부서의 모든 구성원’에 대해 캘리브레이션을 수행한다.</w:t>
      </w:r>
    </w:p>
    <w:p>
      <w:pPr>
        <w:pStyle w:val="Heading3"/>
        <w:spacing w:after="80" w:before="200" w:line="360" w:lineRule="auto"/>
      </w:pPr>
      <w:r>
        <w:rPr>
          <w:rFonts w:ascii="맑은 고딕" w:cs="맑은 고딕" w:eastAsia="맑은 고딕" w:hAnsi="맑은 고딕"/>
          <w:b/>
          <w:bCs/>
          <w:color w:val="2F5496"/>
          <w:sz w:val="22"/>
          <w:szCs w:val="22"/>
        </w:rPr>
        <w:t xml:space="preserve">(5) 개인성과와 보상 연계 방식</w:t>
      </w:r>
    </w:p>
    <w:p>
      <w:pPr>
        <w:spacing w:after="100" w:before="0" w:line="384" w:lineRule="auto"/>
        <w:ind w:firstLine="240"/>
        <w:jc w:val="both"/>
      </w:pPr>
      <w:r>
        <w:rPr>
          <w:rFonts w:ascii="맑은 고딕" w:cs="맑은 고딕" w:eastAsia="맑은 고딕" w:hAnsi="맑은 고딕"/>
          <w:b w:val="false"/>
          <w:bCs w:val="false"/>
          <w:color w:val="000000"/>
          <w:sz w:val="22"/>
          <w:szCs w:val="22"/>
        </w:rPr>
        <w:t xml:space="preserve">평가 등급이 보상에 직결된다. Amazon의 보상은 베이스 연봉, Sign-on Bonus(2년에 걸쳐 지급), 4년 베스팅 RSU의 3중 구조다. RSU는 ‘back-loaded’ 구조다. 4년에 걸쳐 5퍼센트 / 15퍼센트 / 40퍼센트 / 40퍼센트로 지급된다.</w:t>
      </w:r>
    </w:p>
    <w:p>
      <w:pPr>
        <w:spacing w:after="100" w:before="0" w:line="384" w:lineRule="auto"/>
        <w:ind w:firstLine="240"/>
        <w:jc w:val="both"/>
      </w:pPr>
      <w:r>
        <w:rPr>
          <w:rFonts w:ascii="맑은 고딕" w:cs="맑은 고딕" w:eastAsia="맑은 고딕" w:hAnsi="맑은 고딕"/>
          <w:b w:val="false"/>
          <w:bCs w:val="false"/>
          <w:color w:val="000000"/>
          <w:sz w:val="22"/>
          <w:szCs w:val="22"/>
        </w:rPr>
        <w:t xml:space="preserve">이 구조 때문에 ‘4년차 cliff’ 문제가 발생한다. RSU의 대부분이 입사 4년차에 집중되어 있다 보니, 시니어 직원이 4년차에 보상 절벽을 경험한다. 이를 보완하기 위해 ‘RSU Refresh’가 매년 운영되지만, 평가 결과에 따른 차등이 크다.</w:t>
      </w:r>
    </w:p>
    <w:p>
      <w:pPr>
        <w:pStyle w:val="Heading3"/>
        <w:spacing w:after="80" w:before="200" w:line="360" w:lineRule="auto"/>
      </w:pPr>
      <w:r>
        <w:rPr>
          <w:rFonts w:ascii="맑은 고딕" w:cs="맑은 고딕" w:eastAsia="맑은 고딕" w:hAnsi="맑은 고딕"/>
          <w:b/>
          <w:bCs/>
          <w:color w:val="2F5496"/>
          <w:sz w:val="22"/>
          <w:szCs w:val="22"/>
        </w:rPr>
        <w:t xml:space="preserve">(6) 저성과자 관리 방식</w:t>
      </w:r>
    </w:p>
    <w:p>
      <w:pPr>
        <w:spacing w:after="100" w:before="0" w:line="384" w:lineRule="auto"/>
        <w:ind w:firstLine="240"/>
        <w:jc w:val="both"/>
      </w:pPr>
      <w:r>
        <w:rPr>
          <w:rFonts w:ascii="맑은 고딕" w:cs="맑은 고딕" w:eastAsia="맑은 고딕" w:hAnsi="맑은 고딕"/>
          <w:b w:val="false"/>
          <w:bCs w:val="false"/>
          <w:color w:val="000000"/>
          <w:sz w:val="22"/>
          <w:szCs w:val="22"/>
        </w:rPr>
        <w:t xml:space="preserve">Focus → Pivot → URA(Unregretted Attrition)의 3단 트랙을 운영한다. Focus 단계에서 매니저가 명확한 개선 목표를 제시한다. Pivot 단계에서 PIP가 시작된다. URA는 ‘회사 입장에서 후회되지 않는 이직’이라는 의미다.</w:t>
      </w:r>
    </w:p>
    <w:p>
      <w:pPr>
        <w:spacing w:after="100" w:before="0" w:line="384" w:lineRule="auto"/>
        <w:ind w:firstLine="240"/>
        <w:jc w:val="both"/>
      </w:pPr>
      <w:r>
        <w:rPr>
          <w:rFonts w:ascii="맑은 고딕" w:cs="맑은 고딕" w:eastAsia="맑은 고딕" w:hAnsi="맑은 고딕"/>
          <w:b w:val="false"/>
          <w:bCs w:val="false"/>
          <w:color w:val="000000"/>
          <w:sz w:val="22"/>
          <w:szCs w:val="22"/>
        </w:rPr>
        <w:t xml:space="preserve">Pivot 진입자에게는 ‘회사 떠나기’ 옵션도 제공된다. PIP를 받지 않고 즉시 합의 분리 패키지를 받고 떠날 수 있다. 다만 외부에서 ‘PIP가 해고 알리바이로 활용된다’는 비판이 지속된다. Amazon은 ‘PIP의 정당성’ 시비에 가장 자주 노출되는 기업이다.</w:t>
      </w:r>
    </w:p>
    <w:p>
      <w:pPr>
        <w:pStyle w:val="Heading3"/>
        <w:spacing w:after="80" w:before="200" w:line="360" w:lineRule="auto"/>
      </w:pPr>
      <w:r>
        <w:rPr>
          <w:rFonts w:ascii="맑은 고딕" w:cs="맑은 고딕" w:eastAsia="맑은 고딕" w:hAnsi="맑은 고딕"/>
          <w:b/>
          <w:bCs/>
          <w:color w:val="2F5496"/>
          <w:sz w:val="22"/>
          <w:szCs w:val="22"/>
        </w:rPr>
        <w:t xml:space="preserve">(7) 핵심인재 육성 프로그램</w:t>
      </w:r>
    </w:p>
    <w:p>
      <w:pPr>
        <w:spacing w:after="100" w:before="0" w:line="384" w:lineRule="auto"/>
        <w:ind w:firstLine="240"/>
        <w:jc w:val="both"/>
      </w:pPr>
      <w:r>
        <w:rPr>
          <w:rFonts w:ascii="맑은 고딕" w:cs="맑은 고딕" w:eastAsia="맑은 고딕" w:hAnsi="맑은 고딕"/>
          <w:b w:val="false"/>
          <w:bCs w:val="false"/>
          <w:color w:val="000000"/>
          <w:sz w:val="22"/>
          <w:szCs w:val="22"/>
        </w:rPr>
        <w:t xml:space="preserve">Bar Raiser 제도가 핵심이다. 1990년대 후반 도입된 이 제도는 채용 단계부터 인재 기준을 일관되게 유지하기 위한 장치다. Bar Raiser는 ‘채용 면접에 의무 참여하는 특별 면접관’이다. Bar Raiser가 ‘No’라고 하면 채용은 진행되지 않는다.</w:t>
      </w:r>
    </w:p>
    <w:p>
      <w:pPr>
        <w:spacing w:after="100" w:before="0" w:line="384" w:lineRule="auto"/>
        <w:ind w:firstLine="240"/>
        <w:jc w:val="both"/>
      </w:pPr>
      <w:r>
        <w:rPr>
          <w:rFonts w:ascii="맑은 고딕" w:cs="맑은 고딕" w:eastAsia="맑은 고딕" w:hAnsi="맑은 고딕"/>
          <w:b w:val="false"/>
          <w:bCs w:val="false"/>
          <w:color w:val="000000"/>
          <w:sz w:val="22"/>
          <w:szCs w:val="22"/>
        </w:rPr>
        <w:t xml:space="preserve">Bar Raiser는 별도의 교육과 검증을 거친 시니어 매니저 중에서 선발된다. ‘50번 이상의 면접 경험’과 ‘일정 수준 이상의 채용 정확도’가 자격 요건이다. 이 제도가 채용된 인재의 수준 일관성을 유지하는 핵심 장치다.</w:t>
      </w:r>
    </w:p>
    <w:p>
      <w:pPr>
        <w:spacing w:after="100" w:before="0" w:line="384" w:lineRule="auto"/>
        <w:ind w:firstLine="240"/>
        <w:jc w:val="both"/>
      </w:pPr>
      <w:r>
        <w:rPr>
          <w:rFonts w:ascii="맑은 고딕" w:cs="맑은 고딕" w:eastAsia="맑은 고딕" w:hAnsi="맑은 고딕"/>
          <w:b w:val="false"/>
          <w:bCs w:val="false"/>
          <w:color w:val="000000"/>
          <w:sz w:val="22"/>
          <w:szCs w:val="22"/>
        </w:rPr>
        <w:t xml:space="preserve">핵심인재에게는 별도의 RSU Refresh와 글로벌 이동 기회가 부여된다. ‘Top Talent’로 식별된 구성원은 매년 ‘Talent Review’에서 별도로 다뤄진다.</w:t>
      </w:r>
    </w:p>
    <w:p>
      <w:pPr>
        <w:pStyle w:val="Heading2"/>
        <w:spacing w:after="140" w:before="320" w:line="360" w:lineRule="auto"/>
      </w:pPr>
      <w:r>
        <w:rPr>
          <w:rFonts w:ascii="맑은 고딕" w:cs="맑은 고딕" w:eastAsia="맑은 고딕" w:hAnsi="맑은 고딕"/>
          <w:b/>
          <w:bCs/>
          <w:color w:val="1F3864"/>
          <w:sz w:val="25"/>
          <w:szCs w:val="25"/>
        </w:rPr>
        <w:t xml:space="preserve">6. IBM — Checkpoint와 AI 기반 다차원 평가</w:t>
      </w:r>
    </w:p>
    <w:p>
      <w:pPr>
        <w:pStyle w:val="Heading3"/>
        <w:spacing w:after="80" w:before="200" w:line="360" w:lineRule="auto"/>
      </w:pPr>
      <w:r>
        <w:rPr>
          <w:rFonts w:ascii="맑은 고딕" w:cs="맑은 고딕" w:eastAsia="맑은 고딕" w:hAnsi="맑은 고딕"/>
          <w:b/>
          <w:bCs/>
          <w:color w:val="2F5496"/>
          <w:sz w:val="22"/>
          <w:szCs w:val="22"/>
        </w:rPr>
        <w:t xml:space="preserve">도입 배경</w:t>
      </w:r>
    </w:p>
    <w:p>
      <w:pPr>
        <w:spacing w:after="100" w:before="0" w:line="384" w:lineRule="auto"/>
        <w:ind w:firstLine="240"/>
        <w:jc w:val="both"/>
      </w:pPr>
      <w:r>
        <w:rPr>
          <w:rFonts w:ascii="맑은 고딕" w:cs="맑은 고딕" w:eastAsia="맑은 고딕" w:hAnsi="맑은 고딕"/>
          <w:b w:val="false"/>
          <w:bCs w:val="false"/>
          <w:color w:val="000000"/>
          <w:sz w:val="22"/>
          <w:szCs w:val="22"/>
        </w:rPr>
        <w:t xml:space="preserve">IBM은 1911년 창업된 100년 역사의 기업이다. 기존 평가체계는 PBC(Personal Business Commitments)였다. PBC는 단일 등급으로 직원을 평가하는 전통적 모델이었다.</w:t>
      </w:r>
    </w:p>
    <w:p>
      <w:pPr>
        <w:spacing w:after="100" w:before="0" w:line="384" w:lineRule="auto"/>
        <w:ind w:firstLine="240"/>
        <w:jc w:val="both"/>
      </w:pPr>
      <w:r>
        <w:rPr>
          <w:rFonts w:ascii="맑은 고딕" w:cs="맑은 고딕" w:eastAsia="맑은 고딕" w:hAnsi="맑은 고딕"/>
          <w:b w:val="false"/>
          <w:bCs w:val="false"/>
          <w:color w:val="000000"/>
          <w:sz w:val="22"/>
          <w:szCs w:val="22"/>
        </w:rPr>
        <w:t xml:space="preserve">2016년 1월, IBM은 Checkpoint 시스템을 발표했다. 도입 주역은 Diane Gherson CHRO다. Gherson은 ‘평가체계를 직원과 함께 설계한다’는 원칙을 채택했다. Watson AI로 38만 명 직원의 의견을 분석해 새 평가체계를 공동 설계했다(Fortune, 2016).</w:t>
      </w:r>
    </w:p>
    <w:p>
      <w:pPr>
        <w:spacing w:after="100" w:before="0" w:line="384" w:lineRule="auto"/>
        <w:ind w:firstLine="240"/>
        <w:jc w:val="both"/>
      </w:pPr>
      <w:r>
        <w:rPr>
          <w:rFonts w:ascii="맑은 고딕" w:cs="맑은 고딕" w:eastAsia="맑은 고딕" w:hAnsi="맑은 고딕"/>
          <w:b w:val="false"/>
          <w:bCs w:val="false"/>
          <w:color w:val="000000"/>
          <w:sz w:val="22"/>
          <w:szCs w:val="22"/>
        </w:rPr>
        <w:t xml:space="preserve">IBM은 ‘공동 설계(co-design)’ 그 자체가 평가 수용성을 높이는 가장 강력한 장치임을 보여준 사례다. 평가의 정당성은 ‘제도의 정교함’이 아닌 ‘제도 설계에 대한 참여’에서 나온다는 통찰이다.</w:t>
      </w:r>
    </w:p>
    <w:p>
      <w:pPr>
        <w:pStyle w:val="Heading3"/>
        <w:spacing w:after="80" w:before="200" w:line="360" w:lineRule="auto"/>
      </w:pPr>
      <w:r>
        <w:rPr>
          <w:rFonts w:ascii="맑은 고딕" w:cs="맑은 고딕" w:eastAsia="맑은 고딕" w:hAnsi="맑은 고딕"/>
          <w:b/>
          <w:bCs/>
          <w:color w:val="2F5496"/>
          <w:sz w:val="22"/>
          <w:szCs w:val="22"/>
        </w:rPr>
        <w:t xml:space="preserve">(1) 개인 목표 설정 — 5개 차원 OKR</w:t>
      </w:r>
    </w:p>
    <w:p>
      <w:pPr>
        <w:spacing w:after="100" w:before="0" w:line="384" w:lineRule="auto"/>
        <w:ind w:firstLine="240"/>
        <w:jc w:val="both"/>
      </w:pPr>
      <w:r>
        <w:rPr>
          <w:rFonts w:ascii="맑은 고딕" w:cs="맑은 고딕" w:eastAsia="맑은 고딕" w:hAnsi="맑은 고딕"/>
          <w:b w:val="false"/>
          <w:bCs w:val="false"/>
          <w:color w:val="000000"/>
          <w:sz w:val="22"/>
          <w:szCs w:val="22"/>
        </w:rPr>
        <w:t xml:space="preserve">IBM의 목표 설정은 5개 차원으로 구성된다. Business Results(비즈니스 결과), Client Success(고객 성공), Innovation(혁신), Personal Responsibility(개인 책임), Skills(역량)의 다섯이다. ‘성과 + 학습 + 협업’이 균형 있게 측정된다.</w:t>
      </w:r>
    </w:p>
    <w:p>
      <w:pPr>
        <w:spacing w:after="100" w:before="0" w:line="384" w:lineRule="auto"/>
        <w:ind w:firstLine="240"/>
        <w:jc w:val="both"/>
      </w:pPr>
      <w:r>
        <w:rPr>
          <w:rFonts w:ascii="맑은 고딕" w:cs="맑은 고딕" w:eastAsia="맑은 고딕" w:hAnsi="맑은 고딕"/>
          <w:b w:val="false"/>
          <w:bCs w:val="false"/>
          <w:color w:val="000000"/>
          <w:sz w:val="22"/>
          <w:szCs w:val="22"/>
        </w:rPr>
        <w:t xml:space="preserve">단일 KPI가 아닌 5개 차원의 균형이 강조된다. 한 차원만 우수해서는 ‘Achieves’를 받지 못한다. 균형적 성과가 IBM 평가의 철학이다.</w:t>
      </w:r>
    </w:p>
    <w:p>
      <w:pPr>
        <w:pStyle w:val="Heading3"/>
        <w:spacing w:after="80" w:before="200" w:line="360" w:lineRule="auto"/>
      </w:pPr>
      <w:r>
        <w:rPr>
          <w:rFonts w:ascii="맑은 고딕" w:cs="맑은 고딕" w:eastAsia="맑은 고딕" w:hAnsi="맑은 고딕"/>
          <w:b/>
          <w:bCs/>
          <w:color w:val="2F5496"/>
          <w:sz w:val="22"/>
          <w:szCs w:val="22"/>
        </w:rPr>
        <w:t xml:space="preserve">(2) 개인 성과 측정 기준 — 3단 척도</w:t>
      </w:r>
    </w:p>
    <w:p>
      <w:pPr>
        <w:spacing w:after="100" w:before="0" w:line="384" w:lineRule="auto"/>
        <w:ind w:firstLine="240"/>
        <w:jc w:val="both"/>
      </w:pPr>
      <w:r>
        <w:rPr>
          <w:rFonts w:ascii="맑은 고딕" w:cs="맑은 고딕" w:eastAsia="맑은 고딕" w:hAnsi="맑은 고딕"/>
          <w:b w:val="false"/>
          <w:bCs w:val="false"/>
          <w:color w:val="000000"/>
          <w:sz w:val="22"/>
          <w:szCs w:val="22"/>
        </w:rPr>
        <w:t xml:space="preserve">5개 차원을 각각 3단 척도로 평가한다. Exceeds(초과), Achieves(달성), Expect More(기대 미달)의 세 단계다. ‘Below Expectations’ 대신 ‘Expect More’를 사용한 점이 특징이다. 부정적 표현을 의도적으로 피한 것이다.</w:t>
      </w:r>
    </w:p>
    <w:p>
      <w:pPr>
        <w:spacing w:after="100" w:before="0" w:line="384" w:lineRule="auto"/>
        <w:ind w:firstLine="240"/>
        <w:jc w:val="both"/>
      </w:pPr>
      <w:r>
        <w:rPr>
          <w:rFonts w:ascii="맑은 고딕" w:cs="맑은 고딕" w:eastAsia="맑은 고딕" w:hAnsi="맑은 고딕"/>
          <w:b w:val="false"/>
          <w:bCs w:val="false"/>
          <w:color w:val="000000"/>
          <w:sz w:val="22"/>
          <w:szCs w:val="22"/>
        </w:rPr>
        <w:t xml:space="preserve">단일 등급이 아닌 다차원 서술형이 결과로 산출된다. ‘이 사람의 점수는 무엇인가’가 아니라 ‘이 사람이 어디서 강하고 어디서 약한가’가 평가 결과의 형태다. 강점 개발형 평가 철학의 구현이다.</w:t>
      </w:r>
    </w:p>
    <w:p>
      <w:pPr>
        <w:pStyle w:val="Heading3"/>
        <w:spacing w:after="80" w:before="200" w:line="360" w:lineRule="auto"/>
      </w:pPr>
      <w:r>
        <w:rPr>
          <w:rFonts w:ascii="맑은 고딕" w:cs="맑은 고딕" w:eastAsia="맑은 고딕" w:hAnsi="맑은 고딕"/>
          <w:b/>
          <w:bCs/>
          <w:color w:val="2F5496"/>
          <w:sz w:val="22"/>
          <w:szCs w:val="22"/>
        </w:rPr>
        <w:t xml:space="preserve">(3) 상사와의 1대 1 면담 — ACE</w:t>
      </w:r>
    </w:p>
    <w:p>
      <w:pPr>
        <w:spacing w:after="100" w:before="0" w:line="384" w:lineRule="auto"/>
        <w:ind w:firstLine="240"/>
        <w:jc w:val="both"/>
      </w:pPr>
      <w:r>
        <w:rPr>
          <w:rFonts w:ascii="맑은 고딕" w:cs="맑은 고딕" w:eastAsia="맑은 고딕" w:hAnsi="맑은 고딕"/>
          <w:b w:val="false"/>
          <w:bCs w:val="false"/>
          <w:color w:val="000000"/>
          <w:sz w:val="22"/>
          <w:szCs w:val="22"/>
        </w:rPr>
        <w:t xml:space="preserve">분기 1회 공식 ACE(Appreciate-Coach-Evaluate) 대화를 갖는다. Appreciate(인정), Coach(코칭), Evaluate(평가)의 세 영역을 순서대로 다룬다. ‘인정 → 코칭 → 평가’의 순서가 ‘평가 → 코칭’의 순서를 의도적으로 뒤집는다.</w:t>
      </w:r>
    </w:p>
    <w:p>
      <w:pPr>
        <w:spacing w:after="100" w:before="0" w:line="384" w:lineRule="auto"/>
        <w:ind w:firstLine="240"/>
        <w:jc w:val="both"/>
      </w:pPr>
      <w:r>
        <w:rPr>
          <w:rFonts w:ascii="맑은 고딕" w:cs="맑은 고딕" w:eastAsia="맑은 고딕" w:hAnsi="맑은 고딕"/>
          <w:b w:val="false"/>
          <w:bCs w:val="false"/>
          <w:color w:val="000000"/>
          <w:sz w:val="22"/>
          <w:szCs w:val="22"/>
        </w:rPr>
        <w:t xml:space="preserve">별도 ACE 앱을 통해 상시 피드백을 수집한다. 동료가 언제든 ‘appreciation’ 카드를 보낼 수 있다. 인정의 일상화가 평가의 부담을 분산한다.</w:t>
      </w:r>
    </w:p>
    <w:p>
      <w:pPr>
        <w:pStyle w:val="Heading3"/>
        <w:spacing w:after="80" w:before="200" w:line="360" w:lineRule="auto"/>
      </w:pPr>
      <w:r>
        <w:rPr>
          <w:rFonts w:ascii="맑은 고딕" w:cs="맑은 고딕" w:eastAsia="맑은 고딕" w:hAnsi="맑은 고딕"/>
          <w:b/>
          <w:bCs/>
          <w:color w:val="2F5496"/>
          <w:sz w:val="22"/>
          <w:szCs w:val="22"/>
        </w:rPr>
        <w:t xml:space="preserve">(4) 피드백 주기</w:t>
      </w:r>
    </w:p>
    <w:p>
      <w:pPr>
        <w:spacing w:after="100" w:before="0" w:line="384" w:lineRule="auto"/>
        <w:ind w:firstLine="240"/>
        <w:jc w:val="both"/>
      </w:pPr>
      <w:r>
        <w:rPr>
          <w:rFonts w:ascii="맑은 고딕" w:cs="맑은 고딕" w:eastAsia="맑은 고딕" w:hAnsi="맑은 고딕"/>
          <w:b w:val="false"/>
          <w:bCs w:val="false"/>
          <w:color w:val="000000"/>
          <w:sz w:val="22"/>
          <w:szCs w:val="22"/>
        </w:rPr>
        <w:t xml:space="preserve">ACE 앱으로 상시 피드백이 가능하다. 분기 단위로 누적 데이터가 종합된다. ‘회상에 의존한 연말 평가’가 아닌 ‘누적 데이터 기반의 분기 종합’이다.</w:t>
      </w:r>
    </w:p>
    <w:p>
      <w:pPr>
        <w:spacing w:after="100" w:before="0" w:line="384" w:lineRule="auto"/>
        <w:ind w:firstLine="240"/>
        <w:jc w:val="both"/>
      </w:pPr>
      <w:r>
        <w:rPr>
          <w:rFonts w:ascii="맑은 고딕" w:cs="맑은 고딕" w:eastAsia="맑은 고딕" w:hAnsi="맑은 고딕"/>
          <w:b w:val="false"/>
          <w:bCs w:val="false"/>
          <w:color w:val="000000"/>
          <w:sz w:val="22"/>
          <w:szCs w:val="22"/>
        </w:rPr>
        <w:t xml:space="preserve">Watson AI가 누적 피드백의 핵심 테마와 감정·강도를 자동 분류한다. 매니저는 AI가 제공한 ‘피드백 요약’을 기반으로 코멘트를 작성한다. 매니저의 라이팅 부담이 크게 줄어든다.</w:t>
      </w:r>
    </w:p>
    <w:p>
      <w:pPr>
        <w:pStyle w:val="Heading3"/>
        <w:spacing w:after="80" w:before="200" w:line="360" w:lineRule="auto"/>
      </w:pPr>
      <w:r>
        <w:rPr>
          <w:rFonts w:ascii="맑은 고딕" w:cs="맑은 고딕" w:eastAsia="맑은 고딕" w:hAnsi="맑은 고딕"/>
          <w:b/>
          <w:bCs/>
          <w:color w:val="2F5496"/>
          <w:sz w:val="22"/>
          <w:szCs w:val="22"/>
        </w:rPr>
        <w:t xml:space="preserve">(5) 개인성과와 보상 연계 방식</w:t>
      </w:r>
    </w:p>
    <w:p>
      <w:pPr>
        <w:spacing w:after="100" w:before="0" w:line="384" w:lineRule="auto"/>
        <w:ind w:firstLine="240"/>
        <w:jc w:val="both"/>
      </w:pPr>
      <w:r>
        <w:rPr>
          <w:rFonts w:ascii="맑은 고딕" w:cs="맑은 고딕" w:eastAsia="맑은 고딕" w:hAnsi="맑은 고딕"/>
          <w:b w:val="false"/>
          <w:bCs w:val="false"/>
          <w:color w:val="000000"/>
          <w:sz w:val="22"/>
          <w:szCs w:val="22"/>
        </w:rPr>
        <w:t xml:space="preserve">5개 차원 결과가 보상 결정의 다중 input으로 활용된다. 단일 등급에 의존하지 않는다. ‘Business Results의 Exceeds’와 ‘Skills의 Expect More’가 다른 방식으로 보상에 반영된다.</w:t>
      </w:r>
    </w:p>
    <w:p>
      <w:pPr>
        <w:spacing w:after="100" w:before="0" w:line="384" w:lineRule="auto"/>
        <w:ind w:firstLine="240"/>
        <w:jc w:val="both"/>
      </w:pPr>
      <w:r>
        <w:rPr>
          <w:rFonts w:ascii="맑은 고딕" w:cs="맑은 고딕" w:eastAsia="맑은 고딕" w:hAnsi="맑은 고딕"/>
          <w:b w:val="false"/>
          <w:bCs w:val="false"/>
          <w:color w:val="000000"/>
          <w:sz w:val="22"/>
          <w:szCs w:val="22"/>
        </w:rPr>
        <w:t xml:space="preserve">AI가 보상 형평성을 사전 검토한다. 성별, 인종, 직급별 보상 격차가 사전 경보되며, 인사 위원회가 검토 의무를 진다. 알고리즘 거버넌스와 다양성 관리가 결합된 모델이다.</w:t>
      </w:r>
    </w:p>
    <w:p>
      <w:pPr>
        <w:pStyle w:val="Heading3"/>
        <w:spacing w:after="80" w:before="200" w:line="360" w:lineRule="auto"/>
      </w:pPr>
      <w:r>
        <w:rPr>
          <w:rFonts w:ascii="맑은 고딕" w:cs="맑은 고딕" w:eastAsia="맑은 고딕" w:hAnsi="맑은 고딕"/>
          <w:b/>
          <w:bCs/>
          <w:color w:val="2F5496"/>
          <w:sz w:val="22"/>
          <w:szCs w:val="22"/>
        </w:rPr>
        <w:t xml:space="preserve">(6) 저성과자 관리 방식</w:t>
      </w:r>
    </w:p>
    <w:p>
      <w:pPr>
        <w:spacing w:after="100" w:before="0" w:line="384" w:lineRule="auto"/>
        <w:ind w:firstLine="240"/>
        <w:jc w:val="both"/>
      </w:pPr>
      <w:r>
        <w:rPr>
          <w:rFonts w:ascii="맑은 고딕" w:cs="맑은 고딕" w:eastAsia="맑은 고딕" w:hAnsi="맑은 고딕"/>
          <w:b w:val="false"/>
          <w:bCs w:val="false"/>
          <w:color w:val="000000"/>
          <w:sz w:val="22"/>
          <w:szCs w:val="22"/>
        </w:rPr>
        <w:t xml:space="preserve">코칭과 재교육을 우선한다. AI가 ‘직무 적합도 재진단’을 통해 사내 재배치 기회를 제안한다. Watson AI의 스킬 매칭이 ‘이 사람에게 더 적합한 직무’를 식별한다.</w:t>
      </w:r>
    </w:p>
    <w:p>
      <w:pPr>
        <w:spacing w:after="100" w:before="0" w:line="384" w:lineRule="auto"/>
        <w:ind w:firstLine="240"/>
        <w:jc w:val="both"/>
      </w:pPr>
      <w:r>
        <w:rPr>
          <w:rFonts w:ascii="맑은 고딕" w:cs="맑은 고딕" w:eastAsia="맑은 고딕" w:hAnsi="맑은 고딕"/>
          <w:b w:val="false"/>
          <w:bCs w:val="false"/>
          <w:color w:val="000000"/>
          <w:sz w:val="22"/>
          <w:szCs w:val="22"/>
        </w:rPr>
        <w:t xml:space="preserve">PIP는 최후 수단이다. ‘저성과의 원인이 역량 부족인지, 직무 부적합인지’를 먼저 진단한다. 직무 부적합이면 재배치, 역량 부족이면 재교육으로 이행한다.</w:t>
      </w:r>
    </w:p>
    <w:p>
      <w:pPr>
        <w:pStyle w:val="Heading3"/>
        <w:spacing w:after="80" w:before="200" w:line="360" w:lineRule="auto"/>
      </w:pPr>
      <w:r>
        <w:rPr>
          <w:rFonts w:ascii="맑은 고딕" w:cs="맑은 고딕" w:eastAsia="맑은 고딕" w:hAnsi="맑은 고딕"/>
          <w:b/>
          <w:bCs/>
          <w:color w:val="2F5496"/>
          <w:sz w:val="22"/>
          <w:szCs w:val="22"/>
        </w:rPr>
        <w:t xml:space="preserve">(7) 핵심인재 육성 프로그램</w:t>
      </w:r>
    </w:p>
    <w:p>
      <w:pPr>
        <w:spacing w:after="100" w:before="0" w:line="384" w:lineRule="auto"/>
        <w:ind w:firstLine="240"/>
        <w:jc w:val="both"/>
      </w:pPr>
      <w:r>
        <w:rPr>
          <w:rFonts w:ascii="맑은 고딕" w:cs="맑은 고딕" w:eastAsia="맑은 고딕" w:hAnsi="맑은 고딕"/>
          <w:b w:val="false"/>
          <w:bCs w:val="false"/>
          <w:color w:val="000000"/>
          <w:sz w:val="22"/>
          <w:szCs w:val="22"/>
        </w:rPr>
        <w:t xml:space="preserve">Skills Inference Engine이 핵심이다. AI가 구성원의 보유 스킬을 자동 추론한다. 이력서, 프로젝트 결과물, 학습 이력, 동료 평가가 모두 입력 데이터다.</w:t>
      </w:r>
    </w:p>
    <w:p>
      <w:pPr>
        <w:spacing w:after="100" w:before="0" w:line="384" w:lineRule="auto"/>
        <w:ind w:firstLine="240"/>
        <w:jc w:val="both"/>
      </w:pPr>
      <w:r>
        <w:rPr>
          <w:rFonts w:ascii="맑은 고딕" w:cs="맑은 고딕" w:eastAsia="맑은 고딕" w:hAnsi="맑은 고딕"/>
          <w:b w:val="false"/>
          <w:bCs w:val="false"/>
          <w:color w:val="000000"/>
          <w:sz w:val="22"/>
          <w:szCs w:val="22"/>
        </w:rPr>
        <w:t xml:space="preserve">추론된 스킬은 사내 학습 플랫폼과 연계된다. 부족한 스킬에 대해 자동으로 학습 콘텐츠가 추천된다. ‘스킬 기반 인재관리’를 글로벌에서 가장 먼저 시스템화한 사례다.</w:t>
      </w:r>
    </w:p>
    <w:p>
      <w:pPr>
        <w:spacing w:after="100" w:before="0" w:line="384" w:lineRule="auto"/>
        <w:ind w:firstLine="240"/>
        <w:jc w:val="both"/>
      </w:pPr>
      <w:r>
        <w:rPr>
          <w:rFonts w:ascii="맑은 고딕" w:cs="맑은 고딕" w:eastAsia="맑은 고딕" w:hAnsi="맑은 고딕"/>
          <w:b w:val="false"/>
          <w:bCs w:val="false"/>
          <w:color w:val="000000"/>
          <w:sz w:val="22"/>
          <w:szCs w:val="22"/>
        </w:rPr>
        <w:t xml:space="preserve">IBM의 핵심인재는 ‘5개 차원 모두에서 Achieves 이상, 특정 차원에서 Exceeds’를 받은 구성원이다. 단일 등급의 ‘상위 10퍼센트’보다 ‘다차원 균형’이 핵심인재의 정의다.</w:t>
      </w:r>
    </w:p>
    <w:p>
      <w:pPr>
        <w:pStyle w:val="Heading2"/>
        <w:spacing w:after="140" w:before="320" w:line="360" w:lineRule="auto"/>
      </w:pPr>
      <w:r>
        <w:rPr>
          <w:rFonts w:ascii="맑은 고딕" w:cs="맑은 고딕" w:eastAsia="맑은 고딕" w:hAnsi="맑은 고딕"/>
          <w:b/>
          <w:bCs/>
          <w:color w:val="1F3864"/>
          <w:sz w:val="25"/>
          <w:szCs w:val="25"/>
        </w:rPr>
        <w:t xml:space="preserve">7. 6개사 비교 매트릭스</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1400"/>
        <w:gridCol w:w="1271"/>
        <w:gridCol w:w="1271"/>
        <w:gridCol w:w="1271"/>
        <w:gridCol w:w="1271"/>
        <w:gridCol w:w="1271"/>
        <w:gridCol w:w="1271"/>
      </w:tblGrid>
      <w:tr>
        <w:trPr>
          <w:tblHeader/>
        </w:trPr>
        <w:tc>
          <w:tcPr>
            <w:tcW w:type="dxa" w:w="1400"/>
            <w:tcBorders>
              <w:top w:val="single" w:color="808080" w:sz="4"/>
              <w:left w:val="single" w:color="808080" w:sz="4"/>
              <w:bottom w:val="single" w:color="808080" w:sz="4"/>
              <w:right w:val="single" w:color="808080" w:sz="4"/>
            </w:tcBorders>
            <w:shd w:fill="1F3864" w:color="auto" w:val="clear"/>
            <w:tcMar>
              <w:top w:type="dxa" w:w="70"/>
              <w:left w:type="dxa" w:w="100"/>
              <w:bottom w:type="dxa" w:w="70"/>
              <w:right w:type="dxa" w:w="100"/>
            </w:tcMar>
            <w:vAlign w:val="center"/>
          </w:tcPr>
          <w:p>
            <w:pPr>
              <w:spacing w:after="25" w:before="25" w:line="280" w:lineRule="auto"/>
              <w:jc w:val="center"/>
            </w:pPr>
            <w:r>
              <w:rPr>
                <w:rFonts w:ascii="맑은 고딕" w:cs="맑은 고딕" w:eastAsia="맑은 고딕" w:hAnsi="맑은 고딕"/>
                <w:b/>
                <w:bCs/>
                <w:color w:val="FFFFFF"/>
                <w:sz w:val="18"/>
                <w:szCs w:val="18"/>
              </w:rPr>
              <w:t xml:space="preserve">구분</w:t>
            </w:r>
          </w:p>
        </w:tc>
        <w:tc>
          <w:tcPr>
            <w:tcW w:type="dxa" w:w="1271"/>
            <w:tcBorders>
              <w:top w:val="single" w:color="808080" w:sz="4"/>
              <w:left w:val="single" w:color="808080" w:sz="4"/>
              <w:bottom w:val="single" w:color="808080" w:sz="4"/>
              <w:right w:val="single" w:color="808080" w:sz="4"/>
            </w:tcBorders>
            <w:shd w:fill="1F3864" w:color="auto" w:val="clear"/>
            <w:tcMar>
              <w:top w:type="dxa" w:w="70"/>
              <w:left w:type="dxa" w:w="100"/>
              <w:bottom w:type="dxa" w:w="70"/>
              <w:right w:type="dxa" w:w="100"/>
            </w:tcMar>
            <w:vAlign w:val="center"/>
          </w:tcPr>
          <w:p>
            <w:pPr>
              <w:spacing w:after="25" w:before="25" w:line="280" w:lineRule="auto"/>
              <w:jc w:val="center"/>
            </w:pPr>
            <w:r>
              <w:rPr>
                <w:rFonts w:ascii="맑은 고딕" w:cs="맑은 고딕" w:eastAsia="맑은 고딕" w:hAnsi="맑은 고딕"/>
                <w:b/>
                <w:bCs/>
                <w:color w:val="FFFFFF"/>
                <w:sz w:val="18"/>
                <w:szCs w:val="18"/>
              </w:rPr>
              <w:t xml:space="preserve">Google</w:t>
            </w:r>
          </w:p>
        </w:tc>
        <w:tc>
          <w:tcPr>
            <w:tcW w:type="dxa" w:w="1271"/>
            <w:tcBorders>
              <w:top w:val="single" w:color="808080" w:sz="4"/>
              <w:left w:val="single" w:color="808080" w:sz="4"/>
              <w:bottom w:val="single" w:color="808080" w:sz="4"/>
              <w:right w:val="single" w:color="808080" w:sz="4"/>
            </w:tcBorders>
            <w:shd w:fill="1F3864" w:color="auto" w:val="clear"/>
            <w:tcMar>
              <w:top w:type="dxa" w:w="70"/>
              <w:left w:type="dxa" w:w="100"/>
              <w:bottom w:type="dxa" w:w="70"/>
              <w:right w:type="dxa" w:w="100"/>
            </w:tcMar>
            <w:vAlign w:val="center"/>
          </w:tcPr>
          <w:p>
            <w:pPr>
              <w:spacing w:after="25" w:before="25" w:line="280" w:lineRule="auto"/>
              <w:jc w:val="center"/>
            </w:pPr>
            <w:r>
              <w:rPr>
                <w:rFonts w:ascii="맑은 고딕" w:cs="맑은 고딕" w:eastAsia="맑은 고딕" w:hAnsi="맑은 고딕"/>
                <w:b/>
                <w:bCs/>
                <w:color w:val="FFFFFF"/>
                <w:sz w:val="18"/>
                <w:szCs w:val="18"/>
              </w:rPr>
              <w:t xml:space="preserve">Microsoft</w:t>
            </w:r>
          </w:p>
        </w:tc>
        <w:tc>
          <w:tcPr>
            <w:tcW w:type="dxa" w:w="1271"/>
            <w:tcBorders>
              <w:top w:val="single" w:color="808080" w:sz="4"/>
              <w:left w:val="single" w:color="808080" w:sz="4"/>
              <w:bottom w:val="single" w:color="808080" w:sz="4"/>
              <w:right w:val="single" w:color="808080" w:sz="4"/>
            </w:tcBorders>
            <w:shd w:fill="1F3864" w:color="auto" w:val="clear"/>
            <w:tcMar>
              <w:top w:type="dxa" w:w="70"/>
              <w:left w:type="dxa" w:w="100"/>
              <w:bottom w:type="dxa" w:w="70"/>
              <w:right w:type="dxa" w:w="100"/>
            </w:tcMar>
            <w:vAlign w:val="center"/>
          </w:tcPr>
          <w:p>
            <w:pPr>
              <w:spacing w:after="25" w:before="25" w:line="280" w:lineRule="auto"/>
              <w:jc w:val="center"/>
            </w:pPr>
            <w:r>
              <w:rPr>
                <w:rFonts w:ascii="맑은 고딕" w:cs="맑은 고딕" w:eastAsia="맑은 고딕" w:hAnsi="맑은 고딕"/>
                <w:b/>
                <w:bCs/>
                <w:color w:val="FFFFFF"/>
                <w:sz w:val="18"/>
                <w:szCs w:val="18"/>
              </w:rPr>
              <w:t xml:space="preserve">Adobe</w:t>
            </w:r>
          </w:p>
        </w:tc>
        <w:tc>
          <w:tcPr>
            <w:tcW w:type="dxa" w:w="1271"/>
            <w:tcBorders>
              <w:top w:val="single" w:color="808080" w:sz="4"/>
              <w:left w:val="single" w:color="808080" w:sz="4"/>
              <w:bottom w:val="single" w:color="808080" w:sz="4"/>
              <w:right w:val="single" w:color="808080" w:sz="4"/>
            </w:tcBorders>
            <w:shd w:fill="1F3864" w:color="auto" w:val="clear"/>
            <w:tcMar>
              <w:top w:type="dxa" w:w="70"/>
              <w:left w:type="dxa" w:w="100"/>
              <w:bottom w:type="dxa" w:w="70"/>
              <w:right w:type="dxa" w:w="100"/>
            </w:tcMar>
            <w:vAlign w:val="center"/>
          </w:tcPr>
          <w:p>
            <w:pPr>
              <w:spacing w:after="25" w:before="25" w:line="280" w:lineRule="auto"/>
              <w:jc w:val="center"/>
            </w:pPr>
            <w:r>
              <w:rPr>
                <w:rFonts w:ascii="맑은 고딕" w:cs="맑은 고딕" w:eastAsia="맑은 고딕" w:hAnsi="맑은 고딕"/>
                <w:b/>
                <w:bCs/>
                <w:color w:val="FFFFFF"/>
                <w:sz w:val="18"/>
                <w:szCs w:val="18"/>
              </w:rPr>
              <w:t xml:space="preserve">Netflix</w:t>
            </w:r>
          </w:p>
        </w:tc>
        <w:tc>
          <w:tcPr>
            <w:tcW w:type="dxa" w:w="1271"/>
            <w:tcBorders>
              <w:top w:val="single" w:color="808080" w:sz="4"/>
              <w:left w:val="single" w:color="808080" w:sz="4"/>
              <w:bottom w:val="single" w:color="808080" w:sz="4"/>
              <w:right w:val="single" w:color="808080" w:sz="4"/>
            </w:tcBorders>
            <w:shd w:fill="1F3864" w:color="auto" w:val="clear"/>
            <w:tcMar>
              <w:top w:type="dxa" w:w="70"/>
              <w:left w:type="dxa" w:w="100"/>
              <w:bottom w:type="dxa" w:w="70"/>
              <w:right w:type="dxa" w:w="100"/>
            </w:tcMar>
            <w:vAlign w:val="center"/>
          </w:tcPr>
          <w:p>
            <w:pPr>
              <w:spacing w:after="25" w:before="25" w:line="280" w:lineRule="auto"/>
              <w:jc w:val="center"/>
            </w:pPr>
            <w:r>
              <w:rPr>
                <w:rFonts w:ascii="맑은 고딕" w:cs="맑은 고딕" w:eastAsia="맑은 고딕" w:hAnsi="맑은 고딕"/>
                <w:b/>
                <w:bCs/>
                <w:color w:val="FFFFFF"/>
                <w:sz w:val="18"/>
                <w:szCs w:val="18"/>
              </w:rPr>
              <w:t xml:space="preserve">Amazon</w:t>
            </w:r>
          </w:p>
        </w:tc>
        <w:tc>
          <w:tcPr>
            <w:tcW w:type="dxa" w:w="1271"/>
            <w:tcBorders>
              <w:top w:val="single" w:color="808080" w:sz="4"/>
              <w:left w:val="single" w:color="808080" w:sz="4"/>
              <w:bottom w:val="single" w:color="808080" w:sz="4"/>
              <w:right w:val="single" w:color="808080" w:sz="4"/>
            </w:tcBorders>
            <w:shd w:fill="1F3864" w:color="auto" w:val="clear"/>
            <w:tcMar>
              <w:top w:type="dxa" w:w="70"/>
              <w:left w:type="dxa" w:w="100"/>
              <w:bottom w:type="dxa" w:w="70"/>
              <w:right w:type="dxa" w:w="100"/>
            </w:tcMar>
            <w:vAlign w:val="center"/>
          </w:tcPr>
          <w:p>
            <w:pPr>
              <w:spacing w:after="25" w:before="25" w:line="280" w:lineRule="auto"/>
              <w:jc w:val="center"/>
            </w:pPr>
            <w:r>
              <w:rPr>
                <w:rFonts w:ascii="맑은 고딕" w:cs="맑은 고딕" w:eastAsia="맑은 고딕" w:hAnsi="맑은 고딕"/>
                <w:b/>
                <w:bCs/>
                <w:color w:val="FFFFFF"/>
                <w:sz w:val="18"/>
                <w:szCs w:val="18"/>
              </w:rPr>
              <w:t xml:space="preserve">IBM</w:t>
            </w:r>
          </w:p>
        </w:tc>
      </w:tr>
      <w:tr>
        <w:tc>
          <w:tcPr>
            <w:tcW w:type="dxa" w:w="1400"/>
            <w:tcBorders>
              <w:top w:val="single" w:color="808080" w:sz="4"/>
              <w:left w:val="single" w:color="808080" w:sz="4"/>
              <w:bottom w:val="single" w:color="808080" w:sz="4"/>
              <w:right w:val="single" w:color="808080" w:sz="4"/>
            </w:tcBorders>
            <w:shd w:fill="E7EEF8" w:color="auto" w:val="clear"/>
            <w:tcMar>
              <w:top w:type="dxa" w:w="70"/>
              <w:left w:type="dxa" w:w="100"/>
              <w:bottom w:type="dxa" w:w="70"/>
              <w:right w:type="dxa" w:w="100"/>
            </w:tcMar>
            <w:vAlign w:val="center"/>
          </w:tcPr>
          <w:p>
            <w:pPr>
              <w:spacing w:after="25" w:before="25" w:line="280" w:lineRule="auto"/>
              <w:jc w:val="left"/>
            </w:pPr>
            <w:r>
              <w:rPr>
                <w:rFonts w:ascii="맑은 고딕" w:cs="맑은 고딕" w:eastAsia="맑은 고딕" w:hAnsi="맑은 고딕"/>
                <w:b/>
                <w:bCs/>
                <w:color w:val="000000"/>
                <w:sz w:val="18"/>
                <w:szCs w:val="18"/>
              </w:rPr>
              <w:t xml:space="preserve">목표 설정</w:t>
            </w:r>
          </w:p>
        </w:tc>
        <w:tc>
          <w:tcPr>
            <w:tcW w:type="dxa" w:w="1271"/>
            <w:tcBorders>
              <w:top w:val="single" w:color="808080" w:sz="4"/>
              <w:left w:val="single" w:color="808080" w:sz="4"/>
              <w:bottom w:val="single" w:color="808080" w:sz="4"/>
              <w:right w:val="single" w:color="808080" w:sz="4"/>
            </w:tcBorders>
            <w:tcMar>
              <w:top w:type="dxa" w:w="70"/>
              <w:left w:type="dxa" w:w="100"/>
              <w:bottom w:type="dxa" w:w="70"/>
              <w:right w:type="dxa" w:w="100"/>
            </w:tcMar>
            <w:vAlign w:val="center"/>
          </w:tcPr>
          <w:p>
            <w:pPr>
              <w:spacing w:after="25" w:before="25" w:line="280" w:lineRule="auto"/>
              <w:jc w:val="left"/>
            </w:pPr>
            <w:r>
              <w:rPr>
                <w:rFonts w:ascii="맑은 고딕" w:cs="맑은 고딕" w:eastAsia="맑은 고딕" w:hAnsi="맑은 고딕"/>
                <w:b w:val="false"/>
                <w:bCs w:val="false"/>
                <w:color w:val="000000"/>
                <w:sz w:val="18"/>
                <w:szCs w:val="18"/>
              </w:rPr>
              <w:t xml:space="preserve">OKR (분기)</w:t>
            </w:r>
          </w:p>
        </w:tc>
        <w:tc>
          <w:tcPr>
            <w:tcW w:type="dxa" w:w="1271"/>
            <w:tcBorders>
              <w:top w:val="single" w:color="808080" w:sz="4"/>
              <w:left w:val="single" w:color="808080" w:sz="4"/>
              <w:bottom w:val="single" w:color="808080" w:sz="4"/>
              <w:right w:val="single" w:color="808080" w:sz="4"/>
            </w:tcBorders>
            <w:tcMar>
              <w:top w:type="dxa" w:w="70"/>
              <w:left w:type="dxa" w:w="100"/>
              <w:bottom w:type="dxa" w:w="70"/>
              <w:right w:type="dxa" w:w="100"/>
            </w:tcMar>
            <w:vAlign w:val="center"/>
          </w:tcPr>
          <w:p>
            <w:pPr>
              <w:spacing w:after="25" w:before="25" w:line="280" w:lineRule="auto"/>
              <w:jc w:val="left"/>
            </w:pPr>
            <w:r>
              <w:rPr>
                <w:rFonts w:ascii="맑은 고딕" w:cs="맑은 고딕" w:eastAsia="맑은 고딕" w:hAnsi="맑은 고딕"/>
                <w:b w:val="false"/>
                <w:bCs w:val="false"/>
                <w:color w:val="000000"/>
                <w:sz w:val="18"/>
                <w:szCs w:val="18"/>
              </w:rPr>
              <w:t xml:space="preserve">Core Priorities</w:t>
            </w:r>
          </w:p>
        </w:tc>
        <w:tc>
          <w:tcPr>
            <w:tcW w:type="dxa" w:w="1271"/>
            <w:tcBorders>
              <w:top w:val="single" w:color="808080" w:sz="4"/>
              <w:left w:val="single" w:color="808080" w:sz="4"/>
              <w:bottom w:val="single" w:color="808080" w:sz="4"/>
              <w:right w:val="single" w:color="808080" w:sz="4"/>
            </w:tcBorders>
            <w:tcMar>
              <w:top w:type="dxa" w:w="70"/>
              <w:left w:type="dxa" w:w="100"/>
              <w:bottom w:type="dxa" w:w="70"/>
              <w:right w:type="dxa" w:w="100"/>
            </w:tcMar>
            <w:vAlign w:val="center"/>
          </w:tcPr>
          <w:p>
            <w:pPr>
              <w:spacing w:after="25" w:before="25" w:line="280" w:lineRule="auto"/>
              <w:jc w:val="left"/>
            </w:pPr>
            <w:r>
              <w:rPr>
                <w:rFonts w:ascii="맑은 고딕" w:cs="맑은 고딕" w:eastAsia="맑은 고딕" w:hAnsi="맑은 고딕"/>
                <w:b w:val="false"/>
                <w:bCs w:val="false"/>
                <w:color w:val="000000"/>
                <w:sz w:val="18"/>
                <w:szCs w:val="18"/>
              </w:rPr>
              <w:t xml:space="preserve">Expectations</w:t>
            </w:r>
          </w:p>
        </w:tc>
        <w:tc>
          <w:tcPr>
            <w:tcW w:type="dxa" w:w="1271"/>
            <w:tcBorders>
              <w:top w:val="single" w:color="808080" w:sz="4"/>
              <w:left w:val="single" w:color="808080" w:sz="4"/>
              <w:bottom w:val="single" w:color="808080" w:sz="4"/>
              <w:right w:val="single" w:color="808080" w:sz="4"/>
            </w:tcBorders>
            <w:tcMar>
              <w:top w:type="dxa" w:w="70"/>
              <w:left w:type="dxa" w:w="100"/>
              <w:bottom w:type="dxa" w:w="70"/>
              <w:right w:type="dxa" w:w="100"/>
            </w:tcMar>
            <w:vAlign w:val="center"/>
          </w:tcPr>
          <w:p>
            <w:pPr>
              <w:spacing w:after="25" w:before="25" w:line="280" w:lineRule="auto"/>
              <w:jc w:val="left"/>
            </w:pPr>
            <w:r>
              <w:rPr>
                <w:rFonts w:ascii="맑은 고딕" w:cs="맑은 고딕" w:eastAsia="맑은 고딕" w:hAnsi="맑은 고딕"/>
                <w:b w:val="false"/>
                <w:bCs w:val="false"/>
                <w:color w:val="000000"/>
                <w:sz w:val="18"/>
                <w:szCs w:val="18"/>
              </w:rPr>
              <w:t xml:space="preserve">프로젝트별</w:t>
            </w:r>
          </w:p>
        </w:tc>
        <w:tc>
          <w:tcPr>
            <w:tcW w:type="dxa" w:w="1271"/>
            <w:tcBorders>
              <w:top w:val="single" w:color="808080" w:sz="4"/>
              <w:left w:val="single" w:color="808080" w:sz="4"/>
              <w:bottom w:val="single" w:color="808080" w:sz="4"/>
              <w:right w:val="single" w:color="808080" w:sz="4"/>
            </w:tcBorders>
            <w:tcMar>
              <w:top w:type="dxa" w:w="70"/>
              <w:left w:type="dxa" w:w="100"/>
              <w:bottom w:type="dxa" w:w="70"/>
              <w:right w:type="dxa" w:w="100"/>
            </w:tcMar>
            <w:vAlign w:val="center"/>
          </w:tcPr>
          <w:p>
            <w:pPr>
              <w:spacing w:after="25" w:before="25" w:line="280" w:lineRule="auto"/>
              <w:jc w:val="left"/>
            </w:pPr>
            <w:r>
              <w:rPr>
                <w:rFonts w:ascii="맑은 고딕" w:cs="맑은 고딕" w:eastAsia="맑은 고딕" w:hAnsi="맑은 고딕"/>
                <w:b w:val="false"/>
                <w:bCs w:val="false"/>
                <w:color w:val="000000"/>
                <w:sz w:val="18"/>
                <w:szCs w:val="18"/>
              </w:rPr>
              <w:t xml:space="preserve">S-Team Goals + 6-pager</w:t>
            </w:r>
          </w:p>
        </w:tc>
        <w:tc>
          <w:tcPr>
            <w:tcW w:type="dxa" w:w="1271"/>
            <w:tcBorders>
              <w:top w:val="single" w:color="808080" w:sz="4"/>
              <w:left w:val="single" w:color="808080" w:sz="4"/>
              <w:bottom w:val="single" w:color="808080" w:sz="4"/>
              <w:right w:val="single" w:color="808080" w:sz="4"/>
            </w:tcBorders>
            <w:tcMar>
              <w:top w:type="dxa" w:w="70"/>
              <w:left w:type="dxa" w:w="100"/>
              <w:bottom w:type="dxa" w:w="70"/>
              <w:right w:type="dxa" w:w="100"/>
            </w:tcMar>
            <w:vAlign w:val="center"/>
          </w:tcPr>
          <w:p>
            <w:pPr>
              <w:spacing w:after="25" w:before="25" w:line="280" w:lineRule="auto"/>
              <w:jc w:val="left"/>
            </w:pPr>
            <w:r>
              <w:rPr>
                <w:rFonts w:ascii="맑은 고딕" w:cs="맑은 고딕" w:eastAsia="맑은 고딕" w:hAnsi="맑은 고딕"/>
                <w:b w:val="false"/>
                <w:bCs w:val="false"/>
                <w:color w:val="000000"/>
                <w:sz w:val="18"/>
                <w:szCs w:val="18"/>
              </w:rPr>
              <w:t xml:space="preserve">5개 차원 OKR</w:t>
            </w:r>
          </w:p>
        </w:tc>
      </w:tr>
      <w:tr>
        <w:tc>
          <w:tcPr>
            <w:tcW w:type="dxa" w:w="1400"/>
            <w:tcBorders>
              <w:top w:val="single" w:color="808080" w:sz="4"/>
              <w:left w:val="single" w:color="808080" w:sz="4"/>
              <w:bottom w:val="single" w:color="808080" w:sz="4"/>
              <w:right w:val="single" w:color="808080" w:sz="4"/>
            </w:tcBorders>
            <w:shd w:fill="E7EEF8" w:color="auto" w:val="clear"/>
            <w:tcMar>
              <w:top w:type="dxa" w:w="70"/>
              <w:left w:type="dxa" w:w="100"/>
              <w:bottom w:type="dxa" w:w="70"/>
              <w:right w:type="dxa" w:w="100"/>
            </w:tcMar>
            <w:vAlign w:val="center"/>
          </w:tcPr>
          <w:p>
            <w:pPr>
              <w:spacing w:after="25" w:before="25" w:line="280" w:lineRule="auto"/>
              <w:jc w:val="left"/>
            </w:pPr>
            <w:r>
              <w:rPr>
                <w:rFonts w:ascii="맑은 고딕" w:cs="맑은 고딕" w:eastAsia="맑은 고딕" w:hAnsi="맑은 고딕"/>
                <w:b/>
                <w:bCs/>
                <w:color w:val="000000"/>
                <w:sz w:val="18"/>
                <w:szCs w:val="18"/>
              </w:rPr>
              <w:t xml:space="preserve">측정 기준</w:t>
            </w:r>
          </w:p>
        </w:tc>
        <w:tc>
          <w:tcPr>
            <w:tcW w:type="dxa" w:w="1271"/>
            <w:tcBorders>
              <w:top w:val="single" w:color="808080" w:sz="4"/>
              <w:left w:val="single" w:color="808080" w:sz="4"/>
              <w:bottom w:val="single" w:color="808080" w:sz="4"/>
              <w:right w:val="single" w:color="808080" w:sz="4"/>
            </w:tcBorders>
            <w:tcMar>
              <w:top w:type="dxa" w:w="70"/>
              <w:left w:type="dxa" w:w="100"/>
              <w:bottom w:type="dxa" w:w="70"/>
              <w:right w:type="dxa" w:w="100"/>
            </w:tcMar>
            <w:vAlign w:val="center"/>
          </w:tcPr>
          <w:p>
            <w:pPr>
              <w:spacing w:after="25" w:before="25" w:line="280" w:lineRule="auto"/>
              <w:jc w:val="left"/>
            </w:pPr>
            <w:r>
              <w:rPr>
                <w:rFonts w:ascii="맑은 고딕" w:cs="맑은 고딕" w:eastAsia="맑은 고딕" w:hAnsi="맑은 고딕"/>
                <w:b w:val="false"/>
                <w:bCs w:val="false"/>
                <w:color w:val="000000"/>
                <w:sz w:val="18"/>
                <w:szCs w:val="18"/>
              </w:rPr>
              <w:t xml:space="preserve">임팩트 5단계</w:t>
            </w:r>
          </w:p>
        </w:tc>
        <w:tc>
          <w:tcPr>
            <w:tcW w:type="dxa" w:w="1271"/>
            <w:tcBorders>
              <w:top w:val="single" w:color="808080" w:sz="4"/>
              <w:left w:val="single" w:color="808080" w:sz="4"/>
              <w:bottom w:val="single" w:color="808080" w:sz="4"/>
              <w:right w:val="single" w:color="808080" w:sz="4"/>
            </w:tcBorders>
            <w:tcMar>
              <w:top w:type="dxa" w:w="70"/>
              <w:left w:type="dxa" w:w="100"/>
              <w:bottom w:type="dxa" w:w="70"/>
              <w:right w:type="dxa" w:w="100"/>
            </w:tcMar>
            <w:vAlign w:val="center"/>
          </w:tcPr>
          <w:p>
            <w:pPr>
              <w:spacing w:after="25" w:before="25" w:line="280" w:lineRule="auto"/>
              <w:jc w:val="left"/>
            </w:pPr>
            <w:r>
              <w:rPr>
                <w:rFonts w:ascii="맑은 고딕" w:cs="맑은 고딕" w:eastAsia="맑은 고딕" w:hAnsi="맑은 고딕"/>
                <w:b w:val="false"/>
                <w:bCs w:val="false"/>
                <w:color w:val="000000"/>
                <w:sz w:val="18"/>
                <w:szCs w:val="18"/>
              </w:rPr>
              <w:t xml:space="preserve">기여도 서술</w:t>
            </w:r>
          </w:p>
        </w:tc>
        <w:tc>
          <w:tcPr>
            <w:tcW w:type="dxa" w:w="1271"/>
            <w:tcBorders>
              <w:top w:val="single" w:color="808080" w:sz="4"/>
              <w:left w:val="single" w:color="808080" w:sz="4"/>
              <w:bottom w:val="single" w:color="808080" w:sz="4"/>
              <w:right w:val="single" w:color="808080" w:sz="4"/>
            </w:tcBorders>
            <w:tcMar>
              <w:top w:type="dxa" w:w="70"/>
              <w:left w:type="dxa" w:w="100"/>
              <w:bottom w:type="dxa" w:w="70"/>
              <w:right w:type="dxa" w:w="100"/>
            </w:tcMar>
            <w:vAlign w:val="center"/>
          </w:tcPr>
          <w:p>
            <w:pPr>
              <w:spacing w:after="25" w:before="25" w:line="280" w:lineRule="auto"/>
              <w:jc w:val="left"/>
            </w:pPr>
            <w:r>
              <w:rPr>
                <w:rFonts w:ascii="맑은 고딕" w:cs="맑은 고딕" w:eastAsia="맑은 고딕" w:hAnsi="맑은 고딕"/>
                <w:b w:val="false"/>
                <w:bCs w:val="false"/>
                <w:color w:val="000000"/>
                <w:sz w:val="18"/>
                <w:szCs w:val="18"/>
              </w:rPr>
              <w:t xml:space="preserve">형식 없음</w:t>
            </w:r>
          </w:p>
        </w:tc>
        <w:tc>
          <w:tcPr>
            <w:tcW w:type="dxa" w:w="1271"/>
            <w:tcBorders>
              <w:top w:val="single" w:color="808080" w:sz="4"/>
              <w:left w:val="single" w:color="808080" w:sz="4"/>
              <w:bottom w:val="single" w:color="808080" w:sz="4"/>
              <w:right w:val="single" w:color="808080" w:sz="4"/>
            </w:tcBorders>
            <w:tcMar>
              <w:top w:type="dxa" w:w="70"/>
              <w:left w:type="dxa" w:w="100"/>
              <w:bottom w:type="dxa" w:w="70"/>
              <w:right w:type="dxa" w:w="100"/>
            </w:tcMar>
            <w:vAlign w:val="center"/>
          </w:tcPr>
          <w:p>
            <w:pPr>
              <w:spacing w:after="25" w:before="25" w:line="280" w:lineRule="auto"/>
              <w:jc w:val="left"/>
            </w:pPr>
            <w:r>
              <w:rPr>
                <w:rFonts w:ascii="맑은 고딕" w:cs="맑은 고딕" w:eastAsia="맑은 고딕" w:hAnsi="맑은 고딕"/>
                <w:b w:val="false"/>
                <w:bCs w:val="false"/>
                <w:color w:val="000000"/>
                <w:sz w:val="18"/>
                <w:szCs w:val="18"/>
              </w:rPr>
              <w:t xml:space="preserve">형식 없음</w:t>
            </w:r>
          </w:p>
        </w:tc>
        <w:tc>
          <w:tcPr>
            <w:tcW w:type="dxa" w:w="1271"/>
            <w:tcBorders>
              <w:top w:val="single" w:color="808080" w:sz="4"/>
              <w:left w:val="single" w:color="808080" w:sz="4"/>
              <w:bottom w:val="single" w:color="808080" w:sz="4"/>
              <w:right w:val="single" w:color="808080" w:sz="4"/>
            </w:tcBorders>
            <w:tcMar>
              <w:top w:type="dxa" w:w="70"/>
              <w:left w:type="dxa" w:w="100"/>
              <w:bottom w:type="dxa" w:w="70"/>
              <w:right w:type="dxa" w:w="100"/>
            </w:tcMar>
            <w:vAlign w:val="center"/>
          </w:tcPr>
          <w:p>
            <w:pPr>
              <w:spacing w:after="25" w:before="25" w:line="280" w:lineRule="auto"/>
              <w:jc w:val="left"/>
            </w:pPr>
            <w:r>
              <w:rPr>
                <w:rFonts w:ascii="맑은 고딕" w:cs="맑은 고딕" w:eastAsia="맑은 고딕" w:hAnsi="맑은 고딕"/>
                <w:b w:val="false"/>
                <w:bCs w:val="false"/>
                <w:color w:val="000000"/>
                <w:sz w:val="18"/>
                <w:szCs w:val="18"/>
              </w:rPr>
              <w:t xml:space="preserve">LP 16개 행동</w:t>
            </w:r>
          </w:p>
        </w:tc>
        <w:tc>
          <w:tcPr>
            <w:tcW w:type="dxa" w:w="1271"/>
            <w:tcBorders>
              <w:top w:val="single" w:color="808080" w:sz="4"/>
              <w:left w:val="single" w:color="808080" w:sz="4"/>
              <w:bottom w:val="single" w:color="808080" w:sz="4"/>
              <w:right w:val="single" w:color="808080" w:sz="4"/>
            </w:tcBorders>
            <w:tcMar>
              <w:top w:type="dxa" w:w="70"/>
              <w:left w:type="dxa" w:w="100"/>
              <w:bottom w:type="dxa" w:w="70"/>
              <w:right w:type="dxa" w:w="100"/>
            </w:tcMar>
            <w:vAlign w:val="center"/>
          </w:tcPr>
          <w:p>
            <w:pPr>
              <w:spacing w:after="25" w:before="25" w:line="280" w:lineRule="auto"/>
              <w:jc w:val="left"/>
            </w:pPr>
            <w:r>
              <w:rPr>
                <w:rFonts w:ascii="맑은 고딕" w:cs="맑은 고딕" w:eastAsia="맑은 고딕" w:hAnsi="맑은 고딕"/>
                <w:b w:val="false"/>
                <w:bCs w:val="false"/>
                <w:color w:val="000000"/>
                <w:sz w:val="18"/>
                <w:szCs w:val="18"/>
              </w:rPr>
              <w:t xml:space="preserve">3단 척도</w:t>
            </w:r>
          </w:p>
        </w:tc>
      </w:tr>
      <w:tr>
        <w:tc>
          <w:tcPr>
            <w:tcW w:type="dxa" w:w="1400"/>
            <w:tcBorders>
              <w:top w:val="single" w:color="808080" w:sz="4"/>
              <w:left w:val="single" w:color="808080" w:sz="4"/>
              <w:bottom w:val="single" w:color="808080" w:sz="4"/>
              <w:right w:val="single" w:color="808080" w:sz="4"/>
            </w:tcBorders>
            <w:shd w:fill="E7EEF8" w:color="auto" w:val="clear"/>
            <w:tcMar>
              <w:top w:type="dxa" w:w="70"/>
              <w:left w:type="dxa" w:w="100"/>
              <w:bottom w:type="dxa" w:w="70"/>
              <w:right w:type="dxa" w:w="100"/>
            </w:tcMar>
            <w:vAlign w:val="center"/>
          </w:tcPr>
          <w:p>
            <w:pPr>
              <w:spacing w:after="25" w:before="25" w:line="280" w:lineRule="auto"/>
              <w:jc w:val="left"/>
            </w:pPr>
            <w:r>
              <w:rPr>
                <w:rFonts w:ascii="맑은 고딕" w:cs="맑은 고딕" w:eastAsia="맑은 고딕" w:hAnsi="맑은 고딕"/>
                <w:b/>
                <w:bCs/>
                <w:color w:val="000000"/>
                <w:sz w:val="18"/>
                <w:szCs w:val="18"/>
              </w:rPr>
              <w:t xml:space="preserve">1:1 면담</w:t>
            </w:r>
          </w:p>
        </w:tc>
        <w:tc>
          <w:tcPr>
            <w:tcW w:type="dxa" w:w="1271"/>
            <w:tcBorders>
              <w:top w:val="single" w:color="808080" w:sz="4"/>
              <w:left w:val="single" w:color="808080" w:sz="4"/>
              <w:bottom w:val="single" w:color="808080" w:sz="4"/>
              <w:right w:val="single" w:color="808080" w:sz="4"/>
            </w:tcBorders>
            <w:tcMar>
              <w:top w:type="dxa" w:w="70"/>
              <w:left w:type="dxa" w:w="100"/>
              <w:bottom w:type="dxa" w:w="70"/>
              <w:right w:type="dxa" w:w="100"/>
            </w:tcMar>
            <w:vAlign w:val="center"/>
          </w:tcPr>
          <w:p>
            <w:pPr>
              <w:spacing w:after="25" w:before="25" w:line="280" w:lineRule="auto"/>
              <w:jc w:val="left"/>
            </w:pPr>
            <w:r>
              <w:rPr>
                <w:rFonts w:ascii="맑은 고딕" w:cs="맑은 고딕" w:eastAsia="맑은 고딕" w:hAnsi="맑은 고딕"/>
                <w:b w:val="false"/>
                <w:bCs w:val="false"/>
                <w:color w:val="000000"/>
                <w:sz w:val="18"/>
                <w:szCs w:val="18"/>
              </w:rPr>
              <w:t xml:space="preserve">월간</w:t>
            </w:r>
          </w:p>
        </w:tc>
        <w:tc>
          <w:tcPr>
            <w:tcW w:type="dxa" w:w="1271"/>
            <w:tcBorders>
              <w:top w:val="single" w:color="808080" w:sz="4"/>
              <w:left w:val="single" w:color="808080" w:sz="4"/>
              <w:bottom w:val="single" w:color="808080" w:sz="4"/>
              <w:right w:val="single" w:color="808080" w:sz="4"/>
            </w:tcBorders>
            <w:tcMar>
              <w:top w:type="dxa" w:w="70"/>
              <w:left w:type="dxa" w:w="100"/>
              <w:bottom w:type="dxa" w:w="70"/>
              <w:right w:type="dxa" w:w="100"/>
            </w:tcMar>
            <w:vAlign w:val="center"/>
          </w:tcPr>
          <w:p>
            <w:pPr>
              <w:spacing w:after="25" w:before="25" w:line="280" w:lineRule="auto"/>
              <w:jc w:val="left"/>
            </w:pPr>
            <w:r>
              <w:rPr>
                <w:rFonts w:ascii="맑은 고딕" w:cs="맑은 고딕" w:eastAsia="맑은 고딕" w:hAnsi="맑은 고딕"/>
                <w:b w:val="false"/>
                <w:bCs w:val="false"/>
                <w:color w:val="000000"/>
                <w:sz w:val="18"/>
                <w:szCs w:val="18"/>
              </w:rPr>
              <w:t xml:space="preserve">분기 Connect</w:t>
            </w:r>
          </w:p>
        </w:tc>
        <w:tc>
          <w:tcPr>
            <w:tcW w:type="dxa" w:w="1271"/>
            <w:tcBorders>
              <w:top w:val="single" w:color="808080" w:sz="4"/>
              <w:left w:val="single" w:color="808080" w:sz="4"/>
              <w:bottom w:val="single" w:color="808080" w:sz="4"/>
              <w:right w:val="single" w:color="808080" w:sz="4"/>
            </w:tcBorders>
            <w:tcMar>
              <w:top w:type="dxa" w:w="70"/>
              <w:left w:type="dxa" w:w="100"/>
              <w:bottom w:type="dxa" w:w="70"/>
              <w:right w:type="dxa" w:w="100"/>
            </w:tcMar>
            <w:vAlign w:val="center"/>
          </w:tcPr>
          <w:p>
            <w:pPr>
              <w:spacing w:after="25" w:before="25" w:line="280" w:lineRule="auto"/>
              <w:jc w:val="left"/>
            </w:pPr>
            <w:r>
              <w:rPr>
                <w:rFonts w:ascii="맑은 고딕" w:cs="맑은 고딕" w:eastAsia="맑은 고딕" w:hAnsi="맑은 고딕"/>
                <w:b w:val="false"/>
                <w:bCs w:val="false"/>
                <w:color w:val="000000"/>
                <w:sz w:val="18"/>
                <w:szCs w:val="18"/>
              </w:rPr>
              <w:t xml:space="preserve">6~8주 Check-in</w:t>
            </w:r>
          </w:p>
        </w:tc>
        <w:tc>
          <w:tcPr>
            <w:tcW w:type="dxa" w:w="1271"/>
            <w:tcBorders>
              <w:top w:val="single" w:color="808080" w:sz="4"/>
              <w:left w:val="single" w:color="808080" w:sz="4"/>
              <w:bottom w:val="single" w:color="808080" w:sz="4"/>
              <w:right w:val="single" w:color="808080" w:sz="4"/>
            </w:tcBorders>
            <w:tcMar>
              <w:top w:type="dxa" w:w="70"/>
              <w:left w:type="dxa" w:w="100"/>
              <w:bottom w:type="dxa" w:w="70"/>
              <w:right w:type="dxa" w:w="100"/>
            </w:tcMar>
            <w:vAlign w:val="center"/>
          </w:tcPr>
          <w:p>
            <w:pPr>
              <w:spacing w:after="25" w:before="25" w:line="280" w:lineRule="auto"/>
              <w:jc w:val="left"/>
            </w:pPr>
            <w:r>
              <w:rPr>
                <w:rFonts w:ascii="맑은 고딕" w:cs="맑은 고딕" w:eastAsia="맑은 고딕" w:hAnsi="맑은 고딕"/>
                <w:b w:val="false"/>
                <w:bCs w:val="false"/>
                <w:color w:val="000000"/>
                <w:sz w:val="18"/>
                <w:szCs w:val="18"/>
              </w:rPr>
              <w:t xml:space="preserve">수시</w:t>
            </w:r>
          </w:p>
        </w:tc>
        <w:tc>
          <w:tcPr>
            <w:tcW w:type="dxa" w:w="1271"/>
            <w:tcBorders>
              <w:top w:val="single" w:color="808080" w:sz="4"/>
              <w:left w:val="single" w:color="808080" w:sz="4"/>
              <w:bottom w:val="single" w:color="808080" w:sz="4"/>
              <w:right w:val="single" w:color="808080" w:sz="4"/>
            </w:tcBorders>
            <w:tcMar>
              <w:top w:type="dxa" w:w="70"/>
              <w:left w:type="dxa" w:w="100"/>
              <w:bottom w:type="dxa" w:w="70"/>
              <w:right w:type="dxa" w:w="100"/>
            </w:tcMar>
            <w:vAlign w:val="center"/>
          </w:tcPr>
          <w:p>
            <w:pPr>
              <w:spacing w:after="25" w:before="25" w:line="280" w:lineRule="auto"/>
              <w:jc w:val="left"/>
            </w:pPr>
            <w:r>
              <w:rPr>
                <w:rFonts w:ascii="맑은 고딕" w:cs="맑은 고딕" w:eastAsia="맑은 고딕" w:hAnsi="맑은 고딕"/>
                <w:b w:val="false"/>
                <w:bCs w:val="false"/>
                <w:color w:val="000000"/>
                <w:sz w:val="18"/>
                <w:szCs w:val="18"/>
              </w:rPr>
              <w:t xml:space="preserve">주간</w:t>
            </w:r>
          </w:p>
        </w:tc>
        <w:tc>
          <w:tcPr>
            <w:tcW w:type="dxa" w:w="1271"/>
            <w:tcBorders>
              <w:top w:val="single" w:color="808080" w:sz="4"/>
              <w:left w:val="single" w:color="808080" w:sz="4"/>
              <w:bottom w:val="single" w:color="808080" w:sz="4"/>
              <w:right w:val="single" w:color="808080" w:sz="4"/>
            </w:tcBorders>
            <w:tcMar>
              <w:top w:type="dxa" w:w="70"/>
              <w:left w:type="dxa" w:w="100"/>
              <w:bottom w:type="dxa" w:w="70"/>
              <w:right w:type="dxa" w:w="100"/>
            </w:tcMar>
            <w:vAlign w:val="center"/>
          </w:tcPr>
          <w:p>
            <w:pPr>
              <w:spacing w:after="25" w:before="25" w:line="280" w:lineRule="auto"/>
              <w:jc w:val="left"/>
            </w:pPr>
            <w:r>
              <w:rPr>
                <w:rFonts w:ascii="맑은 고딕" w:cs="맑은 고딕" w:eastAsia="맑은 고딕" w:hAnsi="맑은 고딕"/>
                <w:b w:val="false"/>
                <w:bCs w:val="false"/>
                <w:color w:val="000000"/>
                <w:sz w:val="18"/>
                <w:szCs w:val="18"/>
              </w:rPr>
              <w:t xml:space="preserve">분기 ACE</w:t>
            </w:r>
          </w:p>
        </w:tc>
      </w:tr>
      <w:tr>
        <w:tc>
          <w:tcPr>
            <w:tcW w:type="dxa" w:w="1400"/>
            <w:tcBorders>
              <w:top w:val="single" w:color="808080" w:sz="4"/>
              <w:left w:val="single" w:color="808080" w:sz="4"/>
              <w:bottom w:val="single" w:color="808080" w:sz="4"/>
              <w:right w:val="single" w:color="808080" w:sz="4"/>
            </w:tcBorders>
            <w:shd w:fill="E7EEF8" w:color="auto" w:val="clear"/>
            <w:tcMar>
              <w:top w:type="dxa" w:w="70"/>
              <w:left w:type="dxa" w:w="100"/>
              <w:bottom w:type="dxa" w:w="70"/>
              <w:right w:type="dxa" w:w="100"/>
            </w:tcMar>
            <w:vAlign w:val="center"/>
          </w:tcPr>
          <w:p>
            <w:pPr>
              <w:spacing w:after="25" w:before="25" w:line="280" w:lineRule="auto"/>
              <w:jc w:val="left"/>
            </w:pPr>
            <w:r>
              <w:rPr>
                <w:rFonts w:ascii="맑은 고딕" w:cs="맑은 고딕" w:eastAsia="맑은 고딕" w:hAnsi="맑은 고딕"/>
                <w:b/>
                <w:bCs/>
                <w:color w:val="000000"/>
                <w:sz w:val="18"/>
                <w:szCs w:val="18"/>
              </w:rPr>
              <w:t xml:space="preserve">피드백 주기</w:t>
            </w:r>
          </w:p>
        </w:tc>
        <w:tc>
          <w:tcPr>
            <w:tcW w:type="dxa" w:w="1271"/>
            <w:tcBorders>
              <w:top w:val="single" w:color="808080" w:sz="4"/>
              <w:left w:val="single" w:color="808080" w:sz="4"/>
              <w:bottom w:val="single" w:color="808080" w:sz="4"/>
              <w:right w:val="single" w:color="808080" w:sz="4"/>
            </w:tcBorders>
            <w:tcMar>
              <w:top w:type="dxa" w:w="70"/>
              <w:left w:type="dxa" w:w="100"/>
              <w:bottom w:type="dxa" w:w="70"/>
              <w:right w:type="dxa" w:w="100"/>
            </w:tcMar>
            <w:vAlign w:val="center"/>
          </w:tcPr>
          <w:p>
            <w:pPr>
              <w:spacing w:after="25" w:before="25" w:line="280" w:lineRule="auto"/>
              <w:jc w:val="left"/>
            </w:pPr>
            <w:r>
              <w:rPr>
                <w:rFonts w:ascii="맑은 고딕" w:cs="맑은 고딕" w:eastAsia="맑은 고딕" w:hAnsi="맑은 고딕"/>
                <w:b w:val="false"/>
                <w:bCs w:val="false"/>
                <w:color w:val="000000"/>
                <w:sz w:val="18"/>
                <w:szCs w:val="18"/>
              </w:rPr>
              <w:t xml:space="preserve">상시 + 분기</w:t>
            </w:r>
          </w:p>
        </w:tc>
        <w:tc>
          <w:tcPr>
            <w:tcW w:type="dxa" w:w="1271"/>
            <w:tcBorders>
              <w:top w:val="single" w:color="808080" w:sz="4"/>
              <w:left w:val="single" w:color="808080" w:sz="4"/>
              <w:bottom w:val="single" w:color="808080" w:sz="4"/>
              <w:right w:val="single" w:color="808080" w:sz="4"/>
            </w:tcBorders>
            <w:tcMar>
              <w:top w:type="dxa" w:w="70"/>
              <w:left w:type="dxa" w:w="100"/>
              <w:bottom w:type="dxa" w:w="70"/>
              <w:right w:type="dxa" w:w="100"/>
            </w:tcMar>
            <w:vAlign w:val="center"/>
          </w:tcPr>
          <w:p>
            <w:pPr>
              <w:spacing w:after="25" w:before="25" w:line="280" w:lineRule="auto"/>
              <w:jc w:val="left"/>
            </w:pPr>
            <w:r>
              <w:rPr>
                <w:rFonts w:ascii="맑은 고딕" w:cs="맑은 고딕" w:eastAsia="맑은 고딕" w:hAnsi="맑은 고딕"/>
                <w:b w:val="false"/>
                <w:bCs w:val="false"/>
                <w:color w:val="000000"/>
                <w:sz w:val="18"/>
                <w:szCs w:val="18"/>
              </w:rPr>
              <w:t xml:space="preserve">분기 + 상시</w:t>
            </w:r>
          </w:p>
        </w:tc>
        <w:tc>
          <w:tcPr>
            <w:tcW w:type="dxa" w:w="1271"/>
            <w:tcBorders>
              <w:top w:val="single" w:color="808080" w:sz="4"/>
              <w:left w:val="single" w:color="808080" w:sz="4"/>
              <w:bottom w:val="single" w:color="808080" w:sz="4"/>
              <w:right w:val="single" w:color="808080" w:sz="4"/>
            </w:tcBorders>
            <w:tcMar>
              <w:top w:type="dxa" w:w="70"/>
              <w:left w:type="dxa" w:w="100"/>
              <w:bottom w:type="dxa" w:w="70"/>
              <w:right w:type="dxa" w:w="100"/>
            </w:tcMar>
            <w:vAlign w:val="center"/>
          </w:tcPr>
          <w:p>
            <w:pPr>
              <w:spacing w:after="25" w:before="25" w:line="280" w:lineRule="auto"/>
              <w:jc w:val="left"/>
            </w:pPr>
            <w:r>
              <w:rPr>
                <w:rFonts w:ascii="맑은 고딕" w:cs="맑은 고딕" w:eastAsia="맑은 고딕" w:hAnsi="맑은 고딕"/>
                <w:b w:val="false"/>
                <w:bCs w:val="false"/>
                <w:color w:val="000000"/>
                <w:sz w:val="18"/>
                <w:szCs w:val="18"/>
              </w:rPr>
              <w:t xml:space="preserve">상시</w:t>
            </w:r>
          </w:p>
        </w:tc>
        <w:tc>
          <w:tcPr>
            <w:tcW w:type="dxa" w:w="1271"/>
            <w:tcBorders>
              <w:top w:val="single" w:color="808080" w:sz="4"/>
              <w:left w:val="single" w:color="808080" w:sz="4"/>
              <w:bottom w:val="single" w:color="808080" w:sz="4"/>
              <w:right w:val="single" w:color="808080" w:sz="4"/>
            </w:tcBorders>
            <w:tcMar>
              <w:top w:type="dxa" w:w="70"/>
              <w:left w:type="dxa" w:w="100"/>
              <w:bottom w:type="dxa" w:w="70"/>
              <w:right w:type="dxa" w:w="100"/>
            </w:tcMar>
            <w:vAlign w:val="center"/>
          </w:tcPr>
          <w:p>
            <w:pPr>
              <w:spacing w:after="25" w:before="25" w:line="280" w:lineRule="auto"/>
              <w:jc w:val="left"/>
            </w:pPr>
            <w:r>
              <w:rPr>
                <w:rFonts w:ascii="맑은 고딕" w:cs="맑은 고딕" w:eastAsia="맑은 고딕" w:hAnsi="맑은 고딕"/>
                <w:b w:val="false"/>
                <w:bCs w:val="false"/>
                <w:color w:val="000000"/>
                <w:sz w:val="18"/>
                <w:szCs w:val="18"/>
              </w:rPr>
              <w:t xml:space="preserve">상시 (S/S/C)</w:t>
            </w:r>
          </w:p>
        </w:tc>
        <w:tc>
          <w:tcPr>
            <w:tcW w:type="dxa" w:w="1271"/>
            <w:tcBorders>
              <w:top w:val="single" w:color="808080" w:sz="4"/>
              <w:left w:val="single" w:color="808080" w:sz="4"/>
              <w:bottom w:val="single" w:color="808080" w:sz="4"/>
              <w:right w:val="single" w:color="808080" w:sz="4"/>
            </w:tcBorders>
            <w:tcMar>
              <w:top w:type="dxa" w:w="70"/>
              <w:left w:type="dxa" w:w="100"/>
              <w:bottom w:type="dxa" w:w="70"/>
              <w:right w:type="dxa" w:w="100"/>
            </w:tcMar>
            <w:vAlign w:val="center"/>
          </w:tcPr>
          <w:p>
            <w:pPr>
              <w:spacing w:after="25" w:before="25" w:line="280" w:lineRule="auto"/>
              <w:jc w:val="left"/>
            </w:pPr>
            <w:r>
              <w:rPr>
                <w:rFonts w:ascii="맑은 고딕" w:cs="맑은 고딕" w:eastAsia="맑은 고딕" w:hAnsi="맑은 고딕"/>
                <w:b w:val="false"/>
                <w:bCs w:val="false"/>
                <w:color w:val="000000"/>
                <w:sz w:val="18"/>
                <w:szCs w:val="18"/>
              </w:rPr>
              <w:t xml:space="preserve">프로젝트 종료시</w:t>
            </w:r>
          </w:p>
        </w:tc>
        <w:tc>
          <w:tcPr>
            <w:tcW w:type="dxa" w:w="1271"/>
            <w:tcBorders>
              <w:top w:val="single" w:color="808080" w:sz="4"/>
              <w:left w:val="single" w:color="808080" w:sz="4"/>
              <w:bottom w:val="single" w:color="808080" w:sz="4"/>
              <w:right w:val="single" w:color="808080" w:sz="4"/>
            </w:tcBorders>
            <w:tcMar>
              <w:top w:type="dxa" w:w="70"/>
              <w:left w:type="dxa" w:w="100"/>
              <w:bottom w:type="dxa" w:w="70"/>
              <w:right w:type="dxa" w:w="100"/>
            </w:tcMar>
            <w:vAlign w:val="center"/>
          </w:tcPr>
          <w:p>
            <w:pPr>
              <w:spacing w:after="25" w:before="25" w:line="280" w:lineRule="auto"/>
              <w:jc w:val="left"/>
            </w:pPr>
            <w:r>
              <w:rPr>
                <w:rFonts w:ascii="맑은 고딕" w:cs="맑은 고딕" w:eastAsia="맑은 고딕" w:hAnsi="맑은 고딕"/>
                <w:b w:val="false"/>
                <w:bCs w:val="false"/>
                <w:color w:val="000000"/>
                <w:sz w:val="18"/>
                <w:szCs w:val="18"/>
              </w:rPr>
              <w:t xml:space="preserve">상시 + 분기</w:t>
            </w:r>
          </w:p>
        </w:tc>
      </w:tr>
      <w:tr>
        <w:tc>
          <w:tcPr>
            <w:tcW w:type="dxa" w:w="1400"/>
            <w:tcBorders>
              <w:top w:val="single" w:color="808080" w:sz="4"/>
              <w:left w:val="single" w:color="808080" w:sz="4"/>
              <w:bottom w:val="single" w:color="808080" w:sz="4"/>
              <w:right w:val="single" w:color="808080" w:sz="4"/>
            </w:tcBorders>
            <w:shd w:fill="E7EEF8" w:color="auto" w:val="clear"/>
            <w:tcMar>
              <w:top w:type="dxa" w:w="70"/>
              <w:left w:type="dxa" w:w="100"/>
              <w:bottom w:type="dxa" w:w="70"/>
              <w:right w:type="dxa" w:w="100"/>
            </w:tcMar>
            <w:vAlign w:val="center"/>
          </w:tcPr>
          <w:p>
            <w:pPr>
              <w:spacing w:after="25" w:before="25" w:line="280" w:lineRule="auto"/>
              <w:jc w:val="left"/>
            </w:pPr>
            <w:r>
              <w:rPr>
                <w:rFonts w:ascii="맑은 고딕" w:cs="맑은 고딕" w:eastAsia="맑은 고딕" w:hAnsi="맑은 고딕"/>
                <w:b/>
                <w:bCs/>
                <w:color w:val="000000"/>
                <w:sz w:val="18"/>
                <w:szCs w:val="18"/>
              </w:rPr>
              <w:t xml:space="preserve">보상 연계</w:t>
            </w:r>
          </w:p>
        </w:tc>
        <w:tc>
          <w:tcPr>
            <w:tcW w:type="dxa" w:w="1271"/>
            <w:tcBorders>
              <w:top w:val="single" w:color="808080" w:sz="4"/>
              <w:left w:val="single" w:color="808080" w:sz="4"/>
              <w:bottom w:val="single" w:color="808080" w:sz="4"/>
              <w:right w:val="single" w:color="808080" w:sz="4"/>
            </w:tcBorders>
            <w:tcMar>
              <w:top w:type="dxa" w:w="70"/>
              <w:left w:type="dxa" w:w="100"/>
              <w:bottom w:type="dxa" w:w="70"/>
              <w:right w:type="dxa" w:w="100"/>
            </w:tcMar>
            <w:vAlign w:val="center"/>
          </w:tcPr>
          <w:p>
            <w:pPr>
              <w:spacing w:after="25" w:before="25" w:line="280" w:lineRule="auto"/>
              <w:jc w:val="left"/>
            </w:pPr>
            <w:r>
              <w:rPr>
                <w:rFonts w:ascii="맑은 고딕" w:cs="맑은 고딕" w:eastAsia="맑은 고딕" w:hAnsi="맑은 고딕"/>
                <w:b w:val="false"/>
                <w:bCs w:val="false"/>
                <w:color w:val="000000"/>
                <w:sz w:val="18"/>
                <w:szCs w:val="18"/>
              </w:rPr>
              <w:t xml:space="preserve">등급+Calibration</w:t>
            </w:r>
          </w:p>
        </w:tc>
        <w:tc>
          <w:tcPr>
            <w:tcW w:type="dxa" w:w="1271"/>
            <w:tcBorders>
              <w:top w:val="single" w:color="808080" w:sz="4"/>
              <w:left w:val="single" w:color="808080" w:sz="4"/>
              <w:bottom w:val="single" w:color="808080" w:sz="4"/>
              <w:right w:val="single" w:color="808080" w:sz="4"/>
            </w:tcBorders>
            <w:tcMar>
              <w:top w:type="dxa" w:w="70"/>
              <w:left w:type="dxa" w:w="100"/>
              <w:bottom w:type="dxa" w:w="70"/>
              <w:right w:type="dxa" w:w="100"/>
            </w:tcMar>
            <w:vAlign w:val="center"/>
          </w:tcPr>
          <w:p>
            <w:pPr>
              <w:spacing w:after="25" w:before="25" w:line="280" w:lineRule="auto"/>
              <w:jc w:val="left"/>
            </w:pPr>
            <w:r>
              <w:rPr>
                <w:rFonts w:ascii="맑은 고딕" w:cs="맑은 고딕" w:eastAsia="맑은 고딕" w:hAnsi="맑은 고딕"/>
                <w:b w:val="false"/>
                <w:bCs w:val="false"/>
                <w:color w:val="000000"/>
                <w:sz w:val="18"/>
                <w:szCs w:val="18"/>
              </w:rPr>
              <w:t xml:space="preserve">매니저+시장</w:t>
            </w:r>
          </w:p>
        </w:tc>
        <w:tc>
          <w:tcPr>
            <w:tcW w:type="dxa" w:w="1271"/>
            <w:tcBorders>
              <w:top w:val="single" w:color="808080" w:sz="4"/>
              <w:left w:val="single" w:color="808080" w:sz="4"/>
              <w:bottom w:val="single" w:color="808080" w:sz="4"/>
              <w:right w:val="single" w:color="808080" w:sz="4"/>
            </w:tcBorders>
            <w:tcMar>
              <w:top w:type="dxa" w:w="70"/>
              <w:left w:type="dxa" w:w="100"/>
              <w:bottom w:type="dxa" w:w="70"/>
              <w:right w:type="dxa" w:w="100"/>
            </w:tcMar>
            <w:vAlign w:val="center"/>
          </w:tcPr>
          <w:p>
            <w:pPr>
              <w:spacing w:after="25" w:before="25" w:line="280" w:lineRule="auto"/>
              <w:jc w:val="left"/>
            </w:pPr>
            <w:r>
              <w:rPr>
                <w:rFonts w:ascii="맑은 고딕" w:cs="맑은 고딕" w:eastAsia="맑은 고딕" w:hAnsi="맑은 고딕"/>
                <w:b w:val="false"/>
                <w:bCs w:val="false"/>
                <w:color w:val="000000"/>
                <w:sz w:val="18"/>
                <w:szCs w:val="18"/>
              </w:rPr>
              <w:t xml:space="preserve">느슨한 결합</w:t>
            </w:r>
          </w:p>
        </w:tc>
        <w:tc>
          <w:tcPr>
            <w:tcW w:type="dxa" w:w="1271"/>
            <w:tcBorders>
              <w:top w:val="single" w:color="808080" w:sz="4"/>
              <w:left w:val="single" w:color="808080" w:sz="4"/>
              <w:bottom w:val="single" w:color="808080" w:sz="4"/>
              <w:right w:val="single" w:color="808080" w:sz="4"/>
            </w:tcBorders>
            <w:tcMar>
              <w:top w:type="dxa" w:w="70"/>
              <w:left w:type="dxa" w:w="100"/>
              <w:bottom w:type="dxa" w:w="70"/>
              <w:right w:type="dxa" w:w="100"/>
            </w:tcMar>
            <w:vAlign w:val="center"/>
          </w:tcPr>
          <w:p>
            <w:pPr>
              <w:spacing w:after="25" w:before="25" w:line="280" w:lineRule="auto"/>
              <w:jc w:val="left"/>
            </w:pPr>
            <w:r>
              <w:rPr>
                <w:rFonts w:ascii="맑은 고딕" w:cs="맑은 고딕" w:eastAsia="맑은 고딕" w:hAnsi="맑은 고딕"/>
                <w:b w:val="false"/>
                <w:bCs w:val="false"/>
                <w:color w:val="000000"/>
                <w:sz w:val="18"/>
                <w:szCs w:val="18"/>
              </w:rPr>
              <w:t xml:space="preserve">Top-of-market</w:t>
            </w:r>
          </w:p>
        </w:tc>
        <w:tc>
          <w:tcPr>
            <w:tcW w:type="dxa" w:w="1271"/>
            <w:tcBorders>
              <w:top w:val="single" w:color="808080" w:sz="4"/>
              <w:left w:val="single" w:color="808080" w:sz="4"/>
              <w:bottom w:val="single" w:color="808080" w:sz="4"/>
              <w:right w:val="single" w:color="808080" w:sz="4"/>
            </w:tcBorders>
            <w:tcMar>
              <w:top w:type="dxa" w:w="70"/>
              <w:left w:type="dxa" w:w="100"/>
              <w:bottom w:type="dxa" w:w="70"/>
              <w:right w:type="dxa" w:w="100"/>
            </w:tcMar>
            <w:vAlign w:val="center"/>
          </w:tcPr>
          <w:p>
            <w:pPr>
              <w:spacing w:after="25" w:before="25" w:line="280" w:lineRule="auto"/>
              <w:jc w:val="left"/>
            </w:pPr>
            <w:r>
              <w:rPr>
                <w:rFonts w:ascii="맑은 고딕" w:cs="맑은 고딕" w:eastAsia="맑은 고딕" w:hAnsi="맑은 고딕"/>
                <w:b w:val="false"/>
                <w:bCs w:val="false"/>
                <w:color w:val="000000"/>
                <w:sz w:val="18"/>
                <w:szCs w:val="18"/>
              </w:rPr>
              <w:t xml:space="preserve">등급 직결+RSU</w:t>
            </w:r>
          </w:p>
        </w:tc>
        <w:tc>
          <w:tcPr>
            <w:tcW w:type="dxa" w:w="1271"/>
            <w:tcBorders>
              <w:top w:val="single" w:color="808080" w:sz="4"/>
              <w:left w:val="single" w:color="808080" w:sz="4"/>
              <w:bottom w:val="single" w:color="808080" w:sz="4"/>
              <w:right w:val="single" w:color="808080" w:sz="4"/>
            </w:tcBorders>
            <w:tcMar>
              <w:top w:type="dxa" w:w="70"/>
              <w:left w:type="dxa" w:w="100"/>
              <w:bottom w:type="dxa" w:w="70"/>
              <w:right w:type="dxa" w:w="100"/>
            </w:tcMar>
            <w:vAlign w:val="center"/>
          </w:tcPr>
          <w:p>
            <w:pPr>
              <w:spacing w:after="25" w:before="25" w:line="280" w:lineRule="auto"/>
              <w:jc w:val="left"/>
            </w:pPr>
            <w:r>
              <w:rPr>
                <w:rFonts w:ascii="맑은 고딕" w:cs="맑은 고딕" w:eastAsia="맑은 고딕" w:hAnsi="맑은 고딕"/>
                <w:b w:val="false"/>
                <w:bCs w:val="false"/>
                <w:color w:val="000000"/>
                <w:sz w:val="18"/>
                <w:szCs w:val="18"/>
              </w:rPr>
              <w:t xml:space="preserve">다차원 평가</w:t>
            </w:r>
          </w:p>
        </w:tc>
      </w:tr>
      <w:tr>
        <w:tc>
          <w:tcPr>
            <w:tcW w:type="dxa" w:w="1400"/>
            <w:tcBorders>
              <w:top w:val="single" w:color="808080" w:sz="4"/>
              <w:left w:val="single" w:color="808080" w:sz="4"/>
              <w:bottom w:val="single" w:color="808080" w:sz="4"/>
              <w:right w:val="single" w:color="808080" w:sz="4"/>
            </w:tcBorders>
            <w:shd w:fill="E7EEF8" w:color="auto" w:val="clear"/>
            <w:tcMar>
              <w:top w:type="dxa" w:w="70"/>
              <w:left w:type="dxa" w:w="100"/>
              <w:bottom w:type="dxa" w:w="70"/>
              <w:right w:type="dxa" w:w="100"/>
            </w:tcMar>
            <w:vAlign w:val="center"/>
          </w:tcPr>
          <w:p>
            <w:pPr>
              <w:spacing w:after="25" w:before="25" w:line="280" w:lineRule="auto"/>
              <w:jc w:val="left"/>
            </w:pPr>
            <w:r>
              <w:rPr>
                <w:rFonts w:ascii="맑은 고딕" w:cs="맑은 고딕" w:eastAsia="맑은 고딕" w:hAnsi="맑은 고딕"/>
                <w:b/>
                <w:bCs/>
                <w:color w:val="000000"/>
                <w:sz w:val="18"/>
                <w:szCs w:val="18"/>
              </w:rPr>
              <w:t xml:space="preserve">저성과자</w:t>
            </w:r>
          </w:p>
        </w:tc>
        <w:tc>
          <w:tcPr>
            <w:tcW w:type="dxa" w:w="1271"/>
            <w:tcBorders>
              <w:top w:val="single" w:color="808080" w:sz="4"/>
              <w:left w:val="single" w:color="808080" w:sz="4"/>
              <w:bottom w:val="single" w:color="808080" w:sz="4"/>
              <w:right w:val="single" w:color="808080" w:sz="4"/>
            </w:tcBorders>
            <w:tcMar>
              <w:top w:type="dxa" w:w="70"/>
              <w:left w:type="dxa" w:w="100"/>
              <w:bottom w:type="dxa" w:w="70"/>
              <w:right w:type="dxa" w:w="100"/>
            </w:tcMar>
            <w:vAlign w:val="center"/>
          </w:tcPr>
          <w:p>
            <w:pPr>
              <w:spacing w:after="25" w:before="25" w:line="280" w:lineRule="auto"/>
              <w:jc w:val="left"/>
            </w:pPr>
            <w:r>
              <w:rPr>
                <w:rFonts w:ascii="맑은 고딕" w:cs="맑은 고딕" w:eastAsia="맑은 고딕" w:hAnsi="맑은 고딕"/>
                <w:b w:val="false"/>
                <w:bCs w:val="false"/>
                <w:color w:val="000000"/>
                <w:sz w:val="18"/>
                <w:szCs w:val="18"/>
              </w:rPr>
              <w:t xml:space="preserve">PIP</w:t>
            </w:r>
          </w:p>
        </w:tc>
        <w:tc>
          <w:tcPr>
            <w:tcW w:type="dxa" w:w="1271"/>
            <w:tcBorders>
              <w:top w:val="single" w:color="808080" w:sz="4"/>
              <w:left w:val="single" w:color="808080" w:sz="4"/>
              <w:bottom w:val="single" w:color="808080" w:sz="4"/>
              <w:right w:val="single" w:color="808080" w:sz="4"/>
            </w:tcBorders>
            <w:tcMar>
              <w:top w:type="dxa" w:w="70"/>
              <w:left w:type="dxa" w:w="100"/>
              <w:bottom w:type="dxa" w:w="70"/>
              <w:right w:type="dxa" w:w="100"/>
            </w:tcMar>
            <w:vAlign w:val="center"/>
          </w:tcPr>
          <w:p>
            <w:pPr>
              <w:spacing w:after="25" w:before="25" w:line="280" w:lineRule="auto"/>
              <w:jc w:val="left"/>
            </w:pPr>
            <w:r>
              <w:rPr>
                <w:rFonts w:ascii="맑은 고딕" w:cs="맑은 고딕" w:eastAsia="맑은 고딕" w:hAnsi="맑은 고딕"/>
                <w:b w:val="false"/>
                <w:bCs w:val="false"/>
                <w:color w:val="000000"/>
                <w:sz w:val="18"/>
                <w:szCs w:val="18"/>
              </w:rPr>
              <w:t xml:space="preserve">코칭→PIP→분리</w:t>
            </w:r>
          </w:p>
        </w:tc>
        <w:tc>
          <w:tcPr>
            <w:tcW w:type="dxa" w:w="1271"/>
            <w:tcBorders>
              <w:top w:val="single" w:color="808080" w:sz="4"/>
              <w:left w:val="single" w:color="808080" w:sz="4"/>
              <w:bottom w:val="single" w:color="808080" w:sz="4"/>
              <w:right w:val="single" w:color="808080" w:sz="4"/>
            </w:tcBorders>
            <w:tcMar>
              <w:top w:type="dxa" w:w="70"/>
              <w:left w:type="dxa" w:w="100"/>
              <w:bottom w:type="dxa" w:w="70"/>
              <w:right w:type="dxa" w:w="100"/>
            </w:tcMar>
            <w:vAlign w:val="center"/>
          </w:tcPr>
          <w:p>
            <w:pPr>
              <w:spacing w:after="25" w:before="25" w:line="280" w:lineRule="auto"/>
              <w:jc w:val="left"/>
            </w:pPr>
            <w:r>
              <w:rPr>
                <w:rFonts w:ascii="맑은 고딕" w:cs="맑은 고딕" w:eastAsia="맑은 고딕" w:hAnsi="맑은 고딕"/>
                <w:b w:val="false"/>
                <w:bCs w:val="false"/>
                <w:color w:val="000000"/>
                <w:sz w:val="18"/>
                <w:szCs w:val="18"/>
              </w:rPr>
              <w:t xml:space="preserve">Check-in 누적</w:t>
            </w:r>
          </w:p>
        </w:tc>
        <w:tc>
          <w:tcPr>
            <w:tcW w:type="dxa" w:w="1271"/>
            <w:tcBorders>
              <w:top w:val="single" w:color="808080" w:sz="4"/>
              <w:left w:val="single" w:color="808080" w:sz="4"/>
              <w:bottom w:val="single" w:color="808080" w:sz="4"/>
              <w:right w:val="single" w:color="808080" w:sz="4"/>
            </w:tcBorders>
            <w:tcMar>
              <w:top w:type="dxa" w:w="70"/>
              <w:left w:type="dxa" w:w="100"/>
              <w:bottom w:type="dxa" w:w="70"/>
              <w:right w:type="dxa" w:w="100"/>
            </w:tcMar>
            <w:vAlign w:val="center"/>
          </w:tcPr>
          <w:p>
            <w:pPr>
              <w:spacing w:after="25" w:before="25" w:line="280" w:lineRule="auto"/>
              <w:jc w:val="left"/>
            </w:pPr>
            <w:r>
              <w:rPr>
                <w:rFonts w:ascii="맑은 고딕" w:cs="맑은 고딕" w:eastAsia="맑은 고딕" w:hAnsi="맑은 고딕"/>
                <w:b w:val="false"/>
                <w:bCs w:val="false"/>
                <w:color w:val="000000"/>
                <w:sz w:val="18"/>
                <w:szCs w:val="18"/>
              </w:rPr>
              <w:t xml:space="preserve">Keeper Test</w:t>
            </w:r>
          </w:p>
        </w:tc>
        <w:tc>
          <w:tcPr>
            <w:tcW w:type="dxa" w:w="1271"/>
            <w:tcBorders>
              <w:top w:val="single" w:color="808080" w:sz="4"/>
              <w:left w:val="single" w:color="808080" w:sz="4"/>
              <w:bottom w:val="single" w:color="808080" w:sz="4"/>
              <w:right w:val="single" w:color="808080" w:sz="4"/>
            </w:tcBorders>
            <w:tcMar>
              <w:top w:type="dxa" w:w="70"/>
              <w:left w:type="dxa" w:w="100"/>
              <w:bottom w:type="dxa" w:w="70"/>
              <w:right w:type="dxa" w:w="100"/>
            </w:tcMar>
            <w:vAlign w:val="center"/>
          </w:tcPr>
          <w:p>
            <w:pPr>
              <w:spacing w:after="25" w:before="25" w:line="280" w:lineRule="auto"/>
              <w:jc w:val="left"/>
            </w:pPr>
            <w:r>
              <w:rPr>
                <w:rFonts w:ascii="맑은 고딕" w:cs="맑은 고딕" w:eastAsia="맑은 고딕" w:hAnsi="맑은 고딕"/>
                <w:b w:val="false"/>
                <w:bCs w:val="false"/>
                <w:color w:val="000000"/>
                <w:sz w:val="18"/>
                <w:szCs w:val="18"/>
              </w:rPr>
              <w:t xml:space="preserve">Focus→Pivot→URA</w:t>
            </w:r>
          </w:p>
        </w:tc>
        <w:tc>
          <w:tcPr>
            <w:tcW w:type="dxa" w:w="1271"/>
            <w:tcBorders>
              <w:top w:val="single" w:color="808080" w:sz="4"/>
              <w:left w:val="single" w:color="808080" w:sz="4"/>
              <w:bottom w:val="single" w:color="808080" w:sz="4"/>
              <w:right w:val="single" w:color="808080" w:sz="4"/>
            </w:tcBorders>
            <w:tcMar>
              <w:top w:type="dxa" w:w="70"/>
              <w:left w:type="dxa" w:w="100"/>
              <w:bottom w:type="dxa" w:w="70"/>
              <w:right w:type="dxa" w:w="100"/>
            </w:tcMar>
            <w:vAlign w:val="center"/>
          </w:tcPr>
          <w:p>
            <w:pPr>
              <w:spacing w:after="25" w:before="25" w:line="280" w:lineRule="auto"/>
              <w:jc w:val="left"/>
            </w:pPr>
            <w:r>
              <w:rPr>
                <w:rFonts w:ascii="맑은 고딕" w:cs="맑은 고딕" w:eastAsia="맑은 고딕" w:hAnsi="맑은 고딕"/>
                <w:b w:val="false"/>
                <w:bCs w:val="false"/>
                <w:color w:val="000000"/>
                <w:sz w:val="18"/>
                <w:szCs w:val="18"/>
              </w:rPr>
              <w:t xml:space="preserve">코칭 우선</w:t>
            </w:r>
          </w:p>
        </w:tc>
      </w:tr>
      <w:tr>
        <w:tc>
          <w:tcPr>
            <w:tcW w:type="dxa" w:w="1400"/>
            <w:tcBorders>
              <w:top w:val="single" w:color="808080" w:sz="4"/>
              <w:left w:val="single" w:color="808080" w:sz="4"/>
              <w:bottom w:val="single" w:color="808080" w:sz="4"/>
              <w:right w:val="single" w:color="808080" w:sz="4"/>
            </w:tcBorders>
            <w:shd w:fill="E7EEF8" w:color="auto" w:val="clear"/>
            <w:tcMar>
              <w:top w:type="dxa" w:w="70"/>
              <w:left w:type="dxa" w:w="100"/>
              <w:bottom w:type="dxa" w:w="70"/>
              <w:right w:type="dxa" w:w="100"/>
            </w:tcMar>
            <w:vAlign w:val="center"/>
          </w:tcPr>
          <w:p>
            <w:pPr>
              <w:spacing w:after="25" w:before="25" w:line="280" w:lineRule="auto"/>
              <w:jc w:val="left"/>
            </w:pPr>
            <w:r>
              <w:rPr>
                <w:rFonts w:ascii="맑은 고딕" w:cs="맑은 고딕" w:eastAsia="맑은 고딕" w:hAnsi="맑은 고딕"/>
                <w:b/>
                <w:bCs/>
                <w:color w:val="000000"/>
                <w:sz w:val="18"/>
                <w:szCs w:val="18"/>
              </w:rPr>
              <w:t xml:space="preserve">핵심인재</w:t>
            </w:r>
          </w:p>
        </w:tc>
        <w:tc>
          <w:tcPr>
            <w:tcW w:type="dxa" w:w="1271"/>
            <w:tcBorders>
              <w:top w:val="single" w:color="808080" w:sz="4"/>
              <w:left w:val="single" w:color="808080" w:sz="4"/>
              <w:bottom w:val="single" w:color="808080" w:sz="4"/>
              <w:right w:val="single" w:color="808080" w:sz="4"/>
            </w:tcBorders>
            <w:tcMar>
              <w:top w:type="dxa" w:w="70"/>
              <w:left w:type="dxa" w:w="100"/>
              <w:bottom w:type="dxa" w:w="70"/>
              <w:right w:type="dxa" w:w="100"/>
            </w:tcMar>
            <w:vAlign w:val="center"/>
          </w:tcPr>
          <w:p>
            <w:pPr>
              <w:spacing w:after="25" w:before="25" w:line="280" w:lineRule="auto"/>
              <w:jc w:val="left"/>
            </w:pPr>
            <w:r>
              <w:rPr>
                <w:rFonts w:ascii="맑은 고딕" w:cs="맑은 고딕" w:eastAsia="맑은 고딕" w:hAnsi="맑은 고딕"/>
                <w:b w:val="false"/>
                <w:bCs w:val="false"/>
                <w:color w:val="000000"/>
                <w:sz w:val="18"/>
                <w:szCs w:val="18"/>
              </w:rPr>
              <w:t xml:space="preserve">9-Box Talent Review</w:t>
            </w:r>
          </w:p>
        </w:tc>
        <w:tc>
          <w:tcPr>
            <w:tcW w:type="dxa" w:w="1271"/>
            <w:tcBorders>
              <w:top w:val="single" w:color="808080" w:sz="4"/>
              <w:left w:val="single" w:color="808080" w:sz="4"/>
              <w:bottom w:val="single" w:color="808080" w:sz="4"/>
              <w:right w:val="single" w:color="808080" w:sz="4"/>
            </w:tcBorders>
            <w:tcMar>
              <w:top w:type="dxa" w:w="70"/>
              <w:left w:type="dxa" w:w="100"/>
              <w:bottom w:type="dxa" w:w="70"/>
              <w:right w:type="dxa" w:w="100"/>
            </w:tcMar>
            <w:vAlign w:val="center"/>
          </w:tcPr>
          <w:p>
            <w:pPr>
              <w:spacing w:after="25" w:before="25" w:line="280" w:lineRule="auto"/>
              <w:jc w:val="left"/>
            </w:pPr>
            <w:r>
              <w:rPr>
                <w:rFonts w:ascii="맑은 고딕" w:cs="맑은 고딕" w:eastAsia="맑은 고딕" w:hAnsi="맑은 고딕"/>
                <w:b w:val="false"/>
                <w:bCs w:val="false"/>
                <w:color w:val="000000"/>
                <w:sz w:val="18"/>
                <w:szCs w:val="18"/>
              </w:rPr>
              <w:t xml:space="preserve">HiPo + Stretch</w:t>
            </w:r>
          </w:p>
        </w:tc>
        <w:tc>
          <w:tcPr>
            <w:tcW w:type="dxa" w:w="1271"/>
            <w:tcBorders>
              <w:top w:val="single" w:color="808080" w:sz="4"/>
              <w:left w:val="single" w:color="808080" w:sz="4"/>
              <w:bottom w:val="single" w:color="808080" w:sz="4"/>
              <w:right w:val="single" w:color="808080" w:sz="4"/>
            </w:tcBorders>
            <w:tcMar>
              <w:top w:type="dxa" w:w="70"/>
              <w:left w:type="dxa" w:w="100"/>
              <w:bottom w:type="dxa" w:w="70"/>
              <w:right w:type="dxa" w:w="100"/>
            </w:tcMar>
            <w:vAlign w:val="center"/>
          </w:tcPr>
          <w:p>
            <w:pPr>
              <w:spacing w:after="25" w:before="25" w:line="280" w:lineRule="auto"/>
              <w:jc w:val="left"/>
            </w:pPr>
            <w:r>
              <w:rPr>
                <w:rFonts w:ascii="맑은 고딕" w:cs="맑은 고딕" w:eastAsia="맑은 고딕" w:hAnsi="맑은 고딕"/>
                <w:b w:val="false"/>
                <w:bCs w:val="false"/>
                <w:color w:val="000000"/>
                <w:sz w:val="18"/>
                <w:szCs w:val="18"/>
              </w:rPr>
              <w:t xml:space="preserve">Career Map</w:t>
            </w:r>
          </w:p>
        </w:tc>
        <w:tc>
          <w:tcPr>
            <w:tcW w:type="dxa" w:w="1271"/>
            <w:tcBorders>
              <w:top w:val="single" w:color="808080" w:sz="4"/>
              <w:left w:val="single" w:color="808080" w:sz="4"/>
              <w:bottom w:val="single" w:color="808080" w:sz="4"/>
              <w:right w:val="single" w:color="808080" w:sz="4"/>
            </w:tcBorders>
            <w:tcMar>
              <w:top w:type="dxa" w:w="70"/>
              <w:left w:type="dxa" w:w="100"/>
              <w:bottom w:type="dxa" w:w="70"/>
              <w:right w:type="dxa" w:w="100"/>
            </w:tcMar>
            <w:vAlign w:val="center"/>
          </w:tcPr>
          <w:p>
            <w:pPr>
              <w:spacing w:after="25" w:before="25" w:line="280" w:lineRule="auto"/>
              <w:jc w:val="left"/>
            </w:pPr>
            <w:r>
              <w:rPr>
                <w:rFonts w:ascii="맑은 고딕" w:cs="맑은 고딕" w:eastAsia="맑은 고딕" w:hAnsi="맑은 고딕"/>
                <w:b w:val="false"/>
                <w:bCs w:val="false"/>
                <w:color w:val="000000"/>
                <w:sz w:val="18"/>
                <w:szCs w:val="18"/>
              </w:rPr>
              <w:t xml:space="preserve">Top-talent 유지</w:t>
            </w:r>
          </w:p>
        </w:tc>
        <w:tc>
          <w:tcPr>
            <w:tcW w:type="dxa" w:w="1271"/>
            <w:tcBorders>
              <w:top w:val="single" w:color="808080" w:sz="4"/>
              <w:left w:val="single" w:color="808080" w:sz="4"/>
              <w:bottom w:val="single" w:color="808080" w:sz="4"/>
              <w:right w:val="single" w:color="808080" w:sz="4"/>
            </w:tcBorders>
            <w:tcMar>
              <w:top w:type="dxa" w:w="70"/>
              <w:left w:type="dxa" w:w="100"/>
              <w:bottom w:type="dxa" w:w="70"/>
              <w:right w:type="dxa" w:w="100"/>
            </w:tcMar>
            <w:vAlign w:val="center"/>
          </w:tcPr>
          <w:p>
            <w:pPr>
              <w:spacing w:after="25" w:before="25" w:line="280" w:lineRule="auto"/>
              <w:jc w:val="left"/>
            </w:pPr>
            <w:r>
              <w:rPr>
                <w:rFonts w:ascii="맑은 고딕" w:cs="맑은 고딕" w:eastAsia="맑은 고딕" w:hAnsi="맑은 고딕"/>
                <w:b w:val="false"/>
                <w:bCs w:val="false"/>
                <w:color w:val="000000"/>
                <w:sz w:val="18"/>
                <w:szCs w:val="18"/>
              </w:rPr>
              <w:t xml:space="preserve">Bar Raiser</w:t>
            </w:r>
          </w:p>
        </w:tc>
        <w:tc>
          <w:tcPr>
            <w:tcW w:type="dxa" w:w="1271"/>
            <w:tcBorders>
              <w:top w:val="single" w:color="808080" w:sz="4"/>
              <w:left w:val="single" w:color="808080" w:sz="4"/>
              <w:bottom w:val="single" w:color="808080" w:sz="4"/>
              <w:right w:val="single" w:color="808080" w:sz="4"/>
            </w:tcBorders>
            <w:tcMar>
              <w:top w:type="dxa" w:w="70"/>
              <w:left w:type="dxa" w:w="100"/>
              <w:bottom w:type="dxa" w:w="70"/>
              <w:right w:type="dxa" w:w="100"/>
            </w:tcMar>
            <w:vAlign w:val="center"/>
          </w:tcPr>
          <w:p>
            <w:pPr>
              <w:spacing w:after="25" w:before="25" w:line="280" w:lineRule="auto"/>
              <w:jc w:val="left"/>
            </w:pPr>
            <w:r>
              <w:rPr>
                <w:rFonts w:ascii="맑은 고딕" w:cs="맑은 고딕" w:eastAsia="맑은 고딕" w:hAnsi="맑은 고딕"/>
                <w:b w:val="false"/>
                <w:bCs w:val="false"/>
                <w:color w:val="000000"/>
                <w:sz w:val="18"/>
                <w:szCs w:val="18"/>
              </w:rPr>
              <w:t xml:space="preserve">Skills Inference</w:t>
            </w:r>
          </w:p>
        </w:tc>
      </w:tr>
    </w:tbl>
    <w:p>
      <w:pPr>
        <w:spacing w:after="160" w:before="80" w:line="300" w:lineRule="auto"/>
        <w:jc w:val="center"/>
      </w:pPr>
      <w:r>
        <w:rPr>
          <w:rFonts w:ascii="맑은 고딕" w:cs="맑은 고딕" w:eastAsia="맑은 고딕" w:hAnsi="맑은 고딕"/>
          <w:b/>
          <w:bCs/>
          <w:color w:val="404040"/>
          <w:sz w:val="19"/>
          <w:szCs w:val="19"/>
        </w:rPr>
        <w:t xml:space="preserve">[표 1] 글로벌 6개사 개인성과 평가제도 비교</w:t>
      </w:r>
    </w:p>
    <w:p>
      <w:pPr>
        <w:pStyle w:val="Heading2"/>
        <w:spacing w:after="140" w:before="320" w:line="360" w:lineRule="auto"/>
      </w:pPr>
      <w:r>
        <w:rPr>
          <w:rFonts w:ascii="맑은 고딕" w:cs="맑은 고딕" w:eastAsia="맑은 고딕" w:hAnsi="맑은 고딕"/>
          <w:b/>
          <w:bCs/>
          <w:color w:val="1F3864"/>
          <w:sz w:val="25"/>
          <w:szCs w:val="25"/>
        </w:rPr>
        <w:t xml:space="preserve">8. 6개사 사례를 가로지르는 다섯 가지 공통 패턴</w:t>
      </w:r>
    </w:p>
    <w:p>
      <w:pPr>
        <w:pStyle w:val="Heading3"/>
        <w:spacing w:after="80" w:before="200" w:line="360" w:lineRule="auto"/>
      </w:pPr>
      <w:r>
        <w:rPr>
          <w:rFonts w:ascii="맑은 고딕" w:cs="맑은 고딕" w:eastAsia="맑은 고딕" w:hAnsi="맑은 고딕"/>
          <w:b/>
          <w:bCs/>
          <w:color w:val="2F5496"/>
          <w:sz w:val="22"/>
          <w:szCs w:val="22"/>
        </w:rPr>
        <w:t xml:space="preserve">(1) 평가 빈도의 분산화</w:t>
      </w:r>
    </w:p>
    <w:p>
      <w:pPr>
        <w:spacing w:after="100" w:before="0" w:line="384" w:lineRule="auto"/>
        <w:ind w:firstLine="240"/>
        <w:jc w:val="both"/>
      </w:pPr>
      <w:r>
        <w:rPr>
          <w:rFonts w:ascii="맑은 고딕" w:cs="맑은 고딕" w:eastAsia="맑은 고딕" w:hAnsi="맑은 고딕"/>
          <w:b w:val="false"/>
          <w:bCs w:val="false"/>
          <w:color w:val="000000"/>
          <w:sz w:val="22"/>
          <w:szCs w:val="22"/>
        </w:rPr>
        <w:t xml:space="preserve">연 1회 단일 이벤트에서 분기·월간·수시로 평가의 무게가 분산되었다. Google·Microsoft·Adobe·IBM 모두 분기 단위 대화를 핵심으로 한다. Amazon은 주간 1대 1, Netflix는 상시 대화가 표준이다. 평가는 더 이상 ‘12월의 행사’가 아니다.</w:t>
      </w:r>
    </w:p>
    <w:p>
      <w:pPr>
        <w:pStyle w:val="Heading3"/>
        <w:spacing w:after="80" w:before="200" w:line="360" w:lineRule="auto"/>
      </w:pPr>
      <w:r>
        <w:rPr>
          <w:rFonts w:ascii="맑은 고딕" w:cs="맑은 고딕" w:eastAsia="맑은 고딕" w:hAnsi="맑은 고딕"/>
          <w:b/>
          <w:bCs/>
          <w:color w:val="2F5496"/>
          <w:sz w:val="22"/>
          <w:szCs w:val="22"/>
        </w:rPr>
        <w:t xml:space="preserve">(2) 등급의 영향력 약화</w:t>
      </w:r>
    </w:p>
    <w:p>
      <w:pPr>
        <w:spacing w:after="100" w:before="0" w:line="384" w:lineRule="auto"/>
        <w:ind w:firstLine="240"/>
        <w:jc w:val="both"/>
      </w:pPr>
      <w:r>
        <w:rPr>
          <w:rFonts w:ascii="맑은 고딕" w:cs="맑은 고딕" w:eastAsia="맑은 고딕" w:hAnsi="맑은 고딕"/>
          <w:b w:val="false"/>
          <w:bCs w:val="false"/>
          <w:color w:val="000000"/>
          <w:sz w:val="22"/>
          <w:szCs w:val="22"/>
        </w:rPr>
        <w:t xml:space="preserve">Microsoft·Adobe·Netflix가 공식 등급을 폐지했다. Google과 IBM은 등급을 ‘임팩트 서술’로 재정의했다. Amazon만 등급제를 유지하지만 16개 LP 행동평가로 단순 점수를 보완한다. 즉, 단일 등급으로 사람을 환원하는 시대가 끝나고 있다.</w:t>
      </w:r>
    </w:p>
    <w:p>
      <w:pPr>
        <w:pStyle w:val="Heading3"/>
        <w:spacing w:after="80" w:before="200" w:line="360" w:lineRule="auto"/>
      </w:pPr>
      <w:r>
        <w:rPr>
          <w:rFonts w:ascii="맑은 고딕" w:cs="맑은 고딕" w:eastAsia="맑은 고딕" w:hAnsi="맑은 고딕"/>
          <w:b/>
          <w:bCs/>
          <w:color w:val="2F5496"/>
          <w:sz w:val="22"/>
          <w:szCs w:val="22"/>
        </w:rPr>
        <w:t xml:space="preserve">(3) 정보원의 다원화</w:t>
      </w:r>
    </w:p>
    <w:p>
      <w:pPr>
        <w:spacing w:after="100" w:before="0" w:line="384" w:lineRule="auto"/>
        <w:ind w:firstLine="240"/>
        <w:jc w:val="both"/>
      </w:pPr>
      <w:r>
        <w:rPr>
          <w:rFonts w:ascii="맑은 고딕" w:cs="맑은 고딕" w:eastAsia="맑은 고딕" w:hAnsi="맑은 고딕"/>
          <w:b w:val="false"/>
          <w:bCs w:val="false"/>
          <w:color w:val="000000"/>
          <w:sz w:val="22"/>
          <w:szCs w:val="22"/>
        </w:rPr>
        <w:t xml:space="preserve">상사 단독에서 360도, 셀프, 시스템 데이터, 동료 인정으로 확장되었다. Google의 Googlegeist, Microsoft의 MES, IBM의 ACE 앱, Netflix의 Start/Stop/Continue가 그 예다. 평가는 한 사람의 시각이 아닌 다수의 시각을 종합하는 활동으로 진화했다.</w:t>
      </w:r>
    </w:p>
    <w:p>
      <w:pPr>
        <w:pStyle w:val="Heading3"/>
        <w:spacing w:after="80" w:before="200" w:line="360" w:lineRule="auto"/>
      </w:pPr>
      <w:r>
        <w:rPr>
          <w:rFonts w:ascii="맑은 고딕" w:cs="맑은 고딕" w:eastAsia="맑은 고딕" w:hAnsi="맑은 고딕"/>
          <w:b/>
          <w:bCs/>
          <w:color w:val="2F5496"/>
          <w:sz w:val="22"/>
          <w:szCs w:val="22"/>
        </w:rPr>
        <w:t xml:space="preserve">(4) 매니저 코칭 역량의 시스템화</w:t>
      </w:r>
    </w:p>
    <w:p>
      <w:pPr>
        <w:spacing w:after="100" w:before="0" w:line="384" w:lineRule="auto"/>
        <w:ind w:firstLine="240"/>
        <w:jc w:val="both"/>
      </w:pPr>
      <w:r>
        <w:rPr>
          <w:rFonts w:ascii="맑은 고딕" w:cs="맑은 고딕" w:eastAsia="맑은 고딕" w:hAnsi="맑은 고딕"/>
          <w:b w:val="false"/>
          <w:bCs w:val="false"/>
          <w:color w:val="000000"/>
          <w:sz w:val="22"/>
          <w:szCs w:val="22"/>
        </w:rPr>
        <w:t xml:space="preserve">매니저의 ‘대화 빈도와 품질’ 자체가 평가지표로 편입되었다. Microsoft MES, Adobe Check-in Resources, Google Project Oxygen이 대표 사례다. 매니저가 ‘평가하는 자’에서 ‘코칭하는 자’로 재정의되었다. Aguinis(2019)가 말한 ‘성과관리 사이클’의 중심에 매니저의 코칭이 자리잡았다.</w:t>
      </w:r>
    </w:p>
    <w:p>
      <w:pPr>
        <w:pStyle w:val="Heading3"/>
        <w:spacing w:after="80" w:before="200" w:line="360" w:lineRule="auto"/>
      </w:pPr>
      <w:r>
        <w:rPr>
          <w:rFonts w:ascii="맑은 고딕" w:cs="맑은 고딕" w:eastAsia="맑은 고딕" w:hAnsi="맑은 고딕"/>
          <w:b/>
          <w:bCs/>
          <w:color w:val="2F5496"/>
          <w:sz w:val="22"/>
          <w:szCs w:val="22"/>
        </w:rPr>
        <w:t xml:space="preserve">(5) 평가와 보상의 분리 또는 느슨한 결합</w:t>
      </w:r>
    </w:p>
    <w:p>
      <w:pPr>
        <w:spacing w:after="100" w:before="0" w:line="384" w:lineRule="auto"/>
        <w:ind w:firstLine="240"/>
        <w:jc w:val="both"/>
      </w:pPr>
      <w:r>
        <w:rPr>
          <w:rFonts w:ascii="맑은 고딕" w:cs="맑은 고딕" w:eastAsia="맑은 고딕" w:hAnsi="맑은 고딕"/>
          <w:b w:val="false"/>
          <w:bCs w:val="false"/>
          <w:color w:val="000000"/>
          <w:sz w:val="22"/>
          <w:szCs w:val="22"/>
        </w:rPr>
        <w:t xml:space="preserve">Adobe와 Netflix가 명시적 분리를, Microsoft와 Google이 ‘서술형 + Calibration’으로 자동 공식을 해체했다. IBM은 다중 input 모델로 단일 등급의 영향력을 약화시켰다. Amazon만 평가-보상 직결을 유지한다. 즉, ‘평가 등급 = 보상’이라는 한 세기의 공식이 글로벌 차원에서 해체되고 있다.</w:t>
      </w:r>
    </w:p>
    <w:p>
      <w:pPr>
        <w:pStyle w:val="Heading1"/>
        <w:pageBreakBefore/>
        <w:pBdr>
          <w:bottom w:val="single" w:color="1F3864" w:sz="10" w:space="8"/>
        </w:pBdr>
        <w:spacing w:after="240" w:before="200" w:line="360" w:lineRule="auto"/>
      </w:pPr>
      <w:r>
        <w:rPr>
          <w:rFonts w:ascii="맑은 고딕" w:cs="맑은 고딕" w:eastAsia="맑은 고딕" w:hAnsi="맑은 고딕"/>
          <w:b/>
          <w:bCs/>
          <w:color w:val="1F3864"/>
          <w:sz w:val="30"/>
          <w:szCs w:val="30"/>
        </w:rPr>
        <w:t xml:space="preserve">Ⅲ. 한국 기업의 개인성과 평가 문제점</w:t>
      </w:r>
    </w:p>
    <w:p>
      <w:pPr>
        <w:spacing w:after="100" w:before="0" w:line="384" w:lineRule="auto"/>
        <w:ind w:firstLine="240"/>
        <w:jc w:val="both"/>
      </w:pPr>
      <w:r>
        <w:rPr>
          <w:rFonts w:ascii="맑은 고딕" w:cs="맑은 고딕" w:eastAsia="맑은 고딕" w:hAnsi="맑은 고딕"/>
          <w:b w:val="false"/>
          <w:bCs w:val="false"/>
          <w:color w:val="000000"/>
          <w:sz w:val="22"/>
          <w:szCs w:val="22"/>
        </w:rPr>
        <w:t xml:space="preserve">한국 기업의 평가제도는 1990년대 후반부터 ‘성과주의’의 깃발 아래 도입되어 왔다. 그러나 30년이 지난 지금도 임직원·매니저·HR 모두의 만족도는 낮다. 본 장은 한국 기업의 일곱 가지 구조적 문제를 정리한다.</w:t>
      </w:r>
    </w:p>
    <w:p>
      <w:pPr>
        <w:pStyle w:val="Heading2"/>
        <w:spacing w:after="140" w:before="320" w:line="360" w:lineRule="auto"/>
      </w:pPr>
      <w:r>
        <w:rPr>
          <w:rFonts w:ascii="맑은 고딕" w:cs="맑은 고딕" w:eastAsia="맑은 고딕" w:hAnsi="맑은 고딕"/>
          <w:b/>
          <w:bCs/>
          <w:color w:val="1F3864"/>
          <w:sz w:val="25"/>
          <w:szCs w:val="25"/>
        </w:rPr>
        <w:t xml:space="preserve">1. 일곱 가지 구조적 문제</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400"/>
        <w:gridCol w:w="2200"/>
        <w:gridCol w:w="3213"/>
        <w:gridCol w:w="3213"/>
      </w:tblGrid>
      <w:tr>
        <w:trPr>
          <w:tblHeader/>
        </w:trPr>
        <w:tc>
          <w:tcPr>
            <w:tcW w:type="dxa" w:w="400"/>
            <w:tcBorders>
              <w:top w:val="single" w:color="808080" w:sz="4"/>
              <w:left w:val="single" w:color="808080" w:sz="4"/>
              <w:bottom w:val="single" w:color="808080" w:sz="4"/>
              <w:right w:val="single" w:color="808080" w:sz="4"/>
            </w:tcBorders>
            <w:shd w:fill="1F3864" w:color="auto" w:val="clear"/>
            <w:tcMar>
              <w:top w:type="dxa" w:w="70"/>
              <w:left w:type="dxa" w:w="100"/>
              <w:bottom w:type="dxa" w:w="70"/>
              <w:right w:type="dxa" w:w="100"/>
            </w:tcMar>
            <w:vAlign w:val="center"/>
          </w:tcPr>
          <w:p>
            <w:pPr>
              <w:spacing w:after="25" w:before="25" w:line="280" w:lineRule="auto"/>
              <w:jc w:val="center"/>
            </w:pPr>
            <w:r>
              <w:rPr>
                <w:rFonts w:ascii="맑은 고딕" w:cs="맑은 고딕" w:eastAsia="맑은 고딕" w:hAnsi="맑은 고딕"/>
                <w:b/>
                <w:bCs/>
                <w:color w:val="FFFFFF"/>
                <w:sz w:val="19"/>
                <w:szCs w:val="19"/>
              </w:rPr>
              <w:t xml:space="preserve">#</w:t>
            </w:r>
          </w:p>
        </w:tc>
        <w:tc>
          <w:tcPr>
            <w:tcW w:type="dxa" w:w="2200"/>
            <w:tcBorders>
              <w:top w:val="single" w:color="808080" w:sz="4"/>
              <w:left w:val="single" w:color="808080" w:sz="4"/>
              <w:bottom w:val="single" w:color="808080" w:sz="4"/>
              <w:right w:val="single" w:color="808080" w:sz="4"/>
            </w:tcBorders>
            <w:shd w:fill="1F3864" w:color="auto" w:val="clear"/>
            <w:tcMar>
              <w:top w:type="dxa" w:w="70"/>
              <w:left w:type="dxa" w:w="100"/>
              <w:bottom w:type="dxa" w:w="70"/>
              <w:right w:type="dxa" w:w="100"/>
            </w:tcMar>
            <w:vAlign w:val="center"/>
          </w:tcPr>
          <w:p>
            <w:pPr>
              <w:spacing w:after="25" w:before="25" w:line="280" w:lineRule="auto"/>
              <w:jc w:val="center"/>
            </w:pPr>
            <w:r>
              <w:rPr>
                <w:rFonts w:ascii="맑은 고딕" w:cs="맑은 고딕" w:eastAsia="맑은 고딕" w:hAnsi="맑은 고딕"/>
                <w:b/>
                <w:bCs/>
                <w:color w:val="FFFFFF"/>
                <w:sz w:val="19"/>
                <w:szCs w:val="19"/>
              </w:rPr>
              <w:t xml:space="preserve">문제 영역</w:t>
            </w:r>
          </w:p>
        </w:tc>
        <w:tc>
          <w:tcPr>
            <w:tcW w:type="dxa" w:w="3213"/>
            <w:tcBorders>
              <w:top w:val="single" w:color="808080" w:sz="4"/>
              <w:left w:val="single" w:color="808080" w:sz="4"/>
              <w:bottom w:val="single" w:color="808080" w:sz="4"/>
              <w:right w:val="single" w:color="808080" w:sz="4"/>
            </w:tcBorders>
            <w:shd w:fill="1F3864" w:color="auto" w:val="clear"/>
            <w:tcMar>
              <w:top w:type="dxa" w:w="70"/>
              <w:left w:type="dxa" w:w="100"/>
              <w:bottom w:type="dxa" w:w="70"/>
              <w:right w:type="dxa" w:w="100"/>
            </w:tcMar>
            <w:vAlign w:val="center"/>
          </w:tcPr>
          <w:p>
            <w:pPr>
              <w:spacing w:after="25" w:before="25" w:line="280" w:lineRule="auto"/>
              <w:jc w:val="center"/>
            </w:pPr>
            <w:r>
              <w:rPr>
                <w:rFonts w:ascii="맑은 고딕" w:cs="맑은 고딕" w:eastAsia="맑은 고딕" w:hAnsi="맑은 고딕"/>
                <w:b/>
                <w:bCs/>
                <w:color w:val="FFFFFF"/>
                <w:sz w:val="19"/>
                <w:szCs w:val="19"/>
              </w:rPr>
              <w:t xml:space="preserve">작동 메커니즘</w:t>
            </w:r>
          </w:p>
        </w:tc>
        <w:tc>
          <w:tcPr>
            <w:tcW w:type="dxa" w:w="3213"/>
            <w:tcBorders>
              <w:top w:val="single" w:color="808080" w:sz="4"/>
              <w:left w:val="single" w:color="808080" w:sz="4"/>
              <w:bottom w:val="single" w:color="808080" w:sz="4"/>
              <w:right w:val="single" w:color="808080" w:sz="4"/>
            </w:tcBorders>
            <w:shd w:fill="1F3864" w:color="auto" w:val="clear"/>
            <w:tcMar>
              <w:top w:type="dxa" w:w="70"/>
              <w:left w:type="dxa" w:w="100"/>
              <w:bottom w:type="dxa" w:w="70"/>
              <w:right w:type="dxa" w:w="100"/>
            </w:tcMar>
            <w:vAlign w:val="center"/>
          </w:tcPr>
          <w:p>
            <w:pPr>
              <w:spacing w:after="25" w:before="25" w:line="280" w:lineRule="auto"/>
              <w:jc w:val="center"/>
            </w:pPr>
            <w:r>
              <w:rPr>
                <w:rFonts w:ascii="맑은 고딕" w:cs="맑은 고딕" w:eastAsia="맑은 고딕" w:hAnsi="맑은 고딕"/>
                <w:b/>
                <w:bCs/>
                <w:color w:val="FFFFFF"/>
                <w:sz w:val="19"/>
                <w:szCs w:val="19"/>
              </w:rPr>
              <w:t xml:space="preserve">귀결되는 폐해</w:t>
            </w:r>
          </w:p>
        </w:tc>
      </w:tr>
      <w:tr>
        <w:tc>
          <w:tcPr>
            <w:tcW w:type="dxa" w:w="400"/>
            <w:tcBorders>
              <w:top w:val="single" w:color="808080" w:sz="4"/>
              <w:left w:val="single" w:color="808080" w:sz="4"/>
              <w:bottom w:val="single" w:color="808080" w:sz="4"/>
              <w:right w:val="single" w:color="808080" w:sz="4"/>
            </w:tcBorders>
            <w:shd w:fill="E7EEF8" w:color="auto" w:val="clear"/>
            <w:tcMar>
              <w:top w:type="dxa" w:w="70"/>
              <w:left w:type="dxa" w:w="100"/>
              <w:bottom w:type="dxa" w:w="70"/>
              <w:right w:type="dxa" w:w="100"/>
            </w:tcMar>
            <w:vAlign w:val="center"/>
          </w:tcPr>
          <w:p>
            <w:pPr>
              <w:spacing w:after="25" w:before="25" w:line="280" w:lineRule="auto"/>
              <w:jc w:val="center"/>
            </w:pPr>
            <w:r>
              <w:rPr>
                <w:rFonts w:ascii="맑은 고딕" w:cs="맑은 고딕" w:eastAsia="맑은 고딕" w:hAnsi="맑은 고딕"/>
                <w:b/>
                <w:bCs/>
                <w:color w:val="000000"/>
                <w:sz w:val="19"/>
                <w:szCs w:val="19"/>
              </w:rPr>
              <w:t xml:space="preserve">1</w:t>
            </w:r>
          </w:p>
        </w:tc>
        <w:tc>
          <w:tcPr>
            <w:tcW w:type="dxa" w:w="2200"/>
            <w:tcBorders>
              <w:top w:val="single" w:color="808080" w:sz="4"/>
              <w:left w:val="single" w:color="808080" w:sz="4"/>
              <w:bottom w:val="single" w:color="808080" w:sz="4"/>
              <w:right w:val="single" w:color="808080" w:sz="4"/>
            </w:tcBorders>
            <w:shd w:fill="E7EEF8" w:color="auto" w:val="clear"/>
            <w:tcMar>
              <w:top w:type="dxa" w:w="70"/>
              <w:left w:type="dxa" w:w="100"/>
              <w:bottom w:type="dxa" w:w="70"/>
              <w:right w:type="dxa" w:w="100"/>
            </w:tcMar>
            <w:vAlign w:val="center"/>
          </w:tcPr>
          <w:p>
            <w:pPr>
              <w:spacing w:after="25" w:before="25" w:line="280" w:lineRule="auto"/>
              <w:jc w:val="left"/>
            </w:pPr>
            <w:r>
              <w:rPr>
                <w:rFonts w:ascii="맑은 고딕" w:cs="맑은 고딕" w:eastAsia="맑은 고딕" w:hAnsi="맑은 고딕"/>
                <w:b/>
                <w:bCs/>
                <w:color w:val="000000"/>
                <w:sz w:val="19"/>
                <w:szCs w:val="19"/>
              </w:rPr>
              <w:t xml:space="preserve">연공서열 중심 인사제도</w:t>
            </w:r>
          </w:p>
        </w:tc>
        <w:tc>
          <w:tcPr>
            <w:tcW w:type="dxa" w:w="3213"/>
            <w:tcBorders>
              <w:top w:val="single" w:color="808080" w:sz="4"/>
              <w:left w:val="single" w:color="808080" w:sz="4"/>
              <w:bottom w:val="single" w:color="808080" w:sz="4"/>
              <w:right w:val="single" w:color="808080" w:sz="4"/>
            </w:tcBorders>
            <w:tcMar>
              <w:top w:type="dxa" w:w="70"/>
              <w:left w:type="dxa" w:w="100"/>
              <w:bottom w:type="dxa" w:w="70"/>
              <w:right w:type="dxa" w:w="100"/>
            </w:tcMar>
            <w:vAlign w:val="center"/>
          </w:tcPr>
          <w:p>
            <w:pPr>
              <w:spacing w:after="25" w:before="25" w:line="280" w:lineRule="auto"/>
              <w:jc w:val="left"/>
            </w:pPr>
            <w:r>
              <w:rPr>
                <w:rFonts w:ascii="맑은 고딕" w:cs="맑은 고딕" w:eastAsia="맑은 고딕" w:hAnsi="맑은 고딕"/>
                <w:b w:val="false"/>
                <w:bCs w:val="false"/>
                <w:color w:val="000000"/>
                <w:sz w:val="19"/>
                <w:szCs w:val="19"/>
              </w:rPr>
              <w:t xml:space="preserve">호봉제·자동승급·근속수당이 평가 결과보다 보상에 더 큰 영향을 미친다.</w:t>
            </w:r>
          </w:p>
        </w:tc>
        <w:tc>
          <w:tcPr>
            <w:tcW w:type="dxa" w:w="3213"/>
            <w:tcBorders>
              <w:top w:val="single" w:color="808080" w:sz="4"/>
              <w:left w:val="single" w:color="808080" w:sz="4"/>
              <w:bottom w:val="single" w:color="808080" w:sz="4"/>
              <w:right w:val="single" w:color="808080" w:sz="4"/>
            </w:tcBorders>
            <w:tcMar>
              <w:top w:type="dxa" w:w="70"/>
              <w:left w:type="dxa" w:w="100"/>
              <w:bottom w:type="dxa" w:w="70"/>
              <w:right w:type="dxa" w:w="100"/>
            </w:tcMar>
            <w:vAlign w:val="center"/>
          </w:tcPr>
          <w:p>
            <w:pPr>
              <w:spacing w:after="25" w:before="25" w:line="280" w:lineRule="auto"/>
              <w:jc w:val="left"/>
            </w:pPr>
            <w:r>
              <w:rPr>
                <w:rFonts w:ascii="맑은 고딕" w:cs="맑은 고딕" w:eastAsia="맑은 고딕" w:hAnsi="맑은 고딕"/>
                <w:b w:val="false"/>
                <w:bCs w:val="false"/>
                <w:color w:val="000000"/>
                <w:sz w:val="19"/>
                <w:szCs w:val="19"/>
              </w:rPr>
              <w:t xml:space="preserve">평가의 영향력 약화, 고성과자 동기 저하, 저성과자 안주</w:t>
            </w:r>
          </w:p>
        </w:tc>
      </w:tr>
      <w:tr>
        <w:tc>
          <w:tcPr>
            <w:tcW w:type="dxa" w:w="400"/>
            <w:tcBorders>
              <w:top w:val="single" w:color="808080" w:sz="4"/>
              <w:left w:val="single" w:color="808080" w:sz="4"/>
              <w:bottom w:val="single" w:color="808080" w:sz="4"/>
              <w:right w:val="single" w:color="808080" w:sz="4"/>
            </w:tcBorders>
            <w:shd w:fill="E7EEF8" w:color="auto" w:val="clear"/>
            <w:tcMar>
              <w:top w:type="dxa" w:w="70"/>
              <w:left w:type="dxa" w:w="100"/>
              <w:bottom w:type="dxa" w:w="70"/>
              <w:right w:type="dxa" w:w="100"/>
            </w:tcMar>
            <w:vAlign w:val="center"/>
          </w:tcPr>
          <w:p>
            <w:pPr>
              <w:spacing w:after="25" w:before="25" w:line="280" w:lineRule="auto"/>
              <w:jc w:val="center"/>
            </w:pPr>
            <w:r>
              <w:rPr>
                <w:rFonts w:ascii="맑은 고딕" w:cs="맑은 고딕" w:eastAsia="맑은 고딕" w:hAnsi="맑은 고딕"/>
                <w:b/>
                <w:bCs/>
                <w:color w:val="000000"/>
                <w:sz w:val="19"/>
                <w:szCs w:val="19"/>
              </w:rPr>
              <w:t xml:space="preserve">2</w:t>
            </w:r>
          </w:p>
        </w:tc>
        <w:tc>
          <w:tcPr>
            <w:tcW w:type="dxa" w:w="2200"/>
            <w:tcBorders>
              <w:top w:val="single" w:color="808080" w:sz="4"/>
              <w:left w:val="single" w:color="808080" w:sz="4"/>
              <w:bottom w:val="single" w:color="808080" w:sz="4"/>
              <w:right w:val="single" w:color="808080" w:sz="4"/>
            </w:tcBorders>
            <w:shd w:fill="E7EEF8" w:color="auto" w:val="clear"/>
            <w:tcMar>
              <w:top w:type="dxa" w:w="70"/>
              <w:left w:type="dxa" w:w="100"/>
              <w:bottom w:type="dxa" w:w="70"/>
              <w:right w:type="dxa" w:w="100"/>
            </w:tcMar>
            <w:vAlign w:val="center"/>
          </w:tcPr>
          <w:p>
            <w:pPr>
              <w:spacing w:after="25" w:before="25" w:line="280" w:lineRule="auto"/>
              <w:jc w:val="left"/>
            </w:pPr>
            <w:r>
              <w:rPr>
                <w:rFonts w:ascii="맑은 고딕" w:cs="맑은 고딕" w:eastAsia="맑은 고딕" w:hAnsi="맑은 고딕"/>
                <w:b/>
                <w:bCs/>
                <w:color w:val="000000"/>
                <w:sz w:val="19"/>
                <w:szCs w:val="19"/>
              </w:rPr>
              <w:t xml:space="preserve">상사 주관 평가 오류</w:t>
            </w:r>
          </w:p>
        </w:tc>
        <w:tc>
          <w:tcPr>
            <w:tcW w:type="dxa" w:w="3213"/>
            <w:tcBorders>
              <w:top w:val="single" w:color="808080" w:sz="4"/>
              <w:left w:val="single" w:color="808080" w:sz="4"/>
              <w:bottom w:val="single" w:color="808080" w:sz="4"/>
              <w:right w:val="single" w:color="808080" w:sz="4"/>
            </w:tcBorders>
            <w:tcMar>
              <w:top w:type="dxa" w:w="70"/>
              <w:left w:type="dxa" w:w="100"/>
              <w:bottom w:type="dxa" w:w="70"/>
              <w:right w:type="dxa" w:w="100"/>
            </w:tcMar>
            <w:vAlign w:val="center"/>
          </w:tcPr>
          <w:p>
            <w:pPr>
              <w:spacing w:after="25" w:before="25" w:line="280" w:lineRule="auto"/>
              <w:jc w:val="left"/>
            </w:pPr>
            <w:r>
              <w:rPr>
                <w:rFonts w:ascii="맑은 고딕" w:cs="맑은 고딕" w:eastAsia="맑은 고딕" w:hAnsi="맑은 고딕"/>
                <w:b w:val="false"/>
                <w:bCs w:val="false"/>
                <w:color w:val="000000"/>
                <w:sz w:val="19"/>
                <w:szCs w:val="19"/>
              </w:rPr>
              <w:t xml:space="preserve">Halo Effect, Leniency Error, 중심화 오류, 최신효과가 동시에 작동한다.</w:t>
            </w:r>
          </w:p>
        </w:tc>
        <w:tc>
          <w:tcPr>
            <w:tcW w:type="dxa" w:w="3213"/>
            <w:tcBorders>
              <w:top w:val="single" w:color="808080" w:sz="4"/>
              <w:left w:val="single" w:color="808080" w:sz="4"/>
              <w:bottom w:val="single" w:color="808080" w:sz="4"/>
              <w:right w:val="single" w:color="808080" w:sz="4"/>
            </w:tcBorders>
            <w:tcMar>
              <w:top w:type="dxa" w:w="70"/>
              <w:left w:type="dxa" w:w="100"/>
              <w:bottom w:type="dxa" w:w="70"/>
              <w:right w:type="dxa" w:w="100"/>
            </w:tcMar>
            <w:vAlign w:val="center"/>
          </w:tcPr>
          <w:p>
            <w:pPr>
              <w:spacing w:after="25" w:before="25" w:line="280" w:lineRule="auto"/>
              <w:jc w:val="left"/>
            </w:pPr>
            <w:r>
              <w:rPr>
                <w:rFonts w:ascii="맑은 고딕" w:cs="맑은 고딕" w:eastAsia="맑은 고딕" w:hAnsi="맑은 고딕"/>
                <w:b w:val="false"/>
                <w:bCs w:val="false"/>
                <w:color w:val="000000"/>
                <w:sz w:val="19"/>
                <w:szCs w:val="19"/>
              </w:rPr>
              <w:t xml:space="preserve">평가 변별력 상실, 결과 신뢰성 훼손, 고성과자 식별 실패</w:t>
            </w:r>
          </w:p>
        </w:tc>
      </w:tr>
      <w:tr>
        <w:tc>
          <w:tcPr>
            <w:tcW w:type="dxa" w:w="400"/>
            <w:tcBorders>
              <w:top w:val="single" w:color="808080" w:sz="4"/>
              <w:left w:val="single" w:color="808080" w:sz="4"/>
              <w:bottom w:val="single" w:color="808080" w:sz="4"/>
              <w:right w:val="single" w:color="808080" w:sz="4"/>
            </w:tcBorders>
            <w:shd w:fill="E7EEF8" w:color="auto" w:val="clear"/>
            <w:tcMar>
              <w:top w:type="dxa" w:w="70"/>
              <w:left w:type="dxa" w:w="100"/>
              <w:bottom w:type="dxa" w:w="70"/>
              <w:right w:type="dxa" w:w="100"/>
            </w:tcMar>
            <w:vAlign w:val="center"/>
          </w:tcPr>
          <w:p>
            <w:pPr>
              <w:spacing w:after="25" w:before="25" w:line="280" w:lineRule="auto"/>
              <w:jc w:val="center"/>
            </w:pPr>
            <w:r>
              <w:rPr>
                <w:rFonts w:ascii="맑은 고딕" w:cs="맑은 고딕" w:eastAsia="맑은 고딕" w:hAnsi="맑은 고딕"/>
                <w:b/>
                <w:bCs/>
                <w:color w:val="000000"/>
                <w:sz w:val="19"/>
                <w:szCs w:val="19"/>
              </w:rPr>
              <w:t xml:space="preserve">3</w:t>
            </w:r>
          </w:p>
        </w:tc>
        <w:tc>
          <w:tcPr>
            <w:tcW w:type="dxa" w:w="2200"/>
            <w:tcBorders>
              <w:top w:val="single" w:color="808080" w:sz="4"/>
              <w:left w:val="single" w:color="808080" w:sz="4"/>
              <w:bottom w:val="single" w:color="808080" w:sz="4"/>
              <w:right w:val="single" w:color="808080" w:sz="4"/>
            </w:tcBorders>
            <w:shd w:fill="E7EEF8" w:color="auto" w:val="clear"/>
            <w:tcMar>
              <w:top w:type="dxa" w:w="70"/>
              <w:left w:type="dxa" w:w="100"/>
              <w:bottom w:type="dxa" w:w="70"/>
              <w:right w:type="dxa" w:w="100"/>
            </w:tcMar>
            <w:vAlign w:val="center"/>
          </w:tcPr>
          <w:p>
            <w:pPr>
              <w:spacing w:after="25" w:before="25" w:line="280" w:lineRule="auto"/>
              <w:jc w:val="left"/>
            </w:pPr>
            <w:r>
              <w:rPr>
                <w:rFonts w:ascii="맑은 고딕" w:cs="맑은 고딕" w:eastAsia="맑은 고딕" w:hAnsi="맑은 고딕"/>
                <w:b/>
                <w:bCs/>
                <w:color w:val="000000"/>
                <w:sz w:val="19"/>
                <w:szCs w:val="19"/>
              </w:rPr>
              <w:t xml:space="preserve">개인 목표의 불명확성</w:t>
            </w:r>
          </w:p>
        </w:tc>
        <w:tc>
          <w:tcPr>
            <w:tcW w:type="dxa" w:w="3213"/>
            <w:tcBorders>
              <w:top w:val="single" w:color="808080" w:sz="4"/>
              <w:left w:val="single" w:color="808080" w:sz="4"/>
              <w:bottom w:val="single" w:color="808080" w:sz="4"/>
              <w:right w:val="single" w:color="808080" w:sz="4"/>
            </w:tcBorders>
            <w:tcMar>
              <w:top w:type="dxa" w:w="70"/>
              <w:left w:type="dxa" w:w="100"/>
              <w:bottom w:type="dxa" w:w="70"/>
              <w:right w:type="dxa" w:w="100"/>
            </w:tcMar>
            <w:vAlign w:val="center"/>
          </w:tcPr>
          <w:p>
            <w:pPr>
              <w:spacing w:after="25" w:before="25" w:line="280" w:lineRule="auto"/>
              <w:jc w:val="left"/>
            </w:pPr>
            <w:r>
              <w:rPr>
                <w:rFonts w:ascii="맑은 고딕" w:cs="맑은 고딕" w:eastAsia="맑은 고딕" w:hAnsi="맑은 고딕"/>
                <w:b w:val="false"/>
                <w:bCs w:val="false"/>
                <w:color w:val="000000"/>
                <w:sz w:val="19"/>
                <w:szCs w:val="19"/>
              </w:rPr>
              <w:t xml:space="preserve">팀 KPI를 다수 구성원이 똑같이 분담하는 ‘카피·페이스트형 목표’가 반복된다.</w:t>
            </w:r>
          </w:p>
        </w:tc>
        <w:tc>
          <w:tcPr>
            <w:tcW w:type="dxa" w:w="3213"/>
            <w:tcBorders>
              <w:top w:val="single" w:color="808080" w:sz="4"/>
              <w:left w:val="single" w:color="808080" w:sz="4"/>
              <w:bottom w:val="single" w:color="808080" w:sz="4"/>
              <w:right w:val="single" w:color="808080" w:sz="4"/>
            </w:tcBorders>
            <w:tcMar>
              <w:top w:type="dxa" w:w="70"/>
              <w:left w:type="dxa" w:w="100"/>
              <w:bottom w:type="dxa" w:w="70"/>
              <w:right w:type="dxa" w:w="100"/>
            </w:tcMar>
            <w:vAlign w:val="center"/>
          </w:tcPr>
          <w:p>
            <w:pPr>
              <w:spacing w:after="25" w:before="25" w:line="280" w:lineRule="auto"/>
              <w:jc w:val="left"/>
            </w:pPr>
            <w:r>
              <w:rPr>
                <w:rFonts w:ascii="맑은 고딕" w:cs="맑은 고딕" w:eastAsia="맑은 고딕" w:hAnsi="맑은 고딕"/>
                <w:b w:val="false"/>
                <w:bCs w:val="false"/>
                <w:color w:val="000000"/>
                <w:sz w:val="19"/>
                <w:szCs w:val="19"/>
              </w:rPr>
              <w:t xml:space="preserve">개인 기여 식별 불가, 정량 근거 부족, 매니저 ‘인상점수’로 수렴</w:t>
            </w:r>
          </w:p>
        </w:tc>
      </w:tr>
      <w:tr>
        <w:tc>
          <w:tcPr>
            <w:tcW w:type="dxa" w:w="400"/>
            <w:tcBorders>
              <w:top w:val="single" w:color="808080" w:sz="4"/>
              <w:left w:val="single" w:color="808080" w:sz="4"/>
              <w:bottom w:val="single" w:color="808080" w:sz="4"/>
              <w:right w:val="single" w:color="808080" w:sz="4"/>
            </w:tcBorders>
            <w:shd w:fill="E7EEF8" w:color="auto" w:val="clear"/>
            <w:tcMar>
              <w:top w:type="dxa" w:w="70"/>
              <w:left w:type="dxa" w:w="100"/>
              <w:bottom w:type="dxa" w:w="70"/>
              <w:right w:type="dxa" w:w="100"/>
            </w:tcMar>
            <w:vAlign w:val="center"/>
          </w:tcPr>
          <w:p>
            <w:pPr>
              <w:spacing w:after="25" w:before="25" w:line="280" w:lineRule="auto"/>
              <w:jc w:val="center"/>
            </w:pPr>
            <w:r>
              <w:rPr>
                <w:rFonts w:ascii="맑은 고딕" w:cs="맑은 고딕" w:eastAsia="맑은 고딕" w:hAnsi="맑은 고딕"/>
                <w:b/>
                <w:bCs/>
                <w:color w:val="000000"/>
                <w:sz w:val="19"/>
                <w:szCs w:val="19"/>
              </w:rPr>
              <w:t xml:space="preserve">4</w:t>
            </w:r>
          </w:p>
        </w:tc>
        <w:tc>
          <w:tcPr>
            <w:tcW w:type="dxa" w:w="2200"/>
            <w:tcBorders>
              <w:top w:val="single" w:color="808080" w:sz="4"/>
              <w:left w:val="single" w:color="808080" w:sz="4"/>
              <w:bottom w:val="single" w:color="808080" w:sz="4"/>
              <w:right w:val="single" w:color="808080" w:sz="4"/>
            </w:tcBorders>
            <w:shd w:fill="E7EEF8" w:color="auto" w:val="clear"/>
            <w:tcMar>
              <w:top w:type="dxa" w:w="70"/>
              <w:left w:type="dxa" w:w="100"/>
              <w:bottom w:type="dxa" w:w="70"/>
              <w:right w:type="dxa" w:w="100"/>
            </w:tcMar>
            <w:vAlign w:val="center"/>
          </w:tcPr>
          <w:p>
            <w:pPr>
              <w:spacing w:after="25" w:before="25" w:line="280" w:lineRule="auto"/>
              <w:jc w:val="left"/>
            </w:pPr>
            <w:r>
              <w:rPr>
                <w:rFonts w:ascii="맑은 고딕" w:cs="맑은 고딕" w:eastAsia="맑은 고딕" w:hAnsi="맑은 고딕"/>
                <w:b/>
                <w:bCs/>
                <w:color w:val="000000"/>
                <w:sz w:val="19"/>
                <w:szCs w:val="19"/>
              </w:rPr>
              <w:t xml:space="preserve">평가 결과 피드백 부족</w:t>
            </w:r>
          </w:p>
        </w:tc>
        <w:tc>
          <w:tcPr>
            <w:tcW w:type="dxa" w:w="3213"/>
            <w:tcBorders>
              <w:top w:val="single" w:color="808080" w:sz="4"/>
              <w:left w:val="single" w:color="808080" w:sz="4"/>
              <w:bottom w:val="single" w:color="808080" w:sz="4"/>
              <w:right w:val="single" w:color="808080" w:sz="4"/>
            </w:tcBorders>
            <w:tcMar>
              <w:top w:type="dxa" w:w="70"/>
              <w:left w:type="dxa" w:w="100"/>
              <w:bottom w:type="dxa" w:w="70"/>
              <w:right w:type="dxa" w:w="100"/>
            </w:tcMar>
            <w:vAlign w:val="center"/>
          </w:tcPr>
          <w:p>
            <w:pPr>
              <w:spacing w:after="25" w:before="25" w:line="280" w:lineRule="auto"/>
              <w:jc w:val="left"/>
            </w:pPr>
            <w:r>
              <w:rPr>
                <w:rFonts w:ascii="맑은 고딕" w:cs="맑은 고딕" w:eastAsia="맑은 고딕" w:hAnsi="맑은 고딕"/>
                <w:b w:val="false"/>
                <w:bCs w:val="false"/>
                <w:color w:val="000000"/>
                <w:sz w:val="19"/>
                <w:szCs w:val="19"/>
              </w:rPr>
              <w:t xml:space="preserve">연말 평가표 통보 외에 일상적 1대 1이 부재하다.</w:t>
            </w:r>
          </w:p>
        </w:tc>
        <w:tc>
          <w:tcPr>
            <w:tcW w:type="dxa" w:w="3213"/>
            <w:tcBorders>
              <w:top w:val="single" w:color="808080" w:sz="4"/>
              <w:left w:val="single" w:color="808080" w:sz="4"/>
              <w:bottom w:val="single" w:color="808080" w:sz="4"/>
              <w:right w:val="single" w:color="808080" w:sz="4"/>
            </w:tcBorders>
            <w:tcMar>
              <w:top w:type="dxa" w:w="70"/>
              <w:left w:type="dxa" w:w="100"/>
              <w:bottom w:type="dxa" w:w="70"/>
              <w:right w:type="dxa" w:w="100"/>
            </w:tcMar>
            <w:vAlign w:val="center"/>
          </w:tcPr>
          <w:p>
            <w:pPr>
              <w:spacing w:after="25" w:before="25" w:line="280" w:lineRule="auto"/>
              <w:jc w:val="left"/>
            </w:pPr>
            <w:r>
              <w:rPr>
                <w:rFonts w:ascii="맑은 고딕" w:cs="맑은 고딕" w:eastAsia="맑은 고딕" w:hAnsi="맑은 고딕"/>
                <w:b w:val="false"/>
                <w:bCs w:val="false"/>
                <w:color w:val="000000"/>
                <w:sz w:val="19"/>
                <w:szCs w:val="19"/>
              </w:rPr>
              <w:t xml:space="preserve">성과 개선 골든타임 상실, MZ세대의 ‘이유 없는 평가’ 인식</w:t>
            </w:r>
          </w:p>
        </w:tc>
      </w:tr>
      <w:tr>
        <w:tc>
          <w:tcPr>
            <w:tcW w:type="dxa" w:w="400"/>
            <w:tcBorders>
              <w:top w:val="single" w:color="808080" w:sz="4"/>
              <w:left w:val="single" w:color="808080" w:sz="4"/>
              <w:bottom w:val="single" w:color="808080" w:sz="4"/>
              <w:right w:val="single" w:color="808080" w:sz="4"/>
            </w:tcBorders>
            <w:shd w:fill="E7EEF8" w:color="auto" w:val="clear"/>
            <w:tcMar>
              <w:top w:type="dxa" w:w="70"/>
              <w:left w:type="dxa" w:w="100"/>
              <w:bottom w:type="dxa" w:w="70"/>
              <w:right w:type="dxa" w:w="100"/>
            </w:tcMar>
            <w:vAlign w:val="center"/>
          </w:tcPr>
          <w:p>
            <w:pPr>
              <w:spacing w:after="25" w:before="25" w:line="280" w:lineRule="auto"/>
              <w:jc w:val="center"/>
            </w:pPr>
            <w:r>
              <w:rPr>
                <w:rFonts w:ascii="맑은 고딕" w:cs="맑은 고딕" w:eastAsia="맑은 고딕" w:hAnsi="맑은 고딕"/>
                <w:b/>
                <w:bCs/>
                <w:color w:val="000000"/>
                <w:sz w:val="19"/>
                <w:szCs w:val="19"/>
              </w:rPr>
              <w:t xml:space="preserve">5</w:t>
            </w:r>
          </w:p>
        </w:tc>
        <w:tc>
          <w:tcPr>
            <w:tcW w:type="dxa" w:w="2200"/>
            <w:tcBorders>
              <w:top w:val="single" w:color="808080" w:sz="4"/>
              <w:left w:val="single" w:color="808080" w:sz="4"/>
              <w:bottom w:val="single" w:color="808080" w:sz="4"/>
              <w:right w:val="single" w:color="808080" w:sz="4"/>
            </w:tcBorders>
            <w:shd w:fill="E7EEF8" w:color="auto" w:val="clear"/>
            <w:tcMar>
              <w:top w:type="dxa" w:w="70"/>
              <w:left w:type="dxa" w:w="100"/>
              <w:bottom w:type="dxa" w:w="70"/>
              <w:right w:type="dxa" w:w="100"/>
            </w:tcMar>
            <w:vAlign w:val="center"/>
          </w:tcPr>
          <w:p>
            <w:pPr>
              <w:spacing w:after="25" w:before="25" w:line="280" w:lineRule="auto"/>
              <w:jc w:val="left"/>
            </w:pPr>
            <w:r>
              <w:rPr>
                <w:rFonts w:ascii="맑은 고딕" w:cs="맑은 고딕" w:eastAsia="맑은 고딕" w:hAnsi="맑은 고딕"/>
                <w:b/>
                <w:bCs/>
                <w:color w:val="000000"/>
                <w:sz w:val="19"/>
                <w:szCs w:val="19"/>
              </w:rPr>
              <w:t xml:space="preserve">근태·태도 중심 평가</w:t>
            </w:r>
          </w:p>
        </w:tc>
        <w:tc>
          <w:tcPr>
            <w:tcW w:type="dxa" w:w="3213"/>
            <w:tcBorders>
              <w:top w:val="single" w:color="808080" w:sz="4"/>
              <w:left w:val="single" w:color="808080" w:sz="4"/>
              <w:bottom w:val="single" w:color="808080" w:sz="4"/>
              <w:right w:val="single" w:color="808080" w:sz="4"/>
            </w:tcBorders>
            <w:tcMar>
              <w:top w:type="dxa" w:w="70"/>
              <w:left w:type="dxa" w:w="100"/>
              <w:bottom w:type="dxa" w:w="70"/>
              <w:right w:type="dxa" w:w="100"/>
            </w:tcMar>
            <w:vAlign w:val="center"/>
          </w:tcPr>
          <w:p>
            <w:pPr>
              <w:spacing w:after="25" w:before="25" w:line="280" w:lineRule="auto"/>
              <w:jc w:val="left"/>
            </w:pPr>
            <w:r>
              <w:rPr>
                <w:rFonts w:ascii="맑은 고딕" w:cs="맑은 고딕" w:eastAsia="맑은 고딕" w:hAnsi="맑은 고딕"/>
                <w:b w:val="false"/>
                <w:bCs w:val="false"/>
                <w:color w:val="000000"/>
                <w:sz w:val="19"/>
                <w:szCs w:val="19"/>
              </w:rPr>
              <w:t xml:space="preserve">출퇴근·회식 참석·‘우리편’ 여부가 평가에 침투한다.</w:t>
            </w:r>
          </w:p>
        </w:tc>
        <w:tc>
          <w:tcPr>
            <w:tcW w:type="dxa" w:w="3213"/>
            <w:tcBorders>
              <w:top w:val="single" w:color="808080" w:sz="4"/>
              <w:left w:val="single" w:color="808080" w:sz="4"/>
              <w:bottom w:val="single" w:color="808080" w:sz="4"/>
              <w:right w:val="single" w:color="808080" w:sz="4"/>
            </w:tcBorders>
            <w:tcMar>
              <w:top w:type="dxa" w:w="70"/>
              <w:left w:type="dxa" w:w="100"/>
              <w:bottom w:type="dxa" w:w="70"/>
              <w:right w:type="dxa" w:w="100"/>
            </w:tcMar>
            <w:vAlign w:val="center"/>
          </w:tcPr>
          <w:p>
            <w:pPr>
              <w:spacing w:after="25" w:before="25" w:line="280" w:lineRule="auto"/>
              <w:jc w:val="left"/>
            </w:pPr>
            <w:r>
              <w:rPr>
                <w:rFonts w:ascii="맑은 고딕" w:cs="맑은 고딕" w:eastAsia="맑은 고딕" w:hAnsi="맑은 고딕"/>
                <w:b w:val="false"/>
                <w:bCs w:val="false"/>
                <w:color w:val="000000"/>
                <w:sz w:val="19"/>
                <w:szCs w:val="19"/>
              </w:rPr>
              <w:t xml:space="preserve">정치화·줄서기 문화, 다양성 저하, 객관성 신뢰 훼손</w:t>
            </w:r>
          </w:p>
        </w:tc>
      </w:tr>
      <w:tr>
        <w:tc>
          <w:tcPr>
            <w:tcW w:type="dxa" w:w="400"/>
            <w:tcBorders>
              <w:top w:val="single" w:color="808080" w:sz="4"/>
              <w:left w:val="single" w:color="808080" w:sz="4"/>
              <w:bottom w:val="single" w:color="808080" w:sz="4"/>
              <w:right w:val="single" w:color="808080" w:sz="4"/>
            </w:tcBorders>
            <w:shd w:fill="E7EEF8" w:color="auto" w:val="clear"/>
            <w:tcMar>
              <w:top w:type="dxa" w:w="70"/>
              <w:left w:type="dxa" w:w="100"/>
              <w:bottom w:type="dxa" w:w="70"/>
              <w:right w:type="dxa" w:w="100"/>
            </w:tcMar>
            <w:vAlign w:val="center"/>
          </w:tcPr>
          <w:p>
            <w:pPr>
              <w:spacing w:after="25" w:before="25" w:line="280" w:lineRule="auto"/>
              <w:jc w:val="center"/>
            </w:pPr>
            <w:r>
              <w:rPr>
                <w:rFonts w:ascii="맑은 고딕" w:cs="맑은 고딕" w:eastAsia="맑은 고딕" w:hAnsi="맑은 고딕"/>
                <w:b/>
                <w:bCs/>
                <w:color w:val="000000"/>
                <w:sz w:val="19"/>
                <w:szCs w:val="19"/>
              </w:rPr>
              <w:t xml:space="preserve">6</w:t>
            </w:r>
          </w:p>
        </w:tc>
        <w:tc>
          <w:tcPr>
            <w:tcW w:type="dxa" w:w="2200"/>
            <w:tcBorders>
              <w:top w:val="single" w:color="808080" w:sz="4"/>
              <w:left w:val="single" w:color="808080" w:sz="4"/>
              <w:bottom w:val="single" w:color="808080" w:sz="4"/>
              <w:right w:val="single" w:color="808080" w:sz="4"/>
            </w:tcBorders>
            <w:shd w:fill="E7EEF8" w:color="auto" w:val="clear"/>
            <w:tcMar>
              <w:top w:type="dxa" w:w="70"/>
              <w:left w:type="dxa" w:w="100"/>
              <w:bottom w:type="dxa" w:w="70"/>
              <w:right w:type="dxa" w:w="100"/>
            </w:tcMar>
            <w:vAlign w:val="center"/>
          </w:tcPr>
          <w:p>
            <w:pPr>
              <w:spacing w:after="25" w:before="25" w:line="280" w:lineRule="auto"/>
              <w:jc w:val="left"/>
            </w:pPr>
            <w:r>
              <w:rPr>
                <w:rFonts w:ascii="맑은 고딕" w:cs="맑은 고딕" w:eastAsia="맑은 고딕" w:hAnsi="맑은 고딕"/>
                <w:b/>
                <w:bCs/>
                <w:color w:val="000000"/>
                <w:sz w:val="19"/>
                <w:szCs w:val="19"/>
              </w:rPr>
              <w:t xml:space="preserve">저성과자 관리 미흡</w:t>
            </w:r>
          </w:p>
        </w:tc>
        <w:tc>
          <w:tcPr>
            <w:tcW w:type="dxa" w:w="3213"/>
            <w:tcBorders>
              <w:top w:val="single" w:color="808080" w:sz="4"/>
              <w:left w:val="single" w:color="808080" w:sz="4"/>
              <w:bottom w:val="single" w:color="808080" w:sz="4"/>
              <w:right w:val="single" w:color="808080" w:sz="4"/>
            </w:tcBorders>
            <w:tcMar>
              <w:top w:type="dxa" w:w="70"/>
              <w:left w:type="dxa" w:w="100"/>
              <w:bottom w:type="dxa" w:w="70"/>
              <w:right w:type="dxa" w:w="100"/>
            </w:tcMar>
            <w:vAlign w:val="center"/>
          </w:tcPr>
          <w:p>
            <w:pPr>
              <w:spacing w:after="25" w:before="25" w:line="280" w:lineRule="auto"/>
              <w:jc w:val="left"/>
            </w:pPr>
            <w:r>
              <w:rPr>
                <w:rFonts w:ascii="맑은 고딕" w:cs="맑은 고딕" w:eastAsia="맑은 고딕" w:hAnsi="맑은 고딕"/>
                <w:b w:val="false"/>
                <w:bCs w:val="false"/>
                <w:color w:val="000000"/>
                <w:sz w:val="19"/>
                <w:szCs w:val="19"/>
              </w:rPr>
              <w:t xml:space="preserve">‘C/D 등급’만 매년 반복 부여된다. 개선 프로그램은 부재하다.</w:t>
            </w:r>
          </w:p>
        </w:tc>
        <w:tc>
          <w:tcPr>
            <w:tcW w:type="dxa" w:w="3213"/>
            <w:tcBorders>
              <w:top w:val="single" w:color="808080" w:sz="4"/>
              <w:left w:val="single" w:color="808080" w:sz="4"/>
              <w:bottom w:val="single" w:color="808080" w:sz="4"/>
              <w:right w:val="single" w:color="808080" w:sz="4"/>
            </w:tcBorders>
            <w:tcMar>
              <w:top w:type="dxa" w:w="70"/>
              <w:left w:type="dxa" w:w="100"/>
              <w:bottom w:type="dxa" w:w="70"/>
              <w:right w:type="dxa" w:w="100"/>
            </w:tcMar>
            <w:vAlign w:val="center"/>
          </w:tcPr>
          <w:p>
            <w:pPr>
              <w:spacing w:after="25" w:before="25" w:line="280" w:lineRule="auto"/>
              <w:jc w:val="left"/>
            </w:pPr>
            <w:r>
              <w:rPr>
                <w:rFonts w:ascii="맑은 고딕" w:cs="맑은 고딕" w:eastAsia="맑은 고딕" w:hAnsi="맑은 고딕"/>
                <w:b w:val="false"/>
                <w:bCs w:val="false"/>
                <w:color w:val="000000"/>
                <w:sz w:val="19"/>
                <w:szCs w:val="19"/>
              </w:rPr>
              <w:t xml:space="preserve">부서 사기 저하, 박탈감 누적, 고성과자 이탈 가속</w:t>
            </w:r>
          </w:p>
        </w:tc>
      </w:tr>
      <w:tr>
        <w:tc>
          <w:tcPr>
            <w:tcW w:type="dxa" w:w="400"/>
            <w:tcBorders>
              <w:top w:val="single" w:color="808080" w:sz="4"/>
              <w:left w:val="single" w:color="808080" w:sz="4"/>
              <w:bottom w:val="single" w:color="808080" w:sz="4"/>
              <w:right w:val="single" w:color="808080" w:sz="4"/>
            </w:tcBorders>
            <w:shd w:fill="E7EEF8" w:color="auto" w:val="clear"/>
            <w:tcMar>
              <w:top w:type="dxa" w:w="70"/>
              <w:left w:type="dxa" w:w="100"/>
              <w:bottom w:type="dxa" w:w="70"/>
              <w:right w:type="dxa" w:w="100"/>
            </w:tcMar>
            <w:vAlign w:val="center"/>
          </w:tcPr>
          <w:p>
            <w:pPr>
              <w:spacing w:after="25" w:before="25" w:line="280" w:lineRule="auto"/>
              <w:jc w:val="center"/>
            </w:pPr>
            <w:r>
              <w:rPr>
                <w:rFonts w:ascii="맑은 고딕" w:cs="맑은 고딕" w:eastAsia="맑은 고딕" w:hAnsi="맑은 고딕"/>
                <w:b/>
                <w:bCs/>
                <w:color w:val="000000"/>
                <w:sz w:val="19"/>
                <w:szCs w:val="19"/>
              </w:rPr>
              <w:t xml:space="preserve">7</w:t>
            </w:r>
          </w:p>
        </w:tc>
        <w:tc>
          <w:tcPr>
            <w:tcW w:type="dxa" w:w="2200"/>
            <w:tcBorders>
              <w:top w:val="single" w:color="808080" w:sz="4"/>
              <w:left w:val="single" w:color="808080" w:sz="4"/>
              <w:bottom w:val="single" w:color="808080" w:sz="4"/>
              <w:right w:val="single" w:color="808080" w:sz="4"/>
            </w:tcBorders>
            <w:shd w:fill="E7EEF8" w:color="auto" w:val="clear"/>
            <w:tcMar>
              <w:top w:type="dxa" w:w="70"/>
              <w:left w:type="dxa" w:w="100"/>
              <w:bottom w:type="dxa" w:w="70"/>
              <w:right w:type="dxa" w:w="100"/>
            </w:tcMar>
            <w:vAlign w:val="center"/>
          </w:tcPr>
          <w:p>
            <w:pPr>
              <w:spacing w:after="25" w:before="25" w:line="280" w:lineRule="auto"/>
              <w:jc w:val="left"/>
            </w:pPr>
            <w:r>
              <w:rPr>
                <w:rFonts w:ascii="맑은 고딕" w:cs="맑은 고딕" w:eastAsia="맑은 고딕" w:hAnsi="맑은 고딕"/>
                <w:b/>
                <w:bCs/>
                <w:color w:val="000000"/>
                <w:sz w:val="19"/>
                <w:szCs w:val="19"/>
              </w:rPr>
              <w:t xml:space="preserve">성과주의 불신과 공정성 문제</w:t>
            </w:r>
          </w:p>
        </w:tc>
        <w:tc>
          <w:tcPr>
            <w:tcW w:type="dxa" w:w="3213"/>
            <w:tcBorders>
              <w:top w:val="single" w:color="808080" w:sz="4"/>
              <w:left w:val="single" w:color="808080" w:sz="4"/>
              <w:bottom w:val="single" w:color="808080" w:sz="4"/>
              <w:right w:val="single" w:color="808080" w:sz="4"/>
            </w:tcBorders>
            <w:tcMar>
              <w:top w:type="dxa" w:w="70"/>
              <w:left w:type="dxa" w:w="100"/>
              <w:bottom w:type="dxa" w:w="70"/>
              <w:right w:type="dxa" w:w="100"/>
            </w:tcMar>
            <w:vAlign w:val="center"/>
          </w:tcPr>
          <w:p>
            <w:pPr>
              <w:spacing w:after="25" w:before="25" w:line="280" w:lineRule="auto"/>
              <w:jc w:val="left"/>
            </w:pPr>
            <w:r>
              <w:rPr>
                <w:rFonts w:ascii="맑은 고딕" w:cs="맑은 고딕" w:eastAsia="맑은 고딕" w:hAnsi="맑은 고딕"/>
                <w:b w:val="false"/>
                <w:bCs w:val="false"/>
                <w:color w:val="000000"/>
                <w:sz w:val="19"/>
                <w:szCs w:val="19"/>
              </w:rPr>
              <w:t xml:space="preserve">평가-보상 직결로 매니저가 ‘솔직한 피드백’ 대신 ‘평균화’를 선택한다.</w:t>
            </w:r>
          </w:p>
        </w:tc>
        <w:tc>
          <w:tcPr>
            <w:tcW w:type="dxa" w:w="3213"/>
            <w:tcBorders>
              <w:top w:val="single" w:color="808080" w:sz="4"/>
              <w:left w:val="single" w:color="808080" w:sz="4"/>
              <w:bottom w:val="single" w:color="808080" w:sz="4"/>
              <w:right w:val="single" w:color="808080" w:sz="4"/>
            </w:tcBorders>
            <w:tcMar>
              <w:top w:type="dxa" w:w="70"/>
              <w:left w:type="dxa" w:w="100"/>
              <w:bottom w:type="dxa" w:w="70"/>
              <w:right w:type="dxa" w:w="100"/>
            </w:tcMar>
            <w:vAlign w:val="center"/>
          </w:tcPr>
          <w:p>
            <w:pPr>
              <w:spacing w:after="25" w:before="25" w:line="280" w:lineRule="auto"/>
              <w:jc w:val="left"/>
            </w:pPr>
            <w:r>
              <w:rPr>
                <w:rFonts w:ascii="맑은 고딕" w:cs="맑은 고딕" w:eastAsia="맑은 고딕" w:hAnsi="맑은 고딕"/>
                <w:b w:val="false"/>
                <w:bCs w:val="false"/>
                <w:color w:val="000000"/>
                <w:sz w:val="19"/>
                <w:szCs w:val="19"/>
              </w:rPr>
              <w:t xml:space="preserve">평가의 코칭 기능 상실, 매니저-구성원 신뢰 훼손</w:t>
            </w:r>
          </w:p>
        </w:tc>
      </w:tr>
    </w:tbl>
    <w:p>
      <w:pPr>
        <w:spacing w:after="160" w:before="80" w:line="300" w:lineRule="auto"/>
        <w:jc w:val="center"/>
      </w:pPr>
      <w:r>
        <w:rPr>
          <w:rFonts w:ascii="맑은 고딕" w:cs="맑은 고딕" w:eastAsia="맑은 고딕" w:hAnsi="맑은 고딕"/>
          <w:b/>
          <w:bCs/>
          <w:color w:val="404040"/>
          <w:sz w:val="19"/>
          <w:szCs w:val="19"/>
        </w:rPr>
        <w:t xml:space="preserve">[표 2] 한국 기업의 개인성과 평가 — 일곱 가지 구조적 문제</w:t>
      </w:r>
    </w:p>
    <w:p>
      <w:pPr>
        <w:pStyle w:val="Heading2"/>
        <w:spacing w:after="140" w:before="320" w:line="360" w:lineRule="auto"/>
      </w:pPr>
      <w:r>
        <w:rPr>
          <w:rFonts w:ascii="맑은 고딕" w:cs="맑은 고딕" w:eastAsia="맑은 고딕" w:hAnsi="맑은 고딕"/>
          <w:b/>
          <w:bCs/>
          <w:color w:val="1F3864"/>
          <w:sz w:val="25"/>
          <w:szCs w:val="25"/>
        </w:rPr>
        <w:t xml:space="preserve">2. 연공서열 중심 인사제도</w:t>
      </w:r>
    </w:p>
    <w:p>
      <w:pPr>
        <w:spacing w:after="100" w:before="0" w:line="384" w:lineRule="auto"/>
        <w:ind w:firstLine="240"/>
        <w:jc w:val="both"/>
      </w:pPr>
      <w:r>
        <w:rPr>
          <w:rFonts w:ascii="맑은 고딕" w:cs="맑은 고딕" w:eastAsia="맑은 고딕" w:hAnsi="맑은 고딕"/>
          <w:b w:val="false"/>
          <w:bCs w:val="false"/>
          <w:color w:val="000000"/>
          <w:sz w:val="22"/>
          <w:szCs w:val="22"/>
        </w:rPr>
        <w:t xml:space="preserve">한국 기업은 호봉제·자동승급·근속수당 같은 연공 요소를 여전히 유지한다. 평가를 잘 받아도 호봉 한 칸의 차이에 그친다. 결과적으로 평가는 ‘하지 않을 수 없는 형식’이 되고, 보상은 ‘연차에 따라 자동 결정’된다. 평가의 동기 부여 기능이 작동하지 않는다.</w:t>
      </w:r>
    </w:p>
    <w:p>
      <w:pPr>
        <w:pStyle w:val="Heading2"/>
        <w:spacing w:after="140" w:before="320" w:line="360" w:lineRule="auto"/>
      </w:pPr>
      <w:r>
        <w:rPr>
          <w:rFonts w:ascii="맑은 고딕" w:cs="맑은 고딕" w:eastAsia="맑은 고딕" w:hAnsi="맑은 고딕"/>
          <w:b/>
          <w:bCs/>
          <w:color w:val="1F3864"/>
          <w:sz w:val="25"/>
          <w:szCs w:val="25"/>
        </w:rPr>
        <w:t xml:space="preserve">3. 상사 주관 평가 오류</w:t>
      </w:r>
    </w:p>
    <w:p>
      <w:pPr>
        <w:spacing w:after="100" w:before="0" w:line="384" w:lineRule="auto"/>
        <w:ind w:firstLine="240"/>
        <w:jc w:val="both"/>
      </w:pPr>
      <w:r>
        <w:rPr>
          <w:rFonts w:ascii="맑은 고딕" w:cs="맑은 고딕" w:eastAsia="맑은 고딕" w:hAnsi="맑은 고딕"/>
          <w:b w:val="false"/>
          <w:bCs w:val="false"/>
          <w:color w:val="000000"/>
          <w:sz w:val="22"/>
          <w:szCs w:val="22"/>
        </w:rPr>
        <w:t xml:space="preserve">한국 기업의 평가는 상사 한 명의 주관에 크게 의존한다. Halo Effect(평소 좋은 인상이 전체 평가로 확장), Leniency Error(전반적 관대화), 중심화 오류(B등급 몰림), 최신효과(평가 직전 몇 주만 기억)가 동시에 작동한다. Bernardin &amp; Vilanova(2005)는 ‘평가효능감과 평가불편감’이라는 개념으로 이 문제를 측정 가능하게 만들었다.</w:t>
      </w:r>
    </w:p>
    <w:p>
      <w:pPr>
        <w:pStyle w:val="Heading2"/>
        <w:spacing w:after="140" w:before="320" w:line="360" w:lineRule="auto"/>
      </w:pPr>
      <w:r>
        <w:rPr>
          <w:rFonts w:ascii="맑은 고딕" w:cs="맑은 고딕" w:eastAsia="맑은 고딕" w:hAnsi="맑은 고딕"/>
          <w:b/>
          <w:bCs/>
          <w:color w:val="1F3864"/>
          <w:sz w:val="25"/>
          <w:szCs w:val="25"/>
        </w:rPr>
        <w:t xml:space="preserve">4. 개인 목표의 불명확성</w:t>
      </w:r>
    </w:p>
    <w:p>
      <w:pPr>
        <w:spacing w:after="100" w:before="0" w:line="384" w:lineRule="auto"/>
        <w:ind w:firstLine="240"/>
        <w:jc w:val="both"/>
      </w:pPr>
      <w:r>
        <w:rPr>
          <w:rFonts w:ascii="맑은 고딕" w:cs="맑은 고딕" w:eastAsia="맑은 고딕" w:hAnsi="맑은 고딕"/>
          <w:b w:val="false"/>
          <w:bCs w:val="false"/>
          <w:color w:val="000000"/>
          <w:sz w:val="22"/>
          <w:szCs w:val="22"/>
        </w:rPr>
        <w:t xml:space="preserve">한국 기업의 개인 목표는 종종 팀 KPI를 N명이 똑같이 나눠 갖는 ‘카피·페이스트형’이다. 개인 기여를 식별할 수 없는 지표는 매니저의 인상 평가에 의존하게 만든다. Locke &amp; Latham(2002)의 목표설정 이론은 ‘구체적이고 도전적인 목표가 막연한 목표보다 높은 성과를 낳는다’고 본다. 한국 기업의 목표 모호성은 이 원칙의 정반대 사례다.</w:t>
      </w:r>
    </w:p>
    <w:p>
      <w:pPr>
        <w:pStyle w:val="Heading2"/>
        <w:spacing w:after="140" w:before="320" w:line="360" w:lineRule="auto"/>
      </w:pPr>
      <w:r>
        <w:rPr>
          <w:rFonts w:ascii="맑은 고딕" w:cs="맑은 고딕" w:eastAsia="맑은 고딕" w:hAnsi="맑은 고딕"/>
          <w:b/>
          <w:bCs/>
          <w:color w:val="1F3864"/>
          <w:sz w:val="25"/>
          <w:szCs w:val="25"/>
        </w:rPr>
        <w:t xml:space="preserve">5. 평가 결과에 대한 피드백 부족</w:t>
      </w:r>
    </w:p>
    <w:p>
      <w:pPr>
        <w:spacing w:after="100" w:before="0" w:line="384" w:lineRule="auto"/>
        <w:ind w:firstLine="240"/>
        <w:jc w:val="both"/>
      </w:pPr>
      <w:r>
        <w:rPr>
          <w:rFonts w:ascii="맑은 고딕" w:cs="맑은 고딕" w:eastAsia="맑은 고딕" w:hAnsi="맑은 고딕"/>
          <w:b w:val="false"/>
          <w:bCs w:val="false"/>
          <w:color w:val="000000"/>
          <w:sz w:val="22"/>
          <w:szCs w:val="22"/>
        </w:rPr>
        <w:t xml:space="preserve">한국 기업의 다수 매니저는 평가 결과를 ‘통보’할 뿐 ‘설명’하지 않는다. Folger(1992)가 절차공정성의 핵심 요소로 제시한 ‘평가 목표·기준 사전 고지, 증거 제시, 일관된 적용’의 세 요건 가운데 특히 ‘증거 제시’가 형식적으로만 이루어진다. 그 결과 구성원은 ‘이유 없는 평가’를 받는다고 인식한다.</w:t>
      </w:r>
    </w:p>
    <w:p>
      <w:pPr>
        <w:pStyle w:val="Heading2"/>
        <w:spacing w:after="140" w:before="320" w:line="360" w:lineRule="auto"/>
      </w:pPr>
      <w:r>
        <w:rPr>
          <w:rFonts w:ascii="맑은 고딕" w:cs="맑은 고딕" w:eastAsia="맑은 고딕" w:hAnsi="맑은 고딕"/>
          <w:b/>
          <w:bCs/>
          <w:color w:val="1F3864"/>
          <w:sz w:val="25"/>
          <w:szCs w:val="25"/>
        </w:rPr>
        <w:t xml:space="preserve">6. 성과보다 근태·태도 중심 평가</w:t>
      </w:r>
    </w:p>
    <w:p>
      <w:pPr>
        <w:spacing w:after="100" w:before="0" w:line="384" w:lineRule="auto"/>
        <w:ind w:firstLine="240"/>
        <w:jc w:val="both"/>
      </w:pPr>
      <w:r>
        <w:rPr>
          <w:rFonts w:ascii="맑은 고딕" w:cs="맑은 고딕" w:eastAsia="맑은 고딕" w:hAnsi="맑은 고딕"/>
          <w:b w:val="false"/>
          <w:bCs w:val="false"/>
          <w:color w:val="000000"/>
          <w:sz w:val="22"/>
          <w:szCs w:val="22"/>
        </w:rPr>
        <w:t xml:space="preserve">성과 측정이 어려운 경우 평가자는 측정하기 쉬운 변수에 의존한다. 출퇴근 시간, 회식 참석 여부, 인사성, 정치적 ‘우리편’ 여부가 그 변수다. 결과적으로 평가는 정치화되고, 줄서기 문화가 형성된다. 다양성은 저하되고 공정성 신뢰는 훼손된다.</w:t>
      </w:r>
    </w:p>
    <w:p>
      <w:pPr>
        <w:pStyle w:val="Heading2"/>
        <w:spacing w:after="140" w:before="320" w:line="360" w:lineRule="auto"/>
      </w:pPr>
      <w:r>
        <w:rPr>
          <w:rFonts w:ascii="맑은 고딕" w:cs="맑은 고딕" w:eastAsia="맑은 고딕" w:hAnsi="맑은 고딕"/>
          <w:b/>
          <w:bCs/>
          <w:color w:val="1F3864"/>
          <w:sz w:val="25"/>
          <w:szCs w:val="25"/>
        </w:rPr>
        <w:t xml:space="preserve">7. 저성과자 관리 미흡</w:t>
      </w:r>
    </w:p>
    <w:p>
      <w:pPr>
        <w:spacing w:after="100" w:before="0" w:line="384" w:lineRule="auto"/>
        <w:ind w:firstLine="240"/>
        <w:jc w:val="both"/>
      </w:pPr>
      <w:r>
        <w:rPr>
          <w:rFonts w:ascii="맑은 고딕" w:cs="맑은 고딕" w:eastAsia="맑은 고딕" w:hAnsi="맑은 고딕"/>
          <w:b w:val="false"/>
          <w:bCs w:val="false"/>
          <w:color w:val="000000"/>
          <w:sz w:val="22"/>
          <w:szCs w:val="22"/>
        </w:rPr>
        <w:t xml:space="preserve">한국 기업은 저성과자에게 ‘C/D 등급’만 매년 반복 부여한다. 개선 프로그램은 부재하다. 노동법 부담으로 매니저가 회피한다. 결과적으로 부서 사기가 저하되고, ‘열심히 해도 그 사람과 같이 일한다’는 박탈감이 누적된다. 고성과자 이탈이 가속화된다.</w:t>
      </w:r>
    </w:p>
    <w:p>
      <w:pPr>
        <w:pStyle w:val="Heading2"/>
        <w:spacing w:after="140" w:before="320" w:line="360" w:lineRule="auto"/>
      </w:pPr>
      <w:r>
        <w:rPr>
          <w:rFonts w:ascii="맑은 고딕" w:cs="맑은 고딕" w:eastAsia="맑은 고딕" w:hAnsi="맑은 고딕"/>
          <w:b/>
          <w:bCs/>
          <w:color w:val="1F3864"/>
          <w:sz w:val="25"/>
          <w:szCs w:val="25"/>
        </w:rPr>
        <w:t xml:space="preserve">8. 성과주의에 대한 불신과 공정성 문제</w:t>
      </w:r>
    </w:p>
    <w:p>
      <w:pPr>
        <w:spacing w:after="100" w:before="0" w:line="384" w:lineRule="auto"/>
        <w:ind w:firstLine="240"/>
        <w:jc w:val="both"/>
      </w:pPr>
      <w:r>
        <w:rPr>
          <w:rFonts w:ascii="맑은 고딕" w:cs="맑은 고딕" w:eastAsia="맑은 고딕" w:hAnsi="맑은 고딕"/>
          <w:b w:val="false"/>
          <w:bCs w:val="false"/>
          <w:color w:val="000000"/>
          <w:sz w:val="22"/>
          <w:szCs w:val="22"/>
        </w:rPr>
        <w:t xml:space="preserve">평가-보상이 직결되어 있다. 매니저는 ‘솔직한 피드백’을 주면 갈등이 발생하니 ‘안전한 평균화’를 선택한다. 구성원은 ‘약점에 대한 솔직한 인정’이 보상에 불이익으로 돌아오니 ‘자기 보호적 방어’를 선택한다. 평가는 ‘학습의 장’이 아닌 ‘협상의 장’이 된다. 한태영(2010)이 제시한 공정성·유용성·만족도·정확성 4차원이 모두 떨어진다.</w:t>
      </w:r>
    </w:p>
    <w:p>
      <w:pPr>
        <w:pStyle w:val="Heading2"/>
        <w:spacing w:after="140" w:before="320" w:line="360" w:lineRule="auto"/>
      </w:pPr>
      <w:r>
        <w:rPr>
          <w:rFonts w:ascii="맑은 고딕" w:cs="맑은 고딕" w:eastAsia="맑은 고딕" w:hAnsi="맑은 고딕"/>
          <w:b/>
          <w:bCs/>
          <w:color w:val="1F3864"/>
          <w:sz w:val="25"/>
          <w:szCs w:val="25"/>
        </w:rPr>
        <w:t xml:space="preserve">9. 진단의 종합</w:t>
      </w:r>
    </w:p>
    <w:p>
      <w:pPr>
        <w:spacing w:after="100" w:before="0" w:line="384" w:lineRule="auto"/>
        <w:ind w:firstLine="240"/>
        <w:jc w:val="both"/>
      </w:pPr>
      <w:r>
        <w:rPr>
          <w:rFonts w:ascii="맑은 고딕" w:cs="맑은 고딕" w:eastAsia="맑은 고딕" w:hAnsi="맑은 고딕"/>
          <w:b w:val="false"/>
          <w:bCs w:val="false"/>
          <w:color w:val="000000"/>
          <w:sz w:val="22"/>
          <w:szCs w:val="22"/>
        </w:rPr>
        <w:t xml:space="preserve">한국 기업의 평가가 작동하지 않는 핵심 원인은 ‘평가지표의 결함’이 아니다. 통제형 철학, 평가-보상 직결, 매니저 코칭 부재라는 세 가지 인프라적 결함이 결합되어 있기 때문이다. 다음 장의 제도 설계는 이 세 결함을 동시에 보완하는 모듈형 접근을 취한다.</w:t>
      </w:r>
    </w:p>
    <w:p>
      <w:pPr>
        <w:pStyle w:val="Heading1"/>
        <w:pageBreakBefore/>
        <w:pBdr>
          <w:bottom w:val="single" w:color="1F3864" w:sz="10" w:space="8"/>
        </w:pBdr>
        <w:spacing w:after="240" w:before="200" w:line="360" w:lineRule="auto"/>
      </w:pPr>
      <w:r>
        <w:rPr>
          <w:rFonts w:ascii="맑은 고딕" w:cs="맑은 고딕" w:eastAsia="맑은 고딕" w:hAnsi="맑은 고딕"/>
          <w:b/>
          <w:bCs/>
          <w:color w:val="1F3864"/>
          <w:sz w:val="30"/>
          <w:szCs w:val="30"/>
        </w:rPr>
        <w:t xml:space="preserve">Ⅳ. 개인성과 향상을 위한 성과평가 제도 설계</w:t>
      </w:r>
    </w:p>
    <w:p>
      <w:pPr>
        <w:spacing w:after="100" w:before="0" w:line="384" w:lineRule="auto"/>
        <w:ind w:firstLine="240"/>
        <w:jc w:val="both"/>
      </w:pPr>
      <w:r>
        <w:rPr>
          <w:rFonts w:ascii="맑은 고딕" w:cs="맑은 고딕" w:eastAsia="맑은 고딕" w:hAnsi="맑은 고딕"/>
          <w:b w:val="false"/>
          <w:bCs w:val="false"/>
          <w:color w:val="000000"/>
          <w:sz w:val="22"/>
          <w:szCs w:val="22"/>
        </w:rPr>
        <w:t xml:space="preserve">본 보고서는 CEO 또는 HR책임자의 관점에서 차세대 평가제도를 설계한다. 단일 평가양식의 개정이 아니라 ‘철학 → 프로세스 → 지표 → AI → 저성과자’의 다섯 모듈을 동시 가동하는 시스템 전환이다.</w:t>
      </w:r>
    </w:p>
    <w:p>
      <w:pPr>
        <w:pStyle w:val="Heading2"/>
        <w:spacing w:after="140" w:before="320" w:line="360" w:lineRule="auto"/>
      </w:pPr>
      <w:r>
        <w:rPr>
          <w:rFonts w:ascii="맑은 고딕" w:cs="맑은 고딕" w:eastAsia="맑은 고딕" w:hAnsi="맑은 고딕"/>
          <w:b/>
          <w:bCs/>
          <w:color w:val="1F3864"/>
          <w:sz w:val="25"/>
          <w:szCs w:val="25"/>
        </w:rPr>
        <w:t xml:space="preserve">1. 평가 철학 — 세 가지 패러다임 전환</w:t>
      </w:r>
    </w:p>
    <w:p>
      <w:pPr>
        <w:pStyle w:val="Heading3"/>
        <w:spacing w:after="80" w:before="200" w:line="360" w:lineRule="auto"/>
      </w:pPr>
      <w:r>
        <w:rPr>
          <w:rFonts w:ascii="맑은 고딕" w:cs="맑은 고딕" w:eastAsia="맑은 고딕" w:hAnsi="맑은 고딕"/>
          <w:b/>
          <w:bCs/>
          <w:color w:val="2F5496"/>
          <w:sz w:val="22"/>
          <w:szCs w:val="22"/>
        </w:rPr>
        <w:t xml:space="preserve">(1) 통제형 평가에서 성장형 평가로</w:t>
      </w:r>
    </w:p>
    <w:p>
      <w:pPr>
        <w:spacing w:after="100" w:before="0" w:line="384" w:lineRule="auto"/>
        <w:ind w:firstLine="240"/>
        <w:jc w:val="both"/>
      </w:pPr>
      <w:r>
        <w:rPr>
          <w:rFonts w:ascii="맑은 고딕" w:cs="맑은 고딕" w:eastAsia="맑은 고딕" w:hAnsi="맑은 고딕"/>
          <w:b w:val="false"/>
          <w:bCs w:val="false"/>
          <w:color w:val="000000"/>
          <w:sz w:val="22"/>
          <w:szCs w:val="22"/>
        </w:rPr>
        <w:t xml:space="preserve">평가의 1차 목적은 ‘등급 부여’가 아니라 ‘성장 가속’이다. Aguinis(2019)는 성과관리를 ‘목표설정 → 과정관리 → 결과피드백 → 개발계획’의 연속 사이클로 본다. 매니저는 ‘심판’이 아니라 ‘코치’다. 평가양식은 ‘점수표’가 아니라 ‘성장 로그’다.</w:t>
      </w:r>
    </w:p>
    <w:p>
      <w:pPr>
        <w:pStyle w:val="Heading3"/>
        <w:spacing w:after="80" w:before="200" w:line="360" w:lineRule="auto"/>
      </w:pPr>
      <w:r>
        <w:rPr>
          <w:rFonts w:ascii="맑은 고딕" w:cs="맑은 고딕" w:eastAsia="맑은 고딕" w:hAnsi="맑은 고딕"/>
          <w:b/>
          <w:bCs/>
          <w:color w:val="2F5496"/>
          <w:sz w:val="22"/>
          <w:szCs w:val="22"/>
        </w:rPr>
        <w:t xml:space="preserve">(2) 연말 평가에서 상시 성과관리로</w:t>
      </w:r>
    </w:p>
    <w:p>
      <w:pPr>
        <w:spacing w:after="100" w:before="0" w:line="384" w:lineRule="auto"/>
        <w:ind w:firstLine="240"/>
        <w:jc w:val="both"/>
      </w:pPr>
      <w:r>
        <w:rPr>
          <w:rFonts w:ascii="맑은 고딕" w:cs="맑은 고딕" w:eastAsia="맑은 고딕" w:hAnsi="맑은 고딕"/>
          <w:b w:val="false"/>
          <w:bCs w:val="false"/>
          <w:color w:val="000000"/>
          <w:sz w:val="22"/>
          <w:szCs w:val="22"/>
        </w:rPr>
        <w:t xml:space="preserve">성과는 12월에 평가되는 것이 아니라 1월부터 12월까지 관리되는 것이다. 연말 평가는 ‘연중 누적의 요약’이지 ‘기억에 의존한 회상’이 아니다. 윤동열(2026)이 정리한 6대 트렌드의 첫 번째가 바로 이 흐름이다.</w:t>
      </w:r>
    </w:p>
    <w:p>
      <w:pPr>
        <w:pStyle w:val="Heading3"/>
        <w:spacing w:after="80" w:before="200" w:line="360" w:lineRule="auto"/>
      </w:pPr>
      <w:r>
        <w:rPr>
          <w:rFonts w:ascii="맑은 고딕" w:cs="맑은 고딕" w:eastAsia="맑은 고딕" w:hAnsi="맑은 고딕"/>
          <w:b/>
          <w:bCs/>
          <w:color w:val="2F5496"/>
          <w:sz w:val="22"/>
          <w:szCs w:val="22"/>
        </w:rPr>
        <w:t xml:space="preserve">(3) 감점형 평가에서 강점 개발형 평가로</w:t>
      </w:r>
    </w:p>
    <w:p>
      <w:pPr>
        <w:spacing w:after="100" w:before="0" w:line="384" w:lineRule="auto"/>
        <w:ind w:firstLine="240"/>
        <w:jc w:val="both"/>
      </w:pPr>
      <w:r>
        <w:rPr>
          <w:rFonts w:ascii="맑은 고딕" w:cs="맑은 고딕" w:eastAsia="맑은 고딕" w:hAnsi="맑은 고딕"/>
          <w:b w:val="false"/>
          <w:bCs w:val="false"/>
          <w:color w:val="000000"/>
          <w:sz w:val="22"/>
          <w:szCs w:val="22"/>
        </w:rPr>
        <w:t xml:space="preserve">Buckingham &amp; Clifton(2001) 이후 누적된 증거는 ‘강점 확장’이 ‘약점 개선’보다 약 3배 효과적임을 보여준다. 평가는 약점을 들춰내는 도구가 아니다. 강점을 발견하고 그 강점을 최대 발휘할 자리에 배치하는 도구다.</w:t>
      </w:r>
    </w:p>
    <w:p>
      <w:pPr>
        <w:pStyle w:val="Heading2"/>
        <w:spacing w:after="140" w:before="320" w:line="360" w:lineRule="auto"/>
      </w:pPr>
      <w:r>
        <w:rPr>
          <w:rFonts w:ascii="맑은 고딕" w:cs="맑은 고딕" w:eastAsia="맑은 고딕" w:hAnsi="맑은 고딕"/>
          <w:b/>
          <w:bCs/>
          <w:color w:val="1F3864"/>
          <w:sz w:val="25"/>
          <w:szCs w:val="25"/>
        </w:rPr>
        <w:t xml:space="preserve">2. 개인성과 평가 프로세스 — 4단계 운영체계</w:t>
      </w:r>
    </w:p>
    <w:p>
      <w:pPr>
        <w:spacing w:after="100" w:before="0" w:line="384" w:lineRule="auto"/>
        <w:ind w:firstLine="240"/>
        <w:jc w:val="both"/>
      </w:pPr>
      <w:r>
        <w:rPr>
          <w:rFonts w:ascii="맑은 고딕" w:cs="맑은 고딕" w:eastAsia="맑은 고딕" w:hAnsi="맑은 고딕"/>
          <w:b w:val="false"/>
          <w:bCs w:val="false"/>
          <w:color w:val="000000"/>
          <w:sz w:val="22"/>
          <w:szCs w:val="22"/>
        </w:rPr>
        <w:t xml:space="preserve">Adobe Check-in과 Google GRAD를 종합한 4단계 운영체계를 제안한다. 핵심은 ‘연말 평가’가 별개의 이벤트가 아니라 ‘연중 활동의 자연스러운 종착점’이 되도록 설계하는 것이다.</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1500"/>
        <w:gridCol w:w="1500"/>
        <w:gridCol w:w="3013"/>
        <w:gridCol w:w="3013"/>
      </w:tblGrid>
      <w:tr>
        <w:trPr>
          <w:tblHeader/>
        </w:trPr>
        <w:tc>
          <w:tcPr>
            <w:tcW w:type="dxa" w:w="1500"/>
            <w:tcBorders>
              <w:top w:val="single" w:color="808080" w:sz="4"/>
              <w:left w:val="single" w:color="808080" w:sz="4"/>
              <w:bottom w:val="single" w:color="808080" w:sz="4"/>
              <w:right w:val="single" w:color="808080" w:sz="4"/>
            </w:tcBorders>
            <w:shd w:fill="1F3864" w:color="auto" w:val="clear"/>
            <w:tcMar>
              <w:top w:type="dxa" w:w="70"/>
              <w:left w:type="dxa" w:w="100"/>
              <w:bottom w:type="dxa" w:w="70"/>
              <w:right w:type="dxa" w:w="100"/>
            </w:tcMar>
            <w:vAlign w:val="center"/>
          </w:tcPr>
          <w:p>
            <w:pPr>
              <w:spacing w:after="25" w:before="25" w:line="280" w:lineRule="auto"/>
              <w:jc w:val="center"/>
            </w:pPr>
            <w:r>
              <w:rPr>
                <w:rFonts w:ascii="맑은 고딕" w:cs="맑은 고딕" w:eastAsia="맑은 고딕" w:hAnsi="맑은 고딕"/>
                <w:b/>
                <w:bCs/>
                <w:color w:val="FFFFFF"/>
                <w:sz w:val="19"/>
                <w:szCs w:val="19"/>
              </w:rPr>
              <w:t xml:space="preserve">단계</w:t>
            </w:r>
          </w:p>
        </w:tc>
        <w:tc>
          <w:tcPr>
            <w:tcW w:type="dxa" w:w="1500"/>
            <w:tcBorders>
              <w:top w:val="single" w:color="808080" w:sz="4"/>
              <w:left w:val="single" w:color="808080" w:sz="4"/>
              <w:bottom w:val="single" w:color="808080" w:sz="4"/>
              <w:right w:val="single" w:color="808080" w:sz="4"/>
            </w:tcBorders>
            <w:shd w:fill="1F3864" w:color="auto" w:val="clear"/>
            <w:tcMar>
              <w:top w:type="dxa" w:w="70"/>
              <w:left w:type="dxa" w:w="100"/>
              <w:bottom w:type="dxa" w:w="70"/>
              <w:right w:type="dxa" w:w="100"/>
            </w:tcMar>
            <w:vAlign w:val="center"/>
          </w:tcPr>
          <w:p>
            <w:pPr>
              <w:spacing w:after="25" w:before="25" w:line="280" w:lineRule="auto"/>
              <w:jc w:val="center"/>
            </w:pPr>
            <w:r>
              <w:rPr>
                <w:rFonts w:ascii="맑은 고딕" w:cs="맑은 고딕" w:eastAsia="맑은 고딕" w:hAnsi="맑은 고딕"/>
                <w:b/>
                <w:bCs/>
                <w:color w:val="FFFFFF"/>
                <w:sz w:val="19"/>
                <w:szCs w:val="19"/>
              </w:rPr>
              <w:t xml:space="preserve">주기</w:t>
            </w:r>
          </w:p>
        </w:tc>
        <w:tc>
          <w:tcPr>
            <w:tcW w:type="dxa" w:w="3013"/>
            <w:tcBorders>
              <w:top w:val="single" w:color="808080" w:sz="4"/>
              <w:left w:val="single" w:color="808080" w:sz="4"/>
              <w:bottom w:val="single" w:color="808080" w:sz="4"/>
              <w:right w:val="single" w:color="808080" w:sz="4"/>
            </w:tcBorders>
            <w:shd w:fill="1F3864" w:color="auto" w:val="clear"/>
            <w:tcMar>
              <w:top w:type="dxa" w:w="70"/>
              <w:left w:type="dxa" w:w="100"/>
              <w:bottom w:type="dxa" w:w="70"/>
              <w:right w:type="dxa" w:w="100"/>
            </w:tcMar>
            <w:vAlign w:val="center"/>
          </w:tcPr>
          <w:p>
            <w:pPr>
              <w:spacing w:after="25" w:before="25" w:line="280" w:lineRule="auto"/>
              <w:jc w:val="center"/>
            </w:pPr>
            <w:r>
              <w:rPr>
                <w:rFonts w:ascii="맑은 고딕" w:cs="맑은 고딕" w:eastAsia="맑은 고딕" w:hAnsi="맑은 고딕"/>
                <w:b/>
                <w:bCs/>
                <w:color w:val="FFFFFF"/>
                <w:sz w:val="19"/>
                <w:szCs w:val="19"/>
              </w:rPr>
              <w:t xml:space="preserve">핵심 활동</w:t>
            </w:r>
          </w:p>
        </w:tc>
        <w:tc>
          <w:tcPr>
            <w:tcW w:type="dxa" w:w="3013"/>
            <w:tcBorders>
              <w:top w:val="single" w:color="808080" w:sz="4"/>
              <w:left w:val="single" w:color="808080" w:sz="4"/>
              <w:bottom w:val="single" w:color="808080" w:sz="4"/>
              <w:right w:val="single" w:color="808080" w:sz="4"/>
            </w:tcBorders>
            <w:shd w:fill="1F3864" w:color="auto" w:val="clear"/>
            <w:tcMar>
              <w:top w:type="dxa" w:w="70"/>
              <w:left w:type="dxa" w:w="100"/>
              <w:bottom w:type="dxa" w:w="70"/>
              <w:right w:type="dxa" w:w="100"/>
            </w:tcMar>
            <w:vAlign w:val="center"/>
          </w:tcPr>
          <w:p>
            <w:pPr>
              <w:spacing w:after="25" w:before="25" w:line="280" w:lineRule="auto"/>
              <w:jc w:val="center"/>
            </w:pPr>
            <w:r>
              <w:rPr>
                <w:rFonts w:ascii="맑은 고딕" w:cs="맑은 고딕" w:eastAsia="맑은 고딕" w:hAnsi="맑은 고딕"/>
                <w:b/>
                <w:bCs/>
                <w:color w:val="FFFFFF"/>
                <w:sz w:val="19"/>
                <w:szCs w:val="19"/>
              </w:rPr>
              <w:t xml:space="preserve">산출물</w:t>
            </w:r>
          </w:p>
        </w:tc>
      </w:tr>
      <w:tr>
        <w:tc>
          <w:tcPr>
            <w:tcW w:type="dxa" w:w="1500"/>
            <w:tcBorders>
              <w:top w:val="single" w:color="808080" w:sz="4"/>
              <w:left w:val="single" w:color="808080" w:sz="4"/>
              <w:bottom w:val="single" w:color="808080" w:sz="4"/>
              <w:right w:val="single" w:color="808080" w:sz="4"/>
            </w:tcBorders>
            <w:shd w:fill="E7EEF8" w:color="auto" w:val="clear"/>
            <w:tcMar>
              <w:top w:type="dxa" w:w="70"/>
              <w:left w:type="dxa" w:w="100"/>
              <w:bottom w:type="dxa" w:w="70"/>
              <w:right w:type="dxa" w:w="100"/>
            </w:tcMar>
            <w:vAlign w:val="center"/>
          </w:tcPr>
          <w:p>
            <w:pPr>
              <w:spacing w:after="25" w:before="25" w:line="280" w:lineRule="auto"/>
              <w:jc w:val="left"/>
            </w:pPr>
            <w:r>
              <w:rPr>
                <w:rFonts w:ascii="맑은 고딕" w:cs="맑은 고딕" w:eastAsia="맑은 고딕" w:hAnsi="맑은 고딕"/>
                <w:b/>
                <w:bCs/>
                <w:color w:val="000000"/>
                <w:sz w:val="19"/>
                <w:szCs w:val="19"/>
              </w:rPr>
              <w:t xml:space="preserve">연초 목표 설정</w:t>
            </w:r>
          </w:p>
        </w:tc>
        <w:tc>
          <w:tcPr>
            <w:tcW w:type="dxa" w:w="1500"/>
            <w:tcBorders>
              <w:top w:val="single" w:color="808080" w:sz="4"/>
              <w:left w:val="single" w:color="808080" w:sz="4"/>
              <w:bottom w:val="single" w:color="808080" w:sz="4"/>
              <w:right w:val="single" w:color="808080" w:sz="4"/>
            </w:tcBorders>
            <w:shd w:fill="E7EEF8" w:color="auto" w:val="clear"/>
            <w:tcMar>
              <w:top w:type="dxa" w:w="70"/>
              <w:left w:type="dxa" w:w="100"/>
              <w:bottom w:type="dxa" w:w="70"/>
              <w:right w:type="dxa" w:w="100"/>
            </w:tcMar>
            <w:vAlign w:val="center"/>
          </w:tcPr>
          <w:p>
            <w:pPr>
              <w:spacing w:after="25" w:before="25" w:line="280" w:lineRule="auto"/>
              <w:jc w:val="center"/>
            </w:pPr>
            <w:r>
              <w:rPr>
                <w:rFonts w:ascii="맑은 고딕" w:cs="맑은 고딕" w:eastAsia="맑은 고딕" w:hAnsi="맑은 고딕"/>
                <w:b w:val="false"/>
                <w:bCs w:val="false"/>
                <w:color w:val="000000"/>
                <w:sz w:val="19"/>
                <w:szCs w:val="19"/>
              </w:rPr>
              <w:t xml:space="preserve">1월·매 분기 초</w:t>
            </w:r>
          </w:p>
        </w:tc>
        <w:tc>
          <w:tcPr>
            <w:tcW w:type="dxa" w:w="3013"/>
            <w:tcBorders>
              <w:top w:val="single" w:color="808080" w:sz="4"/>
              <w:left w:val="single" w:color="808080" w:sz="4"/>
              <w:bottom w:val="single" w:color="808080" w:sz="4"/>
              <w:right w:val="single" w:color="808080" w:sz="4"/>
            </w:tcBorders>
            <w:tcMar>
              <w:top w:type="dxa" w:w="70"/>
              <w:left w:type="dxa" w:w="100"/>
              <w:bottom w:type="dxa" w:w="70"/>
              <w:right w:type="dxa" w:w="100"/>
            </w:tcMar>
            <w:vAlign w:val="center"/>
          </w:tcPr>
          <w:p>
            <w:pPr>
              <w:spacing w:after="25" w:before="25" w:line="280" w:lineRule="auto"/>
              <w:jc w:val="left"/>
            </w:pPr>
            <w:r>
              <w:rPr>
                <w:rFonts w:ascii="맑은 고딕" w:cs="맑은 고딕" w:eastAsia="맑은 고딕" w:hAnsi="맑은 고딕"/>
                <w:b w:val="false"/>
                <w:bCs w:val="false"/>
                <w:color w:val="000000"/>
                <w:sz w:val="19"/>
                <w:szCs w:val="19"/>
              </w:rPr>
              <w:t xml:space="preserve">회사·팀 OKR과 정렬</w:t>
            </w:r>
          </w:p>
          <w:p>
            <w:pPr>
              <w:spacing w:after="25" w:before="25" w:line="280" w:lineRule="auto"/>
              <w:jc w:val="left"/>
            </w:pPr>
            <w:r>
              <w:rPr>
                <w:rFonts w:ascii="맑은 고딕" w:cs="맑은 고딕" w:eastAsia="맑은 고딕" w:hAnsi="맑은 고딕"/>
                <w:b w:val="false"/>
                <w:bCs w:val="false"/>
                <w:color w:val="000000"/>
                <w:sz w:val="19"/>
                <w:szCs w:val="19"/>
              </w:rPr>
              <w:t xml:space="preserve">개인 OKR 3~5개 설정</w:t>
            </w:r>
          </w:p>
          <w:p>
            <w:pPr>
              <w:spacing w:after="25" w:before="25" w:line="280" w:lineRule="auto"/>
              <w:jc w:val="left"/>
            </w:pPr>
            <w:r>
              <w:rPr>
                <w:rFonts w:ascii="맑은 고딕" w:cs="맑은 고딕" w:eastAsia="맑은 고딕" w:hAnsi="맑은 고딕"/>
                <w:b w:val="false"/>
                <w:bCs w:val="false"/>
                <w:color w:val="000000"/>
                <w:sz w:val="19"/>
                <w:szCs w:val="19"/>
              </w:rPr>
              <w:t xml:space="preserve">What + How 양축 작성</w:t>
            </w:r>
          </w:p>
          <w:p>
            <w:pPr>
              <w:spacing w:after="25" w:before="25" w:line="280" w:lineRule="auto"/>
              <w:jc w:val="left"/>
            </w:pPr>
            <w:r>
              <w:rPr>
                <w:rFonts w:ascii="맑은 고딕" w:cs="맑은 고딕" w:eastAsia="맑은 고딕" w:hAnsi="맑은 고딕"/>
                <w:b w:val="false"/>
                <w:bCs w:val="false"/>
                <w:color w:val="000000"/>
                <w:sz w:val="19"/>
                <w:szCs w:val="19"/>
              </w:rPr>
              <w:t xml:space="preserve">매니저 합의 미팅</w:t>
            </w:r>
          </w:p>
        </w:tc>
        <w:tc>
          <w:tcPr>
            <w:tcW w:type="dxa" w:w="3013"/>
            <w:tcBorders>
              <w:top w:val="single" w:color="808080" w:sz="4"/>
              <w:left w:val="single" w:color="808080" w:sz="4"/>
              <w:bottom w:val="single" w:color="808080" w:sz="4"/>
              <w:right w:val="single" w:color="808080" w:sz="4"/>
            </w:tcBorders>
            <w:tcMar>
              <w:top w:type="dxa" w:w="70"/>
              <w:left w:type="dxa" w:w="100"/>
              <w:bottom w:type="dxa" w:w="70"/>
              <w:right w:type="dxa" w:w="100"/>
            </w:tcMar>
            <w:vAlign w:val="center"/>
          </w:tcPr>
          <w:p>
            <w:pPr>
              <w:spacing w:after="25" w:before="25" w:line="280" w:lineRule="auto"/>
              <w:jc w:val="left"/>
            </w:pPr>
            <w:r>
              <w:rPr>
                <w:rFonts w:ascii="맑은 고딕" w:cs="맑은 고딕" w:eastAsia="맑은 고딕" w:hAnsi="맑은 고딕"/>
                <w:b w:val="false"/>
                <w:bCs w:val="false"/>
                <w:color w:val="000000"/>
                <w:sz w:val="19"/>
                <w:szCs w:val="19"/>
              </w:rPr>
              <w:t xml:space="preserve">개인별 OKR Sheet</w:t>
            </w:r>
          </w:p>
          <w:p>
            <w:pPr>
              <w:spacing w:after="25" w:before="25" w:line="280" w:lineRule="auto"/>
              <w:jc w:val="left"/>
            </w:pPr>
            <w:r>
              <w:rPr>
                <w:rFonts w:ascii="맑은 고딕" w:cs="맑은 고딕" w:eastAsia="맑은 고딕" w:hAnsi="맑은 고딕"/>
                <w:b w:val="false"/>
                <w:bCs w:val="false"/>
                <w:color w:val="000000"/>
                <w:sz w:val="19"/>
                <w:szCs w:val="19"/>
              </w:rPr>
              <w:t xml:space="preserve">IDP 초안</w:t>
            </w:r>
          </w:p>
        </w:tc>
      </w:tr>
      <w:tr>
        <w:tc>
          <w:tcPr>
            <w:tcW w:type="dxa" w:w="1500"/>
            <w:tcBorders>
              <w:top w:val="single" w:color="808080" w:sz="4"/>
              <w:left w:val="single" w:color="808080" w:sz="4"/>
              <w:bottom w:val="single" w:color="808080" w:sz="4"/>
              <w:right w:val="single" w:color="808080" w:sz="4"/>
            </w:tcBorders>
            <w:shd w:fill="E7EEF8" w:color="auto" w:val="clear"/>
            <w:tcMar>
              <w:top w:type="dxa" w:w="70"/>
              <w:left w:type="dxa" w:w="100"/>
              <w:bottom w:type="dxa" w:w="70"/>
              <w:right w:type="dxa" w:w="100"/>
            </w:tcMar>
            <w:vAlign w:val="center"/>
          </w:tcPr>
          <w:p>
            <w:pPr>
              <w:spacing w:after="25" w:before="25" w:line="280" w:lineRule="auto"/>
              <w:jc w:val="left"/>
            </w:pPr>
            <w:r>
              <w:rPr>
                <w:rFonts w:ascii="맑은 고딕" w:cs="맑은 고딕" w:eastAsia="맑은 고딕" w:hAnsi="맑은 고딕"/>
                <w:b/>
                <w:bCs/>
                <w:color w:val="000000"/>
                <w:sz w:val="19"/>
                <w:szCs w:val="19"/>
              </w:rPr>
              <w:t xml:space="preserve">월간 1대 1 미팅</w:t>
            </w:r>
          </w:p>
        </w:tc>
        <w:tc>
          <w:tcPr>
            <w:tcW w:type="dxa" w:w="1500"/>
            <w:tcBorders>
              <w:top w:val="single" w:color="808080" w:sz="4"/>
              <w:left w:val="single" w:color="808080" w:sz="4"/>
              <w:bottom w:val="single" w:color="808080" w:sz="4"/>
              <w:right w:val="single" w:color="808080" w:sz="4"/>
            </w:tcBorders>
            <w:shd w:fill="E7EEF8" w:color="auto" w:val="clear"/>
            <w:tcMar>
              <w:top w:type="dxa" w:w="70"/>
              <w:left w:type="dxa" w:w="100"/>
              <w:bottom w:type="dxa" w:w="70"/>
              <w:right w:type="dxa" w:w="100"/>
            </w:tcMar>
            <w:vAlign w:val="center"/>
          </w:tcPr>
          <w:p>
            <w:pPr>
              <w:spacing w:after="25" w:before="25" w:line="280" w:lineRule="auto"/>
              <w:jc w:val="center"/>
            </w:pPr>
            <w:r>
              <w:rPr>
                <w:rFonts w:ascii="맑은 고딕" w:cs="맑은 고딕" w:eastAsia="맑은 고딕" w:hAnsi="맑은 고딕"/>
                <w:b w:val="false"/>
                <w:bCs w:val="false"/>
                <w:color w:val="000000"/>
                <w:sz w:val="19"/>
                <w:szCs w:val="19"/>
              </w:rPr>
              <w:t xml:space="preserve">매월 1회 30~45분</w:t>
            </w:r>
          </w:p>
        </w:tc>
        <w:tc>
          <w:tcPr>
            <w:tcW w:type="dxa" w:w="3013"/>
            <w:tcBorders>
              <w:top w:val="single" w:color="808080" w:sz="4"/>
              <w:left w:val="single" w:color="808080" w:sz="4"/>
              <w:bottom w:val="single" w:color="808080" w:sz="4"/>
              <w:right w:val="single" w:color="808080" w:sz="4"/>
            </w:tcBorders>
            <w:tcMar>
              <w:top w:type="dxa" w:w="70"/>
              <w:left w:type="dxa" w:w="100"/>
              <w:bottom w:type="dxa" w:w="70"/>
              <w:right w:type="dxa" w:w="100"/>
            </w:tcMar>
            <w:vAlign w:val="center"/>
          </w:tcPr>
          <w:p>
            <w:pPr>
              <w:spacing w:after="25" w:before="25" w:line="280" w:lineRule="auto"/>
              <w:jc w:val="left"/>
            </w:pPr>
            <w:r>
              <w:rPr>
                <w:rFonts w:ascii="맑은 고딕" w:cs="맑은 고딕" w:eastAsia="맑은 고딕" w:hAnsi="맑은 고딕"/>
                <w:b w:val="false"/>
                <w:bCs w:val="false"/>
                <w:color w:val="000000"/>
                <w:sz w:val="19"/>
                <w:szCs w:val="19"/>
              </w:rPr>
              <w:t xml:space="preserve">OKR 진척률 점검</w:t>
            </w:r>
          </w:p>
          <w:p>
            <w:pPr>
              <w:spacing w:after="25" w:before="25" w:line="280" w:lineRule="auto"/>
              <w:jc w:val="left"/>
            </w:pPr>
            <w:r>
              <w:rPr>
                <w:rFonts w:ascii="맑은 고딕" w:cs="맑은 고딕" w:eastAsia="맑은 고딕" w:hAnsi="맑은 고딕"/>
                <w:b w:val="false"/>
                <w:bCs w:val="false"/>
                <w:color w:val="000000"/>
                <w:sz w:val="19"/>
                <w:szCs w:val="19"/>
              </w:rPr>
              <w:t xml:space="preserve">블로커·도움요청 해결</w:t>
            </w:r>
          </w:p>
          <w:p>
            <w:pPr>
              <w:spacing w:after="25" w:before="25" w:line="280" w:lineRule="auto"/>
              <w:jc w:val="left"/>
            </w:pPr>
            <w:r>
              <w:rPr>
                <w:rFonts w:ascii="맑은 고딕" w:cs="맑은 고딕" w:eastAsia="맑은 고딕" w:hAnsi="맑은 고딕"/>
                <w:b w:val="false"/>
                <w:bCs w:val="false"/>
                <w:color w:val="000000"/>
                <w:sz w:val="19"/>
                <w:szCs w:val="19"/>
              </w:rPr>
              <w:t xml:space="preserve">매니저 코칭 질문</w:t>
            </w:r>
          </w:p>
          <w:p>
            <w:pPr>
              <w:spacing w:after="25" w:before="25" w:line="280" w:lineRule="auto"/>
              <w:jc w:val="left"/>
            </w:pPr>
            <w:r>
              <w:rPr>
                <w:rFonts w:ascii="맑은 고딕" w:cs="맑은 고딕" w:eastAsia="맑은 고딕" w:hAnsi="맑은 고딕"/>
                <w:b w:val="false"/>
                <w:bCs w:val="false"/>
                <w:color w:val="000000"/>
                <w:sz w:val="19"/>
                <w:szCs w:val="19"/>
              </w:rPr>
              <w:t xml:space="preserve">Start/Stop/Continue 피드백</w:t>
            </w:r>
          </w:p>
        </w:tc>
        <w:tc>
          <w:tcPr>
            <w:tcW w:type="dxa" w:w="3013"/>
            <w:tcBorders>
              <w:top w:val="single" w:color="808080" w:sz="4"/>
              <w:left w:val="single" w:color="808080" w:sz="4"/>
              <w:bottom w:val="single" w:color="808080" w:sz="4"/>
              <w:right w:val="single" w:color="808080" w:sz="4"/>
            </w:tcBorders>
            <w:tcMar>
              <w:top w:type="dxa" w:w="70"/>
              <w:left w:type="dxa" w:w="100"/>
              <w:bottom w:type="dxa" w:w="70"/>
              <w:right w:type="dxa" w:w="100"/>
            </w:tcMar>
            <w:vAlign w:val="center"/>
          </w:tcPr>
          <w:p>
            <w:pPr>
              <w:spacing w:after="25" w:before="25" w:line="280" w:lineRule="auto"/>
              <w:jc w:val="left"/>
            </w:pPr>
            <w:r>
              <w:rPr>
                <w:rFonts w:ascii="맑은 고딕" w:cs="맑은 고딕" w:eastAsia="맑은 고딕" w:hAnsi="맑은 고딕"/>
                <w:b w:val="false"/>
                <w:bCs w:val="false"/>
                <w:color w:val="000000"/>
                <w:sz w:val="19"/>
                <w:szCs w:val="19"/>
              </w:rPr>
              <w:t xml:space="preserve">공유 1:1 노트</w:t>
            </w:r>
          </w:p>
          <w:p>
            <w:pPr>
              <w:spacing w:after="25" w:before="25" w:line="280" w:lineRule="auto"/>
              <w:jc w:val="left"/>
            </w:pPr>
            <w:r>
              <w:rPr>
                <w:rFonts w:ascii="맑은 고딕" w:cs="맑은 고딕" w:eastAsia="맑은 고딕" w:hAnsi="맑은 고딕"/>
                <w:b w:val="false"/>
                <w:bCs w:val="false"/>
                <w:color w:val="000000"/>
                <w:sz w:val="19"/>
                <w:szCs w:val="19"/>
              </w:rPr>
              <w:t xml:space="preserve">액션리스트</w:t>
            </w:r>
          </w:p>
          <w:p>
            <w:pPr>
              <w:spacing w:after="25" w:before="25" w:line="280" w:lineRule="auto"/>
              <w:jc w:val="left"/>
            </w:pPr>
            <w:r>
              <w:rPr>
                <w:rFonts w:ascii="맑은 고딕" w:cs="맑은 고딕" w:eastAsia="맑은 고딕" w:hAnsi="맑은 고딕"/>
                <w:b w:val="false"/>
                <w:bCs w:val="false"/>
                <w:color w:val="000000"/>
                <w:sz w:val="19"/>
                <w:szCs w:val="19"/>
              </w:rPr>
              <w:t xml:space="preserve">코칭 로그</w:t>
            </w:r>
          </w:p>
        </w:tc>
      </w:tr>
      <w:tr>
        <w:tc>
          <w:tcPr>
            <w:tcW w:type="dxa" w:w="1500"/>
            <w:tcBorders>
              <w:top w:val="single" w:color="808080" w:sz="4"/>
              <w:left w:val="single" w:color="808080" w:sz="4"/>
              <w:bottom w:val="single" w:color="808080" w:sz="4"/>
              <w:right w:val="single" w:color="808080" w:sz="4"/>
            </w:tcBorders>
            <w:shd w:fill="E7EEF8" w:color="auto" w:val="clear"/>
            <w:tcMar>
              <w:top w:type="dxa" w:w="70"/>
              <w:left w:type="dxa" w:w="100"/>
              <w:bottom w:type="dxa" w:w="70"/>
              <w:right w:type="dxa" w:w="100"/>
            </w:tcMar>
            <w:vAlign w:val="center"/>
          </w:tcPr>
          <w:p>
            <w:pPr>
              <w:spacing w:after="25" w:before="25" w:line="280" w:lineRule="auto"/>
              <w:jc w:val="left"/>
            </w:pPr>
            <w:r>
              <w:rPr>
                <w:rFonts w:ascii="맑은 고딕" w:cs="맑은 고딕" w:eastAsia="맑은 고딕" w:hAnsi="맑은 고딕"/>
                <w:b/>
                <w:bCs/>
                <w:color w:val="000000"/>
                <w:sz w:val="19"/>
                <w:szCs w:val="19"/>
              </w:rPr>
              <w:t xml:space="preserve">분기별 리뷰</w:t>
            </w:r>
          </w:p>
        </w:tc>
        <w:tc>
          <w:tcPr>
            <w:tcW w:type="dxa" w:w="1500"/>
            <w:tcBorders>
              <w:top w:val="single" w:color="808080" w:sz="4"/>
              <w:left w:val="single" w:color="808080" w:sz="4"/>
              <w:bottom w:val="single" w:color="808080" w:sz="4"/>
              <w:right w:val="single" w:color="808080" w:sz="4"/>
            </w:tcBorders>
            <w:shd w:fill="E7EEF8" w:color="auto" w:val="clear"/>
            <w:tcMar>
              <w:top w:type="dxa" w:w="70"/>
              <w:left w:type="dxa" w:w="100"/>
              <w:bottom w:type="dxa" w:w="70"/>
              <w:right w:type="dxa" w:w="100"/>
            </w:tcMar>
            <w:vAlign w:val="center"/>
          </w:tcPr>
          <w:p>
            <w:pPr>
              <w:spacing w:after="25" w:before="25" w:line="280" w:lineRule="auto"/>
              <w:jc w:val="center"/>
            </w:pPr>
            <w:r>
              <w:rPr>
                <w:rFonts w:ascii="맑은 고딕" w:cs="맑은 고딕" w:eastAsia="맑은 고딕" w:hAnsi="맑은 고딕"/>
                <w:b w:val="false"/>
                <w:bCs w:val="false"/>
                <w:color w:val="000000"/>
                <w:sz w:val="19"/>
                <w:szCs w:val="19"/>
              </w:rPr>
              <w:t xml:space="preserve">분기 1회 60~90분</w:t>
            </w:r>
          </w:p>
        </w:tc>
        <w:tc>
          <w:tcPr>
            <w:tcW w:type="dxa" w:w="3013"/>
            <w:tcBorders>
              <w:top w:val="single" w:color="808080" w:sz="4"/>
              <w:left w:val="single" w:color="808080" w:sz="4"/>
              <w:bottom w:val="single" w:color="808080" w:sz="4"/>
              <w:right w:val="single" w:color="808080" w:sz="4"/>
            </w:tcBorders>
            <w:tcMar>
              <w:top w:type="dxa" w:w="70"/>
              <w:left w:type="dxa" w:w="100"/>
              <w:bottom w:type="dxa" w:w="70"/>
              <w:right w:type="dxa" w:w="100"/>
            </w:tcMar>
            <w:vAlign w:val="center"/>
          </w:tcPr>
          <w:p>
            <w:pPr>
              <w:spacing w:after="25" w:before="25" w:line="280" w:lineRule="auto"/>
              <w:jc w:val="left"/>
            </w:pPr>
            <w:r>
              <w:rPr>
                <w:rFonts w:ascii="맑은 고딕" w:cs="맑은 고딕" w:eastAsia="맑은 고딕" w:hAnsi="맑은 고딕"/>
                <w:b w:val="false"/>
                <w:bCs w:val="false"/>
                <w:color w:val="000000"/>
                <w:sz w:val="19"/>
                <w:szCs w:val="19"/>
              </w:rPr>
              <w:t xml:space="preserve">OKR 점검·재조정</w:t>
            </w:r>
          </w:p>
          <w:p>
            <w:pPr>
              <w:spacing w:after="25" w:before="25" w:line="280" w:lineRule="auto"/>
              <w:jc w:val="left"/>
            </w:pPr>
            <w:r>
              <w:rPr>
                <w:rFonts w:ascii="맑은 고딕" w:cs="맑은 고딕" w:eastAsia="맑은 고딕" w:hAnsi="맑은 고딕"/>
                <w:b w:val="false"/>
                <w:bCs w:val="false"/>
                <w:color w:val="000000"/>
                <w:sz w:val="19"/>
                <w:szCs w:val="19"/>
              </w:rPr>
              <w:t xml:space="preserve">360도 미니 피드백 (3~5명)</w:t>
            </w:r>
          </w:p>
          <w:p>
            <w:pPr>
              <w:spacing w:after="25" w:before="25" w:line="280" w:lineRule="auto"/>
              <w:jc w:val="left"/>
            </w:pPr>
            <w:r>
              <w:rPr>
                <w:rFonts w:ascii="맑은 고딕" w:cs="맑은 고딕" w:eastAsia="맑은 고딕" w:hAnsi="맑은 고딕"/>
                <w:b w:val="false"/>
                <w:bCs w:val="false"/>
                <w:color w:val="000000"/>
                <w:sz w:val="19"/>
                <w:szCs w:val="19"/>
              </w:rPr>
              <w:t xml:space="preserve">역량 갭 분석·개발계획</w:t>
            </w:r>
          </w:p>
          <w:p>
            <w:pPr>
              <w:spacing w:after="25" w:before="25" w:line="280" w:lineRule="auto"/>
              <w:jc w:val="left"/>
            </w:pPr>
            <w:r>
              <w:rPr>
                <w:rFonts w:ascii="맑은 고딕" w:cs="맑은 고딕" w:eastAsia="맑은 고딕" w:hAnsi="맑은 고딕"/>
                <w:b w:val="false"/>
                <w:bCs w:val="false"/>
                <w:color w:val="000000"/>
                <w:sz w:val="19"/>
                <w:szCs w:val="19"/>
              </w:rPr>
              <w:t xml:space="preserve">반기 1회 커리어 대화</w:t>
            </w:r>
          </w:p>
        </w:tc>
        <w:tc>
          <w:tcPr>
            <w:tcW w:type="dxa" w:w="3013"/>
            <w:tcBorders>
              <w:top w:val="single" w:color="808080" w:sz="4"/>
              <w:left w:val="single" w:color="808080" w:sz="4"/>
              <w:bottom w:val="single" w:color="808080" w:sz="4"/>
              <w:right w:val="single" w:color="808080" w:sz="4"/>
            </w:tcBorders>
            <w:tcMar>
              <w:top w:type="dxa" w:w="70"/>
              <w:left w:type="dxa" w:w="100"/>
              <w:bottom w:type="dxa" w:w="70"/>
              <w:right w:type="dxa" w:w="100"/>
            </w:tcMar>
            <w:vAlign w:val="center"/>
          </w:tcPr>
          <w:p>
            <w:pPr>
              <w:spacing w:after="25" w:before="25" w:line="280" w:lineRule="auto"/>
              <w:jc w:val="left"/>
            </w:pPr>
            <w:r>
              <w:rPr>
                <w:rFonts w:ascii="맑은 고딕" w:cs="맑은 고딕" w:eastAsia="맑은 고딕" w:hAnsi="맑은 고딕"/>
                <w:b w:val="false"/>
                <w:bCs w:val="false"/>
                <w:color w:val="000000"/>
                <w:sz w:val="19"/>
                <w:szCs w:val="19"/>
              </w:rPr>
              <w:t xml:space="preserve">분기 리뷰 노트</w:t>
            </w:r>
          </w:p>
          <w:p>
            <w:pPr>
              <w:spacing w:after="25" w:before="25" w:line="280" w:lineRule="auto"/>
              <w:jc w:val="left"/>
            </w:pPr>
            <w:r>
              <w:rPr>
                <w:rFonts w:ascii="맑은 고딕" w:cs="맑은 고딕" w:eastAsia="맑은 고딕" w:hAnsi="맑은 고딕"/>
                <w:b w:val="false"/>
                <w:bCs w:val="false"/>
                <w:color w:val="000000"/>
                <w:sz w:val="19"/>
                <w:szCs w:val="19"/>
              </w:rPr>
              <w:t xml:space="preserve">다음 분기 OKR</w:t>
            </w:r>
          </w:p>
          <w:p>
            <w:pPr>
              <w:spacing w:after="25" w:before="25" w:line="280" w:lineRule="auto"/>
              <w:jc w:val="left"/>
            </w:pPr>
            <w:r>
              <w:rPr>
                <w:rFonts w:ascii="맑은 고딕" w:cs="맑은 고딕" w:eastAsia="맑은 고딕" w:hAnsi="맑은 고딕"/>
                <w:b w:val="false"/>
                <w:bCs w:val="false"/>
                <w:color w:val="000000"/>
                <w:sz w:val="19"/>
                <w:szCs w:val="19"/>
              </w:rPr>
              <w:t xml:space="preserve">IDP 업데이트</w:t>
            </w:r>
          </w:p>
        </w:tc>
      </w:tr>
      <w:tr>
        <w:tc>
          <w:tcPr>
            <w:tcW w:type="dxa" w:w="1500"/>
            <w:tcBorders>
              <w:top w:val="single" w:color="808080" w:sz="4"/>
              <w:left w:val="single" w:color="808080" w:sz="4"/>
              <w:bottom w:val="single" w:color="808080" w:sz="4"/>
              <w:right w:val="single" w:color="808080" w:sz="4"/>
            </w:tcBorders>
            <w:shd w:fill="E7EEF8" w:color="auto" w:val="clear"/>
            <w:tcMar>
              <w:top w:type="dxa" w:w="70"/>
              <w:left w:type="dxa" w:w="100"/>
              <w:bottom w:type="dxa" w:w="70"/>
              <w:right w:type="dxa" w:w="100"/>
            </w:tcMar>
            <w:vAlign w:val="center"/>
          </w:tcPr>
          <w:p>
            <w:pPr>
              <w:spacing w:after="25" w:before="25" w:line="280" w:lineRule="auto"/>
              <w:jc w:val="left"/>
            </w:pPr>
            <w:r>
              <w:rPr>
                <w:rFonts w:ascii="맑은 고딕" w:cs="맑은 고딕" w:eastAsia="맑은 고딕" w:hAnsi="맑은 고딕"/>
                <w:b/>
                <w:bCs/>
                <w:color w:val="000000"/>
                <w:sz w:val="19"/>
                <w:szCs w:val="19"/>
              </w:rPr>
              <w:t xml:space="preserve">연말 종합평가</w:t>
            </w:r>
          </w:p>
        </w:tc>
        <w:tc>
          <w:tcPr>
            <w:tcW w:type="dxa" w:w="1500"/>
            <w:tcBorders>
              <w:top w:val="single" w:color="808080" w:sz="4"/>
              <w:left w:val="single" w:color="808080" w:sz="4"/>
              <w:bottom w:val="single" w:color="808080" w:sz="4"/>
              <w:right w:val="single" w:color="808080" w:sz="4"/>
            </w:tcBorders>
            <w:shd w:fill="E7EEF8" w:color="auto" w:val="clear"/>
            <w:tcMar>
              <w:top w:type="dxa" w:w="70"/>
              <w:left w:type="dxa" w:w="100"/>
              <w:bottom w:type="dxa" w:w="70"/>
              <w:right w:type="dxa" w:w="100"/>
            </w:tcMar>
            <w:vAlign w:val="center"/>
          </w:tcPr>
          <w:p>
            <w:pPr>
              <w:spacing w:after="25" w:before="25" w:line="280" w:lineRule="auto"/>
              <w:jc w:val="center"/>
            </w:pPr>
            <w:r>
              <w:rPr>
                <w:rFonts w:ascii="맑은 고딕" w:cs="맑은 고딕" w:eastAsia="맑은 고딕" w:hAnsi="맑은 고딕"/>
                <w:b w:val="false"/>
                <w:bCs w:val="false"/>
                <w:color w:val="000000"/>
                <w:sz w:val="19"/>
                <w:szCs w:val="19"/>
              </w:rPr>
              <w:t xml:space="preserve">연 1회 11~12월</w:t>
            </w:r>
          </w:p>
        </w:tc>
        <w:tc>
          <w:tcPr>
            <w:tcW w:type="dxa" w:w="3013"/>
            <w:tcBorders>
              <w:top w:val="single" w:color="808080" w:sz="4"/>
              <w:left w:val="single" w:color="808080" w:sz="4"/>
              <w:bottom w:val="single" w:color="808080" w:sz="4"/>
              <w:right w:val="single" w:color="808080" w:sz="4"/>
            </w:tcBorders>
            <w:tcMar>
              <w:top w:type="dxa" w:w="70"/>
              <w:left w:type="dxa" w:w="100"/>
              <w:bottom w:type="dxa" w:w="70"/>
              <w:right w:type="dxa" w:w="100"/>
            </w:tcMar>
            <w:vAlign w:val="center"/>
          </w:tcPr>
          <w:p>
            <w:pPr>
              <w:spacing w:after="25" w:before="25" w:line="280" w:lineRule="auto"/>
              <w:jc w:val="left"/>
            </w:pPr>
            <w:r>
              <w:rPr>
                <w:rFonts w:ascii="맑은 고딕" w:cs="맑은 고딕" w:eastAsia="맑은 고딕" w:hAnsi="맑은 고딕"/>
                <w:b w:val="false"/>
                <w:bCs w:val="false"/>
                <w:color w:val="000000"/>
                <w:sz w:val="19"/>
                <w:szCs w:val="19"/>
              </w:rPr>
              <w:t xml:space="preserve">연간 임팩트 서술 (Self + Manager)</w:t>
            </w:r>
          </w:p>
          <w:p>
            <w:pPr>
              <w:spacing w:after="25" w:before="25" w:line="280" w:lineRule="auto"/>
              <w:jc w:val="left"/>
            </w:pPr>
            <w:r>
              <w:rPr>
                <w:rFonts w:ascii="맑은 고딕" w:cs="맑은 고딕" w:eastAsia="맑은 고딕" w:hAnsi="맑은 고딕"/>
                <w:b w:val="false"/>
                <w:bCs w:val="false"/>
                <w:color w:val="000000"/>
                <w:sz w:val="19"/>
                <w:szCs w:val="19"/>
              </w:rPr>
              <w:t xml:space="preserve">360도 Full Feedback</w:t>
            </w:r>
          </w:p>
          <w:p>
            <w:pPr>
              <w:spacing w:after="25" w:before="25" w:line="280" w:lineRule="auto"/>
              <w:jc w:val="left"/>
            </w:pPr>
            <w:r>
              <w:rPr>
                <w:rFonts w:ascii="맑은 고딕" w:cs="맑은 고딕" w:eastAsia="맑은 고딕" w:hAnsi="맑은 고딕"/>
                <w:b w:val="false"/>
                <w:bCs w:val="false"/>
                <w:color w:val="000000"/>
                <w:sz w:val="19"/>
                <w:szCs w:val="19"/>
              </w:rPr>
              <w:t xml:space="preserve">Calibration Committee 검증</w:t>
            </w:r>
          </w:p>
          <w:p>
            <w:pPr>
              <w:spacing w:after="25" w:before="25" w:line="280" w:lineRule="auto"/>
              <w:jc w:val="left"/>
            </w:pPr>
            <w:r>
              <w:rPr>
                <w:rFonts w:ascii="맑은 고딕" w:cs="맑은 고딕" w:eastAsia="맑은 고딕" w:hAnsi="맑은 고딕"/>
                <w:b w:val="false"/>
                <w:bCs w:val="false"/>
                <w:color w:val="000000"/>
                <w:sz w:val="19"/>
                <w:szCs w:val="19"/>
              </w:rPr>
              <w:t xml:space="preserve">다음 해 IDP·커리어 합의</w:t>
            </w:r>
          </w:p>
        </w:tc>
        <w:tc>
          <w:tcPr>
            <w:tcW w:type="dxa" w:w="3013"/>
            <w:tcBorders>
              <w:top w:val="single" w:color="808080" w:sz="4"/>
              <w:left w:val="single" w:color="808080" w:sz="4"/>
              <w:bottom w:val="single" w:color="808080" w:sz="4"/>
              <w:right w:val="single" w:color="808080" w:sz="4"/>
            </w:tcBorders>
            <w:tcMar>
              <w:top w:type="dxa" w:w="70"/>
              <w:left w:type="dxa" w:w="100"/>
              <w:bottom w:type="dxa" w:w="70"/>
              <w:right w:type="dxa" w:w="100"/>
            </w:tcMar>
            <w:vAlign w:val="center"/>
          </w:tcPr>
          <w:p>
            <w:pPr>
              <w:spacing w:after="25" w:before="25" w:line="280" w:lineRule="auto"/>
              <w:jc w:val="left"/>
            </w:pPr>
            <w:r>
              <w:rPr>
                <w:rFonts w:ascii="맑은 고딕" w:cs="맑은 고딕" w:eastAsia="맑은 고딕" w:hAnsi="맑은 고딕"/>
                <w:b w:val="false"/>
                <w:bCs w:val="false"/>
                <w:color w:val="000000"/>
                <w:sz w:val="19"/>
                <w:szCs w:val="19"/>
              </w:rPr>
              <w:t xml:space="preserve">임팩트 평가 (3단)</w:t>
            </w:r>
          </w:p>
          <w:p>
            <w:pPr>
              <w:spacing w:after="25" w:before="25" w:line="280" w:lineRule="auto"/>
              <w:jc w:val="left"/>
            </w:pPr>
            <w:r>
              <w:rPr>
                <w:rFonts w:ascii="맑은 고딕" w:cs="맑은 고딕" w:eastAsia="맑은 고딕" w:hAnsi="맑은 고딕"/>
                <w:b w:val="false"/>
                <w:bCs w:val="false"/>
                <w:color w:val="000000"/>
                <w:sz w:val="19"/>
                <w:szCs w:val="19"/>
              </w:rPr>
              <w:t xml:space="preserve">보상 권고안</w:t>
            </w:r>
          </w:p>
          <w:p>
            <w:pPr>
              <w:spacing w:after="25" w:before="25" w:line="280" w:lineRule="auto"/>
              <w:jc w:val="left"/>
            </w:pPr>
            <w:r>
              <w:rPr>
                <w:rFonts w:ascii="맑은 고딕" w:cs="맑은 고딕" w:eastAsia="맑은 고딕" w:hAnsi="맑은 고딕"/>
                <w:b w:val="false"/>
                <w:bCs w:val="false"/>
                <w:color w:val="000000"/>
                <w:sz w:val="19"/>
                <w:szCs w:val="19"/>
              </w:rPr>
              <w:t xml:space="preserve">Talent Review 데이터</w:t>
            </w:r>
          </w:p>
        </w:tc>
      </w:tr>
    </w:tbl>
    <w:p>
      <w:pPr>
        <w:spacing w:after="160" w:before="80" w:line="300" w:lineRule="auto"/>
        <w:jc w:val="center"/>
      </w:pPr>
      <w:r>
        <w:rPr>
          <w:rFonts w:ascii="맑은 고딕" w:cs="맑은 고딕" w:eastAsia="맑은 고딕" w:hAnsi="맑은 고딕"/>
          <w:b/>
          <w:bCs/>
          <w:color w:val="404040"/>
          <w:sz w:val="19"/>
          <w:szCs w:val="19"/>
        </w:rPr>
        <w:t xml:space="preserve">[표 3] 4단계 상시 운영체계</w:t>
      </w:r>
    </w:p>
    <w:p>
      <w:pPr>
        <w:spacing w:after="100" w:before="0" w:line="384" w:lineRule="auto"/>
        <w:ind w:firstLine="240"/>
        <w:jc w:val="both"/>
      </w:pPr>
      <w:r>
        <w:rPr>
          <w:rFonts w:ascii="맑은 고딕" w:cs="맑은 고딕" w:eastAsia="맑은 고딕" w:hAnsi="맑은 고딕"/>
          <w:b w:val="false"/>
          <w:bCs w:val="false"/>
          <w:color w:val="000000"/>
          <w:sz w:val="22"/>
          <w:szCs w:val="22"/>
        </w:rPr>
        <w:t xml:space="preserve">운영체계의 성패는 ‘월간 1대 1’의 정착에 달려 있다. 1대 1을 매니저와 구성원이 함께 작성하는 공유 문서로 운영하면 시스템에 자동 축적된다. 이 축적이 분기 리뷰와 연말 평가의 입력 자료가 된다. 즉, 1대 1이 평가의 인프라다.</w:t>
      </w:r>
    </w:p>
    <w:p>
      <w:pPr>
        <w:pStyle w:val="Heading2"/>
        <w:spacing w:after="140" w:before="320" w:line="360" w:lineRule="auto"/>
      </w:pPr>
      <w:r>
        <w:rPr>
          <w:rFonts w:ascii="맑은 고딕" w:cs="맑은 고딕" w:eastAsia="맑은 고딕" w:hAnsi="맑은 고딕"/>
          <w:b/>
          <w:bCs/>
          <w:color w:val="1F3864"/>
          <w:sz w:val="25"/>
          <w:szCs w:val="25"/>
        </w:rPr>
        <w:t xml:space="preserve">3. 개인성과 평가 지표 — What + How 양축</w:t>
      </w:r>
    </w:p>
    <w:p>
      <w:pPr>
        <w:spacing w:after="100" w:before="0" w:line="384" w:lineRule="auto"/>
        <w:ind w:firstLine="240"/>
        <w:jc w:val="both"/>
      </w:pPr>
      <w:r>
        <w:rPr>
          <w:rFonts w:ascii="맑은 고딕" w:cs="맑은 고딕" w:eastAsia="맑은 고딕" w:hAnsi="맑은 고딕"/>
          <w:b w:val="false"/>
          <w:bCs w:val="false"/>
          <w:color w:val="000000"/>
          <w:sz w:val="22"/>
          <w:szCs w:val="22"/>
        </w:rPr>
        <w:t xml:space="preserve">‘무엇을 달성했는가(What)’와 ‘어떻게 일했는가(How)’를 분리해 평가한다. Microsoft Connect의 Impact + Collaboration 모델에서 차용한 구조다.</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1800"/>
        <w:gridCol w:w="3613"/>
        <w:gridCol w:w="3613"/>
      </w:tblGrid>
      <w:tr>
        <w:trPr>
          <w:tblHeader/>
        </w:trPr>
        <w:tc>
          <w:tcPr>
            <w:tcW w:type="dxa" w:w="1800"/>
            <w:tcBorders>
              <w:top w:val="single" w:color="808080" w:sz="4"/>
              <w:left w:val="single" w:color="808080" w:sz="4"/>
              <w:bottom w:val="single" w:color="808080" w:sz="4"/>
              <w:right w:val="single" w:color="808080" w:sz="4"/>
            </w:tcBorders>
            <w:shd w:fill="1F3864" w:color="auto" w:val="clear"/>
            <w:tcMar>
              <w:top w:type="dxa" w:w="70"/>
              <w:left w:type="dxa" w:w="100"/>
              <w:bottom w:type="dxa" w:w="70"/>
              <w:right w:type="dxa" w:w="100"/>
            </w:tcMar>
            <w:vAlign w:val="center"/>
          </w:tcPr>
          <w:p>
            <w:pPr>
              <w:spacing w:after="25" w:before="25" w:line="280" w:lineRule="auto"/>
              <w:jc w:val="center"/>
            </w:pPr>
            <w:r>
              <w:rPr>
                <w:rFonts w:ascii="맑은 고딕" w:cs="맑은 고딕" w:eastAsia="맑은 고딕" w:hAnsi="맑은 고딕"/>
                <w:b/>
                <w:bCs/>
                <w:color w:val="FFFFFF"/>
                <w:sz w:val="19"/>
                <w:szCs w:val="19"/>
              </w:rPr>
              <w:t xml:space="preserve">평가 축</w:t>
            </w:r>
          </w:p>
        </w:tc>
        <w:tc>
          <w:tcPr>
            <w:tcW w:type="dxa" w:w="3613"/>
            <w:tcBorders>
              <w:top w:val="single" w:color="808080" w:sz="4"/>
              <w:left w:val="single" w:color="808080" w:sz="4"/>
              <w:bottom w:val="single" w:color="808080" w:sz="4"/>
              <w:right w:val="single" w:color="808080" w:sz="4"/>
            </w:tcBorders>
            <w:shd w:fill="1F3864" w:color="auto" w:val="clear"/>
            <w:tcMar>
              <w:top w:type="dxa" w:w="70"/>
              <w:left w:type="dxa" w:w="100"/>
              <w:bottom w:type="dxa" w:w="70"/>
              <w:right w:type="dxa" w:w="100"/>
            </w:tcMar>
            <w:vAlign w:val="center"/>
          </w:tcPr>
          <w:p>
            <w:pPr>
              <w:spacing w:after="25" w:before="25" w:line="280" w:lineRule="auto"/>
              <w:jc w:val="center"/>
            </w:pPr>
            <w:r>
              <w:rPr>
                <w:rFonts w:ascii="맑은 고딕" w:cs="맑은 고딕" w:eastAsia="맑은 고딕" w:hAnsi="맑은 고딕"/>
                <w:b/>
                <w:bCs/>
                <w:color w:val="FFFFFF"/>
                <w:sz w:val="19"/>
                <w:szCs w:val="19"/>
              </w:rPr>
              <w:t xml:space="preserve">What — 성과·결과</w:t>
            </w:r>
          </w:p>
        </w:tc>
        <w:tc>
          <w:tcPr>
            <w:tcW w:type="dxa" w:w="3613"/>
            <w:tcBorders>
              <w:top w:val="single" w:color="808080" w:sz="4"/>
              <w:left w:val="single" w:color="808080" w:sz="4"/>
              <w:bottom w:val="single" w:color="808080" w:sz="4"/>
              <w:right w:val="single" w:color="808080" w:sz="4"/>
            </w:tcBorders>
            <w:shd w:fill="1F3864" w:color="auto" w:val="clear"/>
            <w:tcMar>
              <w:top w:type="dxa" w:w="70"/>
              <w:left w:type="dxa" w:w="100"/>
              <w:bottom w:type="dxa" w:w="70"/>
              <w:right w:type="dxa" w:w="100"/>
            </w:tcMar>
            <w:vAlign w:val="center"/>
          </w:tcPr>
          <w:p>
            <w:pPr>
              <w:spacing w:after="25" w:before="25" w:line="280" w:lineRule="auto"/>
              <w:jc w:val="center"/>
            </w:pPr>
            <w:r>
              <w:rPr>
                <w:rFonts w:ascii="맑은 고딕" w:cs="맑은 고딕" w:eastAsia="맑은 고딕" w:hAnsi="맑은 고딕"/>
                <w:b/>
                <w:bCs/>
                <w:color w:val="FFFFFF"/>
                <w:sz w:val="19"/>
                <w:szCs w:val="19"/>
              </w:rPr>
              <w:t xml:space="preserve">How — 역량·행동</w:t>
            </w:r>
          </w:p>
        </w:tc>
      </w:tr>
      <w:tr>
        <w:tc>
          <w:tcPr>
            <w:tcW w:type="dxa" w:w="1800"/>
            <w:tcBorders>
              <w:top w:val="single" w:color="808080" w:sz="4"/>
              <w:left w:val="single" w:color="808080" w:sz="4"/>
              <w:bottom w:val="single" w:color="808080" w:sz="4"/>
              <w:right w:val="single" w:color="808080" w:sz="4"/>
            </w:tcBorders>
            <w:shd w:fill="E7EEF8" w:color="auto" w:val="clear"/>
            <w:tcMar>
              <w:top w:type="dxa" w:w="70"/>
              <w:left w:type="dxa" w:w="100"/>
              <w:bottom w:type="dxa" w:w="70"/>
              <w:right w:type="dxa" w:w="100"/>
            </w:tcMar>
            <w:vAlign w:val="center"/>
          </w:tcPr>
          <w:p>
            <w:pPr>
              <w:spacing w:after="25" w:before="25" w:line="280" w:lineRule="auto"/>
              <w:jc w:val="left"/>
            </w:pPr>
            <w:r>
              <w:rPr>
                <w:rFonts w:ascii="맑은 고딕" w:cs="맑은 고딕" w:eastAsia="맑은 고딕" w:hAnsi="맑은 고딕"/>
                <w:b/>
                <w:bCs/>
                <w:color w:val="000000"/>
                <w:sz w:val="19"/>
                <w:szCs w:val="19"/>
              </w:rPr>
              <w:t xml:space="preserve">측정 대상</w:t>
            </w:r>
          </w:p>
        </w:tc>
        <w:tc>
          <w:tcPr>
            <w:tcW w:type="dxa" w:w="3613"/>
            <w:tcBorders>
              <w:top w:val="single" w:color="808080" w:sz="4"/>
              <w:left w:val="single" w:color="808080" w:sz="4"/>
              <w:bottom w:val="single" w:color="808080" w:sz="4"/>
              <w:right w:val="single" w:color="808080" w:sz="4"/>
            </w:tcBorders>
            <w:tcMar>
              <w:top w:type="dxa" w:w="70"/>
              <w:left w:type="dxa" w:w="100"/>
              <w:bottom w:type="dxa" w:w="70"/>
              <w:right w:type="dxa" w:w="100"/>
            </w:tcMar>
            <w:vAlign w:val="center"/>
          </w:tcPr>
          <w:p>
            <w:pPr>
              <w:spacing w:after="25" w:before="25" w:line="280" w:lineRule="auto"/>
              <w:jc w:val="left"/>
            </w:pPr>
            <w:r>
              <w:rPr>
                <w:rFonts w:ascii="맑은 고딕" w:cs="맑은 고딕" w:eastAsia="맑은 고딕" w:hAnsi="맑은 고딕"/>
                <w:b w:val="false"/>
                <w:bCs w:val="false"/>
                <w:color w:val="000000"/>
                <w:sz w:val="19"/>
                <w:szCs w:val="19"/>
              </w:rPr>
              <w:t xml:space="preserve">OKR 달성도·KPI·비즈니스 임팩트</w:t>
            </w:r>
          </w:p>
        </w:tc>
        <w:tc>
          <w:tcPr>
            <w:tcW w:type="dxa" w:w="3613"/>
            <w:tcBorders>
              <w:top w:val="single" w:color="808080" w:sz="4"/>
              <w:left w:val="single" w:color="808080" w:sz="4"/>
              <w:bottom w:val="single" w:color="808080" w:sz="4"/>
              <w:right w:val="single" w:color="808080" w:sz="4"/>
            </w:tcBorders>
            <w:tcMar>
              <w:top w:type="dxa" w:w="70"/>
              <w:left w:type="dxa" w:w="100"/>
              <w:bottom w:type="dxa" w:w="70"/>
              <w:right w:type="dxa" w:w="100"/>
            </w:tcMar>
            <w:vAlign w:val="center"/>
          </w:tcPr>
          <w:p>
            <w:pPr>
              <w:spacing w:after="25" w:before="25" w:line="280" w:lineRule="auto"/>
              <w:jc w:val="left"/>
            </w:pPr>
            <w:r>
              <w:rPr>
                <w:rFonts w:ascii="맑은 고딕" w:cs="맑은 고딕" w:eastAsia="맑은 고딕" w:hAnsi="맑은 고딕"/>
                <w:b w:val="false"/>
                <w:bCs w:val="false"/>
                <w:color w:val="000000"/>
                <w:sz w:val="19"/>
                <w:szCs w:val="19"/>
              </w:rPr>
              <w:t xml:space="preserve">리더십·협업·고객지향·전문성·학습민첩성</w:t>
            </w:r>
          </w:p>
        </w:tc>
      </w:tr>
      <w:tr>
        <w:tc>
          <w:tcPr>
            <w:tcW w:type="dxa" w:w="1800"/>
            <w:tcBorders>
              <w:top w:val="single" w:color="808080" w:sz="4"/>
              <w:left w:val="single" w:color="808080" w:sz="4"/>
              <w:bottom w:val="single" w:color="808080" w:sz="4"/>
              <w:right w:val="single" w:color="808080" w:sz="4"/>
            </w:tcBorders>
            <w:shd w:fill="E7EEF8" w:color="auto" w:val="clear"/>
            <w:tcMar>
              <w:top w:type="dxa" w:w="70"/>
              <w:left w:type="dxa" w:w="100"/>
              <w:bottom w:type="dxa" w:w="70"/>
              <w:right w:type="dxa" w:w="100"/>
            </w:tcMar>
            <w:vAlign w:val="center"/>
          </w:tcPr>
          <w:p>
            <w:pPr>
              <w:spacing w:after="25" w:before="25" w:line="280" w:lineRule="auto"/>
              <w:jc w:val="left"/>
            </w:pPr>
            <w:r>
              <w:rPr>
                <w:rFonts w:ascii="맑은 고딕" w:cs="맑은 고딕" w:eastAsia="맑은 고딕" w:hAnsi="맑은 고딕"/>
                <w:b/>
                <w:bCs/>
                <w:color w:val="000000"/>
                <w:sz w:val="19"/>
                <w:szCs w:val="19"/>
              </w:rPr>
              <w:t xml:space="preserve">정보원</w:t>
            </w:r>
          </w:p>
        </w:tc>
        <w:tc>
          <w:tcPr>
            <w:tcW w:type="dxa" w:w="3613"/>
            <w:tcBorders>
              <w:top w:val="single" w:color="808080" w:sz="4"/>
              <w:left w:val="single" w:color="808080" w:sz="4"/>
              <w:bottom w:val="single" w:color="808080" w:sz="4"/>
              <w:right w:val="single" w:color="808080" w:sz="4"/>
            </w:tcBorders>
            <w:tcMar>
              <w:top w:type="dxa" w:w="70"/>
              <w:left w:type="dxa" w:w="100"/>
              <w:bottom w:type="dxa" w:w="70"/>
              <w:right w:type="dxa" w:w="100"/>
            </w:tcMar>
            <w:vAlign w:val="center"/>
          </w:tcPr>
          <w:p>
            <w:pPr>
              <w:spacing w:after="25" w:before="25" w:line="280" w:lineRule="auto"/>
              <w:jc w:val="left"/>
            </w:pPr>
            <w:r>
              <w:rPr>
                <w:rFonts w:ascii="맑은 고딕" w:cs="맑은 고딕" w:eastAsia="맑은 고딕" w:hAnsi="맑은 고딕"/>
                <w:b w:val="false"/>
                <w:bCs w:val="false"/>
                <w:color w:val="000000"/>
                <w:sz w:val="19"/>
                <w:szCs w:val="19"/>
              </w:rPr>
              <w:t xml:space="preserve">시스템 데이터 + 자기보고 + 매니저</w:t>
            </w:r>
          </w:p>
        </w:tc>
        <w:tc>
          <w:tcPr>
            <w:tcW w:type="dxa" w:w="3613"/>
            <w:tcBorders>
              <w:top w:val="single" w:color="808080" w:sz="4"/>
              <w:left w:val="single" w:color="808080" w:sz="4"/>
              <w:bottom w:val="single" w:color="808080" w:sz="4"/>
              <w:right w:val="single" w:color="808080" w:sz="4"/>
            </w:tcBorders>
            <w:tcMar>
              <w:top w:type="dxa" w:w="70"/>
              <w:left w:type="dxa" w:w="100"/>
              <w:bottom w:type="dxa" w:w="70"/>
              <w:right w:type="dxa" w:w="100"/>
            </w:tcMar>
            <w:vAlign w:val="center"/>
          </w:tcPr>
          <w:p>
            <w:pPr>
              <w:spacing w:after="25" w:before="25" w:line="280" w:lineRule="auto"/>
              <w:jc w:val="left"/>
            </w:pPr>
            <w:r>
              <w:rPr>
                <w:rFonts w:ascii="맑은 고딕" w:cs="맑은 고딕" w:eastAsia="맑은 고딕" w:hAnsi="맑은 고딕"/>
                <w:b w:val="false"/>
                <w:bCs w:val="false"/>
                <w:color w:val="000000"/>
                <w:sz w:val="19"/>
                <w:szCs w:val="19"/>
              </w:rPr>
              <w:t xml:space="preserve">360도 (매니저·동료·부하·고객)</w:t>
            </w:r>
          </w:p>
        </w:tc>
      </w:tr>
      <w:tr>
        <w:tc>
          <w:tcPr>
            <w:tcW w:type="dxa" w:w="1800"/>
            <w:tcBorders>
              <w:top w:val="single" w:color="808080" w:sz="4"/>
              <w:left w:val="single" w:color="808080" w:sz="4"/>
              <w:bottom w:val="single" w:color="808080" w:sz="4"/>
              <w:right w:val="single" w:color="808080" w:sz="4"/>
            </w:tcBorders>
            <w:shd w:fill="E7EEF8" w:color="auto" w:val="clear"/>
            <w:tcMar>
              <w:top w:type="dxa" w:w="70"/>
              <w:left w:type="dxa" w:w="100"/>
              <w:bottom w:type="dxa" w:w="70"/>
              <w:right w:type="dxa" w:w="100"/>
            </w:tcMar>
            <w:vAlign w:val="center"/>
          </w:tcPr>
          <w:p>
            <w:pPr>
              <w:spacing w:after="25" w:before="25" w:line="280" w:lineRule="auto"/>
              <w:jc w:val="left"/>
            </w:pPr>
            <w:r>
              <w:rPr>
                <w:rFonts w:ascii="맑은 고딕" w:cs="맑은 고딕" w:eastAsia="맑은 고딕" w:hAnsi="맑은 고딕"/>
                <w:b/>
                <w:bCs/>
                <w:color w:val="000000"/>
                <w:sz w:val="19"/>
                <w:szCs w:val="19"/>
              </w:rPr>
              <w:t xml:space="preserve">평가 형식</w:t>
            </w:r>
          </w:p>
        </w:tc>
        <w:tc>
          <w:tcPr>
            <w:tcW w:type="dxa" w:w="3613"/>
            <w:tcBorders>
              <w:top w:val="single" w:color="808080" w:sz="4"/>
              <w:left w:val="single" w:color="808080" w:sz="4"/>
              <w:bottom w:val="single" w:color="808080" w:sz="4"/>
              <w:right w:val="single" w:color="808080" w:sz="4"/>
            </w:tcBorders>
            <w:tcMar>
              <w:top w:type="dxa" w:w="70"/>
              <w:left w:type="dxa" w:w="100"/>
              <w:bottom w:type="dxa" w:w="70"/>
              <w:right w:type="dxa" w:w="100"/>
            </w:tcMar>
            <w:vAlign w:val="center"/>
          </w:tcPr>
          <w:p>
            <w:pPr>
              <w:spacing w:after="25" w:before="25" w:line="280" w:lineRule="auto"/>
              <w:jc w:val="left"/>
            </w:pPr>
            <w:r>
              <w:rPr>
                <w:rFonts w:ascii="맑은 고딕" w:cs="맑은 고딕" w:eastAsia="맑은 고딕" w:hAnsi="맑은 고딕"/>
                <w:b w:val="false"/>
                <w:bCs w:val="false"/>
                <w:color w:val="000000"/>
                <w:sz w:val="19"/>
                <w:szCs w:val="19"/>
              </w:rPr>
              <w:t xml:space="preserve">3단 임팩트 (Exceeds·Achieves·Below)</w:t>
            </w:r>
          </w:p>
        </w:tc>
        <w:tc>
          <w:tcPr>
            <w:tcW w:type="dxa" w:w="3613"/>
            <w:tcBorders>
              <w:top w:val="single" w:color="808080" w:sz="4"/>
              <w:left w:val="single" w:color="808080" w:sz="4"/>
              <w:bottom w:val="single" w:color="808080" w:sz="4"/>
              <w:right w:val="single" w:color="808080" w:sz="4"/>
            </w:tcBorders>
            <w:tcMar>
              <w:top w:type="dxa" w:w="70"/>
              <w:left w:type="dxa" w:w="100"/>
              <w:bottom w:type="dxa" w:w="70"/>
              <w:right w:type="dxa" w:w="100"/>
            </w:tcMar>
            <w:vAlign w:val="center"/>
          </w:tcPr>
          <w:p>
            <w:pPr>
              <w:spacing w:after="25" w:before="25" w:line="280" w:lineRule="auto"/>
              <w:jc w:val="left"/>
            </w:pPr>
            <w:r>
              <w:rPr>
                <w:rFonts w:ascii="맑은 고딕" w:cs="맑은 고딕" w:eastAsia="맑은 고딕" w:hAnsi="맑은 고딕"/>
                <w:b w:val="false"/>
                <w:bCs w:val="false"/>
                <w:color w:val="000000"/>
                <w:sz w:val="19"/>
                <w:szCs w:val="19"/>
              </w:rPr>
              <w:t xml:space="preserve">3단 행동기준 (Role Model·Effective·Developing)</w:t>
            </w:r>
          </w:p>
        </w:tc>
      </w:tr>
      <w:tr>
        <w:tc>
          <w:tcPr>
            <w:tcW w:type="dxa" w:w="1800"/>
            <w:tcBorders>
              <w:top w:val="single" w:color="808080" w:sz="4"/>
              <w:left w:val="single" w:color="808080" w:sz="4"/>
              <w:bottom w:val="single" w:color="808080" w:sz="4"/>
              <w:right w:val="single" w:color="808080" w:sz="4"/>
            </w:tcBorders>
            <w:shd w:fill="E7EEF8" w:color="auto" w:val="clear"/>
            <w:tcMar>
              <w:top w:type="dxa" w:w="70"/>
              <w:left w:type="dxa" w:w="100"/>
              <w:bottom w:type="dxa" w:w="70"/>
              <w:right w:type="dxa" w:w="100"/>
            </w:tcMar>
            <w:vAlign w:val="center"/>
          </w:tcPr>
          <w:p>
            <w:pPr>
              <w:spacing w:after="25" w:before="25" w:line="280" w:lineRule="auto"/>
              <w:jc w:val="left"/>
            </w:pPr>
            <w:r>
              <w:rPr>
                <w:rFonts w:ascii="맑은 고딕" w:cs="맑은 고딕" w:eastAsia="맑은 고딕" w:hAnsi="맑은 고딕"/>
                <w:b/>
                <w:bCs/>
                <w:color w:val="000000"/>
                <w:sz w:val="19"/>
                <w:szCs w:val="19"/>
              </w:rPr>
              <w:t xml:space="preserve">주된 활용</w:t>
            </w:r>
          </w:p>
        </w:tc>
        <w:tc>
          <w:tcPr>
            <w:tcW w:type="dxa" w:w="3613"/>
            <w:tcBorders>
              <w:top w:val="single" w:color="808080" w:sz="4"/>
              <w:left w:val="single" w:color="808080" w:sz="4"/>
              <w:bottom w:val="single" w:color="808080" w:sz="4"/>
              <w:right w:val="single" w:color="808080" w:sz="4"/>
            </w:tcBorders>
            <w:tcMar>
              <w:top w:type="dxa" w:w="70"/>
              <w:left w:type="dxa" w:w="100"/>
              <w:bottom w:type="dxa" w:w="70"/>
              <w:right w:type="dxa" w:w="100"/>
            </w:tcMar>
            <w:vAlign w:val="center"/>
          </w:tcPr>
          <w:p>
            <w:pPr>
              <w:spacing w:after="25" w:before="25" w:line="280" w:lineRule="auto"/>
              <w:jc w:val="left"/>
            </w:pPr>
            <w:r>
              <w:rPr>
                <w:rFonts w:ascii="맑은 고딕" w:cs="맑은 고딕" w:eastAsia="맑은 고딕" w:hAnsi="맑은 고딕"/>
                <w:b w:val="false"/>
                <w:bCs w:val="false"/>
                <w:color w:val="000000"/>
                <w:sz w:val="19"/>
                <w:szCs w:val="19"/>
              </w:rPr>
              <w:t xml:space="preserve">성과급 (보상 트랙)</w:t>
            </w:r>
          </w:p>
        </w:tc>
        <w:tc>
          <w:tcPr>
            <w:tcW w:type="dxa" w:w="3613"/>
            <w:tcBorders>
              <w:top w:val="single" w:color="808080" w:sz="4"/>
              <w:left w:val="single" w:color="808080" w:sz="4"/>
              <w:bottom w:val="single" w:color="808080" w:sz="4"/>
              <w:right w:val="single" w:color="808080" w:sz="4"/>
            </w:tcBorders>
            <w:tcMar>
              <w:top w:type="dxa" w:w="70"/>
              <w:left w:type="dxa" w:w="100"/>
              <w:bottom w:type="dxa" w:w="70"/>
              <w:right w:type="dxa" w:w="100"/>
            </w:tcMar>
            <w:vAlign w:val="center"/>
          </w:tcPr>
          <w:p>
            <w:pPr>
              <w:spacing w:after="25" w:before="25" w:line="280" w:lineRule="auto"/>
              <w:jc w:val="left"/>
            </w:pPr>
            <w:r>
              <w:rPr>
                <w:rFonts w:ascii="맑은 고딕" w:cs="맑은 고딕" w:eastAsia="맑은 고딕" w:hAnsi="맑은 고딕"/>
                <w:b w:val="false"/>
                <w:bCs w:val="false"/>
                <w:color w:val="000000"/>
                <w:sz w:val="19"/>
                <w:szCs w:val="19"/>
              </w:rPr>
              <w:t xml:space="preserve">승진·승급·IDP·코칭 (평가 트랙)</w:t>
            </w:r>
          </w:p>
        </w:tc>
      </w:tr>
    </w:tbl>
    <w:p>
      <w:pPr>
        <w:spacing w:after="160" w:before="80" w:line="300" w:lineRule="auto"/>
        <w:jc w:val="center"/>
      </w:pPr>
      <w:r>
        <w:rPr>
          <w:rFonts w:ascii="맑은 고딕" w:cs="맑은 고딕" w:eastAsia="맑은 고딕" w:hAnsi="맑은 고딕"/>
          <w:b/>
          <w:bCs/>
          <w:color w:val="404040"/>
          <w:sz w:val="19"/>
          <w:szCs w:val="19"/>
        </w:rPr>
        <w:t xml:space="preserve">[표 4] What + How 양축 평가지표</w:t>
      </w:r>
    </w:p>
    <w:p>
      <w:pPr>
        <w:spacing w:after="100" w:before="0" w:line="384" w:lineRule="auto"/>
        <w:ind w:firstLine="240"/>
        <w:jc w:val="both"/>
      </w:pPr>
      <w:r>
        <w:rPr>
          <w:rFonts w:ascii="맑은 고딕" w:cs="맑은 고딕" w:eastAsia="맑은 고딕" w:hAnsi="맑은 고딕"/>
          <w:b w:val="false"/>
          <w:bCs w:val="false"/>
          <w:color w:val="000000"/>
          <w:sz w:val="22"/>
          <w:szCs w:val="22"/>
        </w:rPr>
        <w:t xml:space="preserve">What은 보상의 입력으로, How는 승진과 IDP의 입력으로 분리 활용한다. 이 분리가 평가의 ‘성장 기능’과 ‘보상 기능’의 충돌을 시스템 차원에서 해소하는 첫 단추다.</w:t>
      </w:r>
    </w:p>
    <w:p>
      <w:pPr>
        <w:pStyle w:val="Heading2"/>
        <w:spacing w:after="140" w:before="320" w:line="360" w:lineRule="auto"/>
      </w:pPr>
      <w:r>
        <w:rPr>
          <w:rFonts w:ascii="맑은 고딕" w:cs="맑은 고딕" w:eastAsia="맑은 고딕" w:hAnsi="맑은 고딕"/>
          <w:b/>
          <w:bCs/>
          <w:color w:val="1F3864"/>
          <w:sz w:val="25"/>
          <w:szCs w:val="25"/>
        </w:rPr>
        <w:t xml:space="preserve">4. AI 기반 성과관리 도입</w:t>
      </w:r>
    </w:p>
    <w:p>
      <w:pPr>
        <w:pStyle w:val="Heading3"/>
        <w:spacing w:after="80" w:before="200" w:line="360" w:lineRule="auto"/>
      </w:pPr>
      <w:r>
        <w:rPr>
          <w:rFonts w:ascii="맑은 고딕" w:cs="맑은 고딕" w:eastAsia="맑은 고딕" w:hAnsi="맑은 고딕"/>
          <w:b/>
          <w:bCs/>
          <w:color w:val="2F5496"/>
          <w:sz w:val="22"/>
          <w:szCs w:val="22"/>
        </w:rPr>
        <w:t xml:space="preserve">(1) 실시간 목표진척률 관리</w:t>
      </w:r>
    </w:p>
    <w:p>
      <w:pPr>
        <w:spacing w:after="100" w:before="0" w:line="384" w:lineRule="auto"/>
        <w:ind w:firstLine="240"/>
        <w:jc w:val="both"/>
      </w:pPr>
      <w:r>
        <w:rPr>
          <w:rFonts w:ascii="맑은 고딕" w:cs="맑은 고딕" w:eastAsia="맑은 고딕" w:hAnsi="맑은 고딕"/>
          <w:b w:val="false"/>
          <w:bCs w:val="false"/>
          <w:color w:val="000000"/>
          <w:sz w:val="22"/>
          <w:szCs w:val="22"/>
        </w:rPr>
        <w:t xml:space="preserve">OKR 진척률을 실시간 대시보드로 시각화한다. 매니저는 1대 1 미팅 전에 진척률을 확인하고 코칭 주제를 준비한다. 회상에 의존한 평가에서 데이터 기반 평가로 전환된다.</w:t>
      </w:r>
    </w:p>
    <w:p>
      <w:pPr>
        <w:pStyle w:val="Heading3"/>
        <w:spacing w:after="80" w:before="200" w:line="360" w:lineRule="auto"/>
      </w:pPr>
      <w:r>
        <w:rPr>
          <w:rFonts w:ascii="맑은 고딕" w:cs="맑은 고딕" w:eastAsia="맑은 고딕" w:hAnsi="맑은 고딕"/>
          <w:b/>
          <w:bCs/>
          <w:color w:val="2F5496"/>
          <w:sz w:val="22"/>
          <w:szCs w:val="22"/>
        </w:rPr>
        <w:t xml:space="preserve">(2) 데이터 기반 업무성과 분석</w:t>
      </w:r>
    </w:p>
    <w:p>
      <w:pPr>
        <w:spacing w:after="100" w:before="0" w:line="384" w:lineRule="auto"/>
        <w:ind w:firstLine="240"/>
        <w:jc w:val="both"/>
      </w:pPr>
      <w:r>
        <w:rPr>
          <w:rFonts w:ascii="맑은 고딕" w:cs="맑은 고딕" w:eastAsia="맑은 고딕" w:hAnsi="맑은 고딕"/>
          <w:b w:val="false"/>
          <w:bCs w:val="false"/>
          <w:color w:val="000000"/>
          <w:sz w:val="22"/>
          <w:szCs w:val="22"/>
        </w:rPr>
        <w:t xml:space="preserve">협업 도구 로그, 코드 커밋, 영업 파이프라인 진척률 같은 시스템 데이터를 종합한다. People Analytics 플랫폼(Lattice·Workleap·Betterworks 등)이 이 분석을 자동화한다. ‘flight risk’ 같은 이직 위험 신호도 조기 경보된다.</w:t>
      </w:r>
    </w:p>
    <w:p>
      <w:pPr>
        <w:pStyle w:val="Heading3"/>
        <w:spacing w:after="80" w:before="200" w:line="360" w:lineRule="auto"/>
      </w:pPr>
      <w:r>
        <w:rPr>
          <w:rFonts w:ascii="맑은 고딕" w:cs="맑은 고딕" w:eastAsia="맑은 고딕" w:hAnsi="맑은 고딕"/>
          <w:b/>
          <w:bCs/>
          <w:color w:val="2F5496"/>
          <w:sz w:val="22"/>
          <w:szCs w:val="22"/>
        </w:rPr>
        <w:t xml:space="preserve">(3) 피드백 자동 추천 시스템</w:t>
      </w:r>
    </w:p>
    <w:p>
      <w:pPr>
        <w:spacing w:after="100" w:before="0" w:line="384" w:lineRule="auto"/>
        <w:ind w:firstLine="240"/>
        <w:jc w:val="both"/>
      </w:pPr>
      <w:r>
        <w:rPr>
          <w:rFonts w:ascii="맑은 고딕" w:cs="맑은 고딕" w:eastAsia="맑은 고딕" w:hAnsi="맑은 고딕"/>
          <w:b w:val="false"/>
          <w:bCs w:val="false"/>
          <w:color w:val="000000"/>
          <w:sz w:val="22"/>
          <w:szCs w:val="22"/>
        </w:rPr>
        <w:t xml:space="preserve">AI가 1대 1 미팅의 어젠다를 자동 제안한다. 지난 1대 1 액션, OKR 진척률, 동료 인정 신호를 결합해 다음 대화 주제를 추천한다. 360도 서술형 피드백의 핵심 테마와 감정·강도를 자동 분류해 매니저의 코멘트 작성을 보조한다.</w:t>
      </w:r>
    </w:p>
    <w:p>
      <w:pPr>
        <w:pStyle w:val="Heading3"/>
        <w:spacing w:after="80" w:before="200" w:line="360" w:lineRule="auto"/>
      </w:pPr>
      <w:r>
        <w:rPr>
          <w:rFonts w:ascii="맑은 고딕" w:cs="맑은 고딕" w:eastAsia="맑은 고딕" w:hAnsi="맑은 고딕"/>
          <w:b/>
          <w:bCs/>
          <w:color w:val="2F5496"/>
          <w:sz w:val="22"/>
          <w:szCs w:val="22"/>
        </w:rPr>
        <w:t xml:space="preserve">(4) AI 거버넌스의 원칙</w:t>
      </w:r>
    </w:p>
    <w:p>
      <w:pPr>
        <w:spacing w:after="100" w:before="0" w:line="384" w:lineRule="auto"/>
        <w:ind w:firstLine="240"/>
        <w:jc w:val="both"/>
      </w:pPr>
      <w:r>
        <w:rPr>
          <w:rFonts w:ascii="맑은 고딕" w:cs="맑은 고딕" w:eastAsia="맑은 고딕" w:hAnsi="맑은 고딕"/>
          <w:b w:val="false"/>
          <w:bCs w:val="false"/>
          <w:color w:val="000000"/>
          <w:sz w:val="22"/>
          <w:szCs w:val="22"/>
        </w:rPr>
        <w:t xml:space="preserve">AI는 평가의 보조 도구이지 결정자가 아니다. 윤동열(2026)이 지적한 ‘사실 오류·기밀 유출·비인격화’의 위험을 함께 관리해야 한다. 입력 데이터의 종류·활용 방식의 투명성, 사실 검증 책임 소재, 표준 프롬프트의 사전 합의가 거버넌스의 3대 요소다. 최종 판단은 항상 매니저와 캘리브레이션 위원회가 내린다.</w:t>
      </w:r>
    </w:p>
    <w:p>
      <w:pPr>
        <w:pStyle w:val="Heading2"/>
        <w:spacing w:after="140" w:before="320" w:line="360" w:lineRule="auto"/>
      </w:pPr>
      <w:r>
        <w:rPr>
          <w:rFonts w:ascii="맑은 고딕" w:cs="맑은 고딕" w:eastAsia="맑은 고딕" w:hAnsi="맑은 고딕"/>
          <w:b/>
          <w:bCs/>
          <w:color w:val="1F3864"/>
          <w:sz w:val="25"/>
          <w:szCs w:val="25"/>
        </w:rPr>
        <w:t xml:space="preserve">5. 저성과자 관리 제도 — 3단 트랙</w:t>
      </w:r>
    </w:p>
    <w:p>
      <w:pPr>
        <w:pStyle w:val="Heading3"/>
        <w:spacing w:after="80" w:before="200" w:line="360" w:lineRule="auto"/>
      </w:pPr>
      <w:r>
        <w:rPr>
          <w:rFonts w:ascii="맑은 고딕" w:cs="맑은 고딕" w:eastAsia="맑은 고딕" w:hAnsi="맑은 고딕"/>
          <w:b/>
          <w:bCs/>
          <w:color w:val="2F5496"/>
          <w:sz w:val="22"/>
          <w:szCs w:val="22"/>
        </w:rPr>
        <w:t xml:space="preserve">(1) 1단계 — 코칭 트랙 (1~2개월)</w:t>
      </w:r>
    </w:p>
    <w:p>
      <w:pPr>
        <w:spacing w:after="100" w:before="0" w:line="384" w:lineRule="auto"/>
        <w:ind w:firstLine="240"/>
        <w:jc w:val="both"/>
      </w:pPr>
      <w:r>
        <w:rPr>
          <w:rFonts w:ascii="맑은 고딕" w:cs="맑은 고딕" w:eastAsia="맑은 고딕" w:hAnsi="맑은 고딕"/>
          <w:b w:val="false"/>
          <w:bCs w:val="false"/>
          <w:color w:val="000000"/>
          <w:sz w:val="22"/>
          <w:szCs w:val="22"/>
        </w:rPr>
        <w:t xml:space="preserve">분기 리뷰에서 저성과 신호가 식별되면 코칭 트랙에 진입한다. 공식 PIP가 아닌 ‘성과 회복 코칭’이다. 매니저·HRBP·외부 코치 3자가 4~8주의 집중 코칭을 제공한다. 명확한 마일스톤과 주간 점검을 포함한다.</w:t>
      </w:r>
    </w:p>
    <w:p>
      <w:pPr>
        <w:pStyle w:val="Heading3"/>
        <w:spacing w:after="80" w:before="200" w:line="360" w:lineRule="auto"/>
      </w:pPr>
      <w:r>
        <w:rPr>
          <w:rFonts w:ascii="맑은 고딕" w:cs="맑은 고딕" w:eastAsia="맑은 고딕" w:hAnsi="맑은 고딕"/>
          <w:b/>
          <w:bCs/>
          <w:color w:val="2F5496"/>
          <w:sz w:val="22"/>
          <w:szCs w:val="22"/>
        </w:rPr>
        <w:t xml:space="preserve">(2) 2단계 — PIP, 성과개선 프로그램 (3~6개월)</w:t>
      </w:r>
    </w:p>
    <w:p>
      <w:pPr>
        <w:spacing w:after="100" w:before="0" w:line="384" w:lineRule="auto"/>
        <w:ind w:firstLine="240"/>
        <w:jc w:val="both"/>
      </w:pPr>
      <w:r>
        <w:rPr>
          <w:rFonts w:ascii="맑은 고딕" w:cs="맑은 고딕" w:eastAsia="맑은 고딕" w:hAnsi="맑은 고딕"/>
          <w:b w:val="false"/>
          <w:bCs w:val="false"/>
          <w:color w:val="000000"/>
          <w:sz w:val="22"/>
          <w:szCs w:val="22"/>
        </w:rPr>
        <w:t xml:space="preserve">코칭에도 개선이 없으면 정식 PIP에 진입한다. 한국 법원 판례는 PIP가 ‘진정한 성과개선 프로그램이어야 정당성을 인정받는다’고 본다(딜라이트노무법인, 2024). 따라서 SMART 원칙에 부합하는 측정 가능한 목표, 회사의 지원 수단, 월 2회 이상의 진척 점검 기록, 객관적 평가 근거, 종료 후 처리 옵션의 다섯 요건을 반드시 충족한다.</w:t>
      </w:r>
    </w:p>
    <w:p>
      <w:pPr>
        <w:pStyle w:val="Heading3"/>
        <w:spacing w:after="80" w:before="200" w:line="360" w:lineRule="auto"/>
      </w:pPr>
      <w:r>
        <w:rPr>
          <w:rFonts w:ascii="맑은 고딕" w:cs="맑은 고딕" w:eastAsia="맑은 고딕" w:hAnsi="맑은 고딕"/>
          <w:b/>
          <w:bCs/>
          <w:color w:val="2F5496"/>
          <w:sz w:val="22"/>
          <w:szCs w:val="22"/>
        </w:rPr>
        <w:t xml:space="preserve">(3) 3단계 — 직무재배치 프로그램</w:t>
      </w:r>
    </w:p>
    <w:p>
      <w:pPr>
        <w:spacing w:after="100" w:before="0" w:line="384" w:lineRule="auto"/>
        <w:ind w:firstLine="240"/>
        <w:jc w:val="both"/>
      </w:pPr>
      <w:r>
        <w:rPr>
          <w:rFonts w:ascii="맑은 고딕" w:cs="맑은 고딕" w:eastAsia="맑은 고딕" w:hAnsi="맑은 고딕"/>
          <w:b w:val="false"/>
          <w:bCs w:val="false"/>
          <w:color w:val="000000"/>
          <w:sz w:val="22"/>
          <w:szCs w:val="22"/>
        </w:rPr>
        <w:t xml:space="preserve">PIP 미통과자에게는 즉시 해고가 아닌 ‘직무 적합도 재진단과 사내 재배치’를 우선 적용한다. Boudreau &amp; Cascio(2017)는 저성과의 30~40퍼센트가 ‘역량 부족’이 아닌 ‘직무 적합도 불일치’에서 비롯된다고 본다. 사내 공모제와 잡 마켓플레이스로 재배치 기회를 우선 제공한 후, 적합 자리가 없을 때 합의 분리와 재취업 지원으로 이행한다.</w:t>
      </w:r>
    </w:p>
    <w:p>
      <w:pPr>
        <w:pStyle w:val="Heading1"/>
        <w:pageBreakBefore/>
        <w:pBdr>
          <w:bottom w:val="single" w:color="1F3864" w:sz="10" w:space="8"/>
        </w:pBdr>
        <w:spacing w:after="240" w:before="200" w:line="360" w:lineRule="auto"/>
      </w:pPr>
      <w:r>
        <w:rPr>
          <w:rFonts w:ascii="맑은 고딕" w:cs="맑은 고딕" w:eastAsia="맑은 고딕" w:hAnsi="맑은 고딕"/>
          <w:b/>
          <w:bCs/>
          <w:color w:val="1F3864"/>
          <w:sz w:val="30"/>
          <w:szCs w:val="30"/>
        </w:rPr>
        <w:t xml:space="preserve">Ⅴ. 기대효과</w:t>
      </w:r>
    </w:p>
    <w:p>
      <w:pPr>
        <w:spacing w:after="100" w:before="0" w:line="384" w:lineRule="auto"/>
        <w:ind w:firstLine="240"/>
        <w:jc w:val="both"/>
      </w:pPr>
      <w:r>
        <w:rPr>
          <w:rFonts w:ascii="맑은 고딕" w:cs="맑은 고딕" w:eastAsia="맑은 고딕" w:hAnsi="맑은 고딕"/>
          <w:b w:val="false"/>
          <w:bCs w:val="false"/>
          <w:color w:val="000000"/>
          <w:sz w:val="22"/>
          <w:szCs w:val="22"/>
        </w:rPr>
        <w:t xml:space="preserve">본 보고서가 제안한 다섯 모듈을 24개월에 걸쳐 정착시키면 다음과 같은 효과가 기대된다. 정량 수치는 자사 시앤피컨설팅의 동종업계 클라이언트 도입 사례 6건의 평균치를 기반으로 한다.</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1800"/>
        <w:gridCol w:w="2400"/>
        <w:gridCol w:w="4826"/>
      </w:tblGrid>
      <w:tr>
        <w:trPr>
          <w:tblHeader/>
        </w:trPr>
        <w:tc>
          <w:tcPr>
            <w:tcW w:type="dxa" w:w="1800"/>
            <w:tcBorders>
              <w:top w:val="single" w:color="808080" w:sz="4"/>
              <w:left w:val="single" w:color="808080" w:sz="4"/>
              <w:bottom w:val="single" w:color="808080" w:sz="4"/>
              <w:right w:val="single" w:color="808080" w:sz="4"/>
            </w:tcBorders>
            <w:shd w:fill="1F3864" w:color="auto" w:val="clear"/>
            <w:tcMar>
              <w:top w:type="dxa" w:w="70"/>
              <w:left w:type="dxa" w:w="100"/>
              <w:bottom w:type="dxa" w:w="70"/>
              <w:right w:type="dxa" w:w="100"/>
            </w:tcMar>
            <w:vAlign w:val="center"/>
          </w:tcPr>
          <w:p>
            <w:pPr>
              <w:spacing w:after="25" w:before="25" w:line="280" w:lineRule="auto"/>
              <w:jc w:val="center"/>
            </w:pPr>
            <w:r>
              <w:rPr>
                <w:rFonts w:ascii="맑은 고딕" w:cs="맑은 고딕" w:eastAsia="맑은 고딕" w:hAnsi="맑은 고딕"/>
                <w:b/>
                <w:bCs/>
                <w:color w:val="FFFFFF"/>
                <w:sz w:val="19"/>
                <w:szCs w:val="19"/>
              </w:rPr>
              <w:t xml:space="preserve">효과 영역</w:t>
            </w:r>
          </w:p>
        </w:tc>
        <w:tc>
          <w:tcPr>
            <w:tcW w:type="dxa" w:w="2400"/>
            <w:tcBorders>
              <w:top w:val="single" w:color="808080" w:sz="4"/>
              <w:left w:val="single" w:color="808080" w:sz="4"/>
              <w:bottom w:val="single" w:color="808080" w:sz="4"/>
              <w:right w:val="single" w:color="808080" w:sz="4"/>
            </w:tcBorders>
            <w:shd w:fill="1F3864" w:color="auto" w:val="clear"/>
            <w:tcMar>
              <w:top w:type="dxa" w:w="70"/>
              <w:left w:type="dxa" w:w="100"/>
              <w:bottom w:type="dxa" w:w="70"/>
              <w:right w:type="dxa" w:w="100"/>
            </w:tcMar>
            <w:vAlign w:val="center"/>
          </w:tcPr>
          <w:p>
            <w:pPr>
              <w:spacing w:after="25" w:before="25" w:line="280" w:lineRule="auto"/>
              <w:jc w:val="center"/>
            </w:pPr>
            <w:r>
              <w:rPr>
                <w:rFonts w:ascii="맑은 고딕" w:cs="맑은 고딕" w:eastAsia="맑은 고딕" w:hAnsi="맑은 고딕"/>
                <w:b/>
                <w:bCs/>
                <w:color w:val="FFFFFF"/>
                <w:sz w:val="19"/>
                <w:szCs w:val="19"/>
              </w:rPr>
              <w:t xml:space="preserve">정량 KPI</w:t>
            </w:r>
          </w:p>
        </w:tc>
        <w:tc>
          <w:tcPr>
            <w:tcW w:type="dxa" w:w="4826"/>
            <w:tcBorders>
              <w:top w:val="single" w:color="808080" w:sz="4"/>
              <w:left w:val="single" w:color="808080" w:sz="4"/>
              <w:bottom w:val="single" w:color="808080" w:sz="4"/>
              <w:right w:val="single" w:color="808080" w:sz="4"/>
            </w:tcBorders>
            <w:shd w:fill="1F3864" w:color="auto" w:val="clear"/>
            <w:tcMar>
              <w:top w:type="dxa" w:w="70"/>
              <w:left w:type="dxa" w:w="100"/>
              <w:bottom w:type="dxa" w:w="70"/>
              <w:right w:type="dxa" w:w="100"/>
            </w:tcMar>
            <w:vAlign w:val="center"/>
          </w:tcPr>
          <w:p>
            <w:pPr>
              <w:spacing w:after="25" w:before="25" w:line="280" w:lineRule="auto"/>
              <w:jc w:val="center"/>
            </w:pPr>
            <w:r>
              <w:rPr>
                <w:rFonts w:ascii="맑은 고딕" w:cs="맑은 고딕" w:eastAsia="맑은 고딕" w:hAnsi="맑은 고딕"/>
                <w:b/>
                <w:bCs/>
                <w:color w:val="FFFFFF"/>
                <w:sz w:val="19"/>
                <w:szCs w:val="19"/>
              </w:rPr>
              <w:t xml:space="preserve">정성 변화</w:t>
            </w:r>
          </w:p>
        </w:tc>
      </w:tr>
      <w:tr>
        <w:tc>
          <w:tcPr>
            <w:tcW w:type="dxa" w:w="1800"/>
            <w:tcBorders>
              <w:top w:val="single" w:color="808080" w:sz="4"/>
              <w:left w:val="single" w:color="808080" w:sz="4"/>
              <w:bottom w:val="single" w:color="808080" w:sz="4"/>
              <w:right w:val="single" w:color="808080" w:sz="4"/>
            </w:tcBorders>
            <w:shd w:fill="E7EEF8" w:color="auto" w:val="clear"/>
            <w:tcMar>
              <w:top w:type="dxa" w:w="70"/>
              <w:left w:type="dxa" w:w="100"/>
              <w:bottom w:type="dxa" w:w="70"/>
              <w:right w:type="dxa" w:w="100"/>
            </w:tcMar>
            <w:vAlign w:val="center"/>
          </w:tcPr>
          <w:p>
            <w:pPr>
              <w:spacing w:after="25" w:before="25" w:line="280" w:lineRule="auto"/>
              <w:jc w:val="left"/>
            </w:pPr>
            <w:r>
              <w:rPr>
                <w:rFonts w:ascii="맑은 고딕" w:cs="맑은 고딕" w:eastAsia="맑은 고딕" w:hAnsi="맑은 고딕"/>
                <w:b/>
                <w:bCs/>
                <w:color w:val="000000"/>
                <w:sz w:val="19"/>
                <w:szCs w:val="19"/>
              </w:rPr>
              <w:t xml:space="preserve">동기부여</w:t>
            </w:r>
          </w:p>
        </w:tc>
        <w:tc>
          <w:tcPr>
            <w:tcW w:type="dxa" w:w="2400"/>
            <w:tcBorders>
              <w:top w:val="single" w:color="808080" w:sz="4"/>
              <w:left w:val="single" w:color="808080" w:sz="4"/>
              <w:bottom w:val="single" w:color="808080" w:sz="4"/>
              <w:right w:val="single" w:color="808080" w:sz="4"/>
            </w:tcBorders>
            <w:tcMar>
              <w:top w:type="dxa" w:w="70"/>
              <w:left w:type="dxa" w:w="100"/>
              <w:bottom w:type="dxa" w:w="70"/>
              <w:right w:type="dxa" w:w="100"/>
            </w:tcMar>
            <w:vAlign w:val="center"/>
          </w:tcPr>
          <w:p>
            <w:pPr>
              <w:spacing w:after="25" w:before="25" w:line="280" w:lineRule="auto"/>
              <w:jc w:val="left"/>
            </w:pPr>
            <w:r>
              <w:rPr>
                <w:rFonts w:ascii="맑은 고딕" w:cs="맑은 고딕" w:eastAsia="맑은 고딕" w:hAnsi="맑은 고딕"/>
                <w:b w:val="false"/>
                <w:bCs w:val="false"/>
                <w:color w:val="000000"/>
                <w:sz w:val="19"/>
                <w:szCs w:val="19"/>
              </w:rPr>
              <w:t xml:space="preserve">eNPS +15p</w:t>
            </w:r>
          </w:p>
          <w:p>
            <w:pPr>
              <w:spacing w:after="25" w:before="25" w:line="280" w:lineRule="auto"/>
              <w:jc w:val="left"/>
            </w:pPr>
            <w:r>
              <w:rPr>
                <w:rFonts w:ascii="맑은 고딕" w:cs="맑은 고딕" w:eastAsia="맑은 고딕" w:hAnsi="맑은 고딕"/>
                <w:b w:val="false"/>
                <w:bCs w:val="false"/>
                <w:color w:val="000000"/>
                <w:sz w:val="19"/>
                <w:szCs w:val="19"/>
              </w:rPr>
              <w:t xml:space="preserve">몰입도 +10p</w:t>
            </w:r>
          </w:p>
        </w:tc>
        <w:tc>
          <w:tcPr>
            <w:tcW w:type="dxa" w:w="4826"/>
            <w:tcBorders>
              <w:top w:val="single" w:color="808080" w:sz="4"/>
              <w:left w:val="single" w:color="808080" w:sz="4"/>
              <w:bottom w:val="single" w:color="808080" w:sz="4"/>
              <w:right w:val="single" w:color="808080" w:sz="4"/>
            </w:tcBorders>
            <w:tcMar>
              <w:top w:type="dxa" w:w="70"/>
              <w:left w:type="dxa" w:w="100"/>
              <w:bottom w:type="dxa" w:w="70"/>
              <w:right w:type="dxa" w:w="100"/>
            </w:tcMar>
            <w:vAlign w:val="center"/>
          </w:tcPr>
          <w:p>
            <w:pPr>
              <w:spacing w:after="25" w:before="25" w:line="280" w:lineRule="auto"/>
              <w:jc w:val="left"/>
            </w:pPr>
            <w:r>
              <w:rPr>
                <w:rFonts w:ascii="맑은 고딕" w:cs="맑은 고딕" w:eastAsia="맑은 고딕" w:hAnsi="맑은 고딕"/>
                <w:b w:val="false"/>
                <w:bCs w:val="false"/>
                <w:color w:val="000000"/>
                <w:sz w:val="19"/>
                <w:szCs w:val="19"/>
              </w:rPr>
              <w:t xml:space="preserve">1대 1이 ‘부담스러운 평가’가 아닌 ‘성장 자원’으로 인식 전환</w:t>
            </w:r>
          </w:p>
        </w:tc>
      </w:tr>
      <w:tr>
        <w:tc>
          <w:tcPr>
            <w:tcW w:type="dxa" w:w="1800"/>
            <w:tcBorders>
              <w:top w:val="single" w:color="808080" w:sz="4"/>
              <w:left w:val="single" w:color="808080" w:sz="4"/>
              <w:bottom w:val="single" w:color="808080" w:sz="4"/>
              <w:right w:val="single" w:color="808080" w:sz="4"/>
            </w:tcBorders>
            <w:shd w:fill="E7EEF8" w:color="auto" w:val="clear"/>
            <w:tcMar>
              <w:top w:type="dxa" w:w="70"/>
              <w:left w:type="dxa" w:w="100"/>
              <w:bottom w:type="dxa" w:w="70"/>
              <w:right w:type="dxa" w:w="100"/>
            </w:tcMar>
            <w:vAlign w:val="center"/>
          </w:tcPr>
          <w:p>
            <w:pPr>
              <w:spacing w:after="25" w:before="25" w:line="280" w:lineRule="auto"/>
              <w:jc w:val="left"/>
            </w:pPr>
            <w:r>
              <w:rPr>
                <w:rFonts w:ascii="맑은 고딕" w:cs="맑은 고딕" w:eastAsia="맑은 고딕" w:hAnsi="맑은 고딕"/>
                <w:b/>
                <w:bCs/>
                <w:color w:val="000000"/>
                <w:sz w:val="19"/>
                <w:szCs w:val="19"/>
              </w:rPr>
              <w:t xml:space="preserve">성과 우수자 보상</w:t>
            </w:r>
          </w:p>
        </w:tc>
        <w:tc>
          <w:tcPr>
            <w:tcW w:type="dxa" w:w="2400"/>
            <w:tcBorders>
              <w:top w:val="single" w:color="808080" w:sz="4"/>
              <w:left w:val="single" w:color="808080" w:sz="4"/>
              <w:bottom w:val="single" w:color="808080" w:sz="4"/>
              <w:right w:val="single" w:color="808080" w:sz="4"/>
            </w:tcBorders>
            <w:tcMar>
              <w:top w:type="dxa" w:w="70"/>
              <w:left w:type="dxa" w:w="100"/>
              <w:bottom w:type="dxa" w:w="70"/>
              <w:right w:type="dxa" w:w="100"/>
            </w:tcMar>
            <w:vAlign w:val="center"/>
          </w:tcPr>
          <w:p>
            <w:pPr>
              <w:spacing w:after="25" w:before="25" w:line="280" w:lineRule="auto"/>
              <w:jc w:val="left"/>
            </w:pPr>
            <w:r>
              <w:rPr>
                <w:rFonts w:ascii="맑은 고딕" w:cs="맑은 고딕" w:eastAsia="맑은 고딕" w:hAnsi="맑은 고딕"/>
                <w:b w:val="false"/>
                <w:bCs w:val="false"/>
                <w:color w:val="000000"/>
                <w:sz w:val="19"/>
                <w:szCs w:val="19"/>
              </w:rPr>
              <w:t xml:space="preserve">Top 10% 보상 격차 1.8→2.5x</w:t>
            </w:r>
          </w:p>
        </w:tc>
        <w:tc>
          <w:tcPr>
            <w:tcW w:type="dxa" w:w="4826"/>
            <w:tcBorders>
              <w:top w:val="single" w:color="808080" w:sz="4"/>
              <w:left w:val="single" w:color="808080" w:sz="4"/>
              <w:bottom w:val="single" w:color="808080" w:sz="4"/>
              <w:right w:val="single" w:color="808080" w:sz="4"/>
            </w:tcBorders>
            <w:tcMar>
              <w:top w:type="dxa" w:w="70"/>
              <w:left w:type="dxa" w:w="100"/>
              <w:bottom w:type="dxa" w:w="70"/>
              <w:right w:type="dxa" w:w="100"/>
            </w:tcMar>
            <w:vAlign w:val="center"/>
          </w:tcPr>
          <w:p>
            <w:pPr>
              <w:spacing w:after="25" w:before="25" w:line="280" w:lineRule="auto"/>
              <w:jc w:val="left"/>
            </w:pPr>
            <w:r>
              <w:rPr>
                <w:rFonts w:ascii="맑은 고딕" w:cs="맑은 고딕" w:eastAsia="맑은 고딕" w:hAnsi="맑은 고딕"/>
                <w:b w:val="false"/>
                <w:bCs w:val="false"/>
                <w:color w:val="000000"/>
                <w:sz w:val="19"/>
                <w:szCs w:val="19"/>
              </w:rPr>
              <w:t xml:space="preserve">‘열심히 해도 똑같다’는 평등주의적 박탈감 해소</w:t>
            </w:r>
          </w:p>
        </w:tc>
      </w:tr>
      <w:tr>
        <w:tc>
          <w:tcPr>
            <w:tcW w:type="dxa" w:w="1800"/>
            <w:tcBorders>
              <w:top w:val="single" w:color="808080" w:sz="4"/>
              <w:left w:val="single" w:color="808080" w:sz="4"/>
              <w:bottom w:val="single" w:color="808080" w:sz="4"/>
              <w:right w:val="single" w:color="808080" w:sz="4"/>
            </w:tcBorders>
            <w:shd w:fill="E7EEF8" w:color="auto" w:val="clear"/>
            <w:tcMar>
              <w:top w:type="dxa" w:w="70"/>
              <w:left w:type="dxa" w:w="100"/>
              <w:bottom w:type="dxa" w:w="70"/>
              <w:right w:type="dxa" w:w="100"/>
            </w:tcMar>
            <w:vAlign w:val="center"/>
          </w:tcPr>
          <w:p>
            <w:pPr>
              <w:spacing w:after="25" w:before="25" w:line="280" w:lineRule="auto"/>
              <w:jc w:val="left"/>
            </w:pPr>
            <w:r>
              <w:rPr>
                <w:rFonts w:ascii="맑은 고딕" w:cs="맑은 고딕" w:eastAsia="맑은 고딕" w:hAnsi="맑은 고딕"/>
                <w:b/>
                <w:bCs/>
                <w:color w:val="000000"/>
                <w:sz w:val="19"/>
                <w:szCs w:val="19"/>
              </w:rPr>
              <w:t xml:space="preserve">저성과자 개선</w:t>
            </w:r>
          </w:p>
        </w:tc>
        <w:tc>
          <w:tcPr>
            <w:tcW w:type="dxa" w:w="2400"/>
            <w:tcBorders>
              <w:top w:val="single" w:color="808080" w:sz="4"/>
              <w:left w:val="single" w:color="808080" w:sz="4"/>
              <w:bottom w:val="single" w:color="808080" w:sz="4"/>
              <w:right w:val="single" w:color="808080" w:sz="4"/>
            </w:tcBorders>
            <w:tcMar>
              <w:top w:type="dxa" w:w="70"/>
              <w:left w:type="dxa" w:w="100"/>
              <w:bottom w:type="dxa" w:w="70"/>
              <w:right w:type="dxa" w:w="100"/>
            </w:tcMar>
            <w:vAlign w:val="center"/>
          </w:tcPr>
          <w:p>
            <w:pPr>
              <w:spacing w:after="25" w:before="25" w:line="280" w:lineRule="auto"/>
              <w:jc w:val="left"/>
            </w:pPr>
            <w:r>
              <w:rPr>
                <w:rFonts w:ascii="맑은 고딕" w:cs="맑은 고딕" w:eastAsia="맑은 고딕" w:hAnsi="맑은 고딕"/>
                <w:b w:val="false"/>
                <w:bCs w:val="false"/>
                <w:color w:val="000000"/>
                <w:sz w:val="19"/>
                <w:szCs w:val="19"/>
              </w:rPr>
              <w:t xml:space="preserve">개선율 40%+</w:t>
            </w:r>
          </w:p>
          <w:p>
            <w:pPr>
              <w:spacing w:after="25" w:before="25" w:line="280" w:lineRule="auto"/>
              <w:jc w:val="left"/>
            </w:pPr>
            <w:r>
              <w:rPr>
                <w:rFonts w:ascii="맑은 고딕" w:cs="맑은 고딕" w:eastAsia="맑은 고딕" w:hAnsi="맑은 고딕"/>
                <w:b w:val="false"/>
                <w:bCs w:val="false"/>
                <w:color w:val="000000"/>
                <w:sz w:val="19"/>
                <w:szCs w:val="19"/>
              </w:rPr>
              <w:t xml:space="preserve">재배치 성공률 50%+</w:t>
            </w:r>
          </w:p>
        </w:tc>
        <w:tc>
          <w:tcPr>
            <w:tcW w:type="dxa" w:w="4826"/>
            <w:tcBorders>
              <w:top w:val="single" w:color="808080" w:sz="4"/>
              <w:left w:val="single" w:color="808080" w:sz="4"/>
              <w:bottom w:val="single" w:color="808080" w:sz="4"/>
              <w:right w:val="single" w:color="808080" w:sz="4"/>
            </w:tcBorders>
            <w:tcMar>
              <w:top w:type="dxa" w:w="70"/>
              <w:left w:type="dxa" w:w="100"/>
              <w:bottom w:type="dxa" w:w="70"/>
              <w:right w:type="dxa" w:w="100"/>
            </w:tcMar>
            <w:vAlign w:val="center"/>
          </w:tcPr>
          <w:p>
            <w:pPr>
              <w:spacing w:after="25" w:before="25" w:line="280" w:lineRule="auto"/>
              <w:jc w:val="left"/>
            </w:pPr>
            <w:r>
              <w:rPr>
                <w:rFonts w:ascii="맑은 고딕" w:cs="맑은 고딕" w:eastAsia="맑은 고딕" w:hAnsi="맑은 고딕"/>
                <w:b w:val="false"/>
                <w:bCs w:val="false"/>
                <w:color w:val="000000"/>
                <w:sz w:val="19"/>
                <w:szCs w:val="19"/>
              </w:rPr>
              <w:t xml:space="preserve">코칭→PIP→재배치 3단 트랙으로 ‘회피→누적→폭발’의 악순환 차단</w:t>
            </w:r>
          </w:p>
        </w:tc>
      </w:tr>
      <w:tr>
        <w:tc>
          <w:tcPr>
            <w:tcW w:type="dxa" w:w="1800"/>
            <w:tcBorders>
              <w:top w:val="single" w:color="808080" w:sz="4"/>
              <w:left w:val="single" w:color="808080" w:sz="4"/>
              <w:bottom w:val="single" w:color="808080" w:sz="4"/>
              <w:right w:val="single" w:color="808080" w:sz="4"/>
            </w:tcBorders>
            <w:shd w:fill="E7EEF8" w:color="auto" w:val="clear"/>
            <w:tcMar>
              <w:top w:type="dxa" w:w="70"/>
              <w:left w:type="dxa" w:w="100"/>
              <w:bottom w:type="dxa" w:w="70"/>
              <w:right w:type="dxa" w:w="100"/>
            </w:tcMar>
            <w:vAlign w:val="center"/>
          </w:tcPr>
          <w:p>
            <w:pPr>
              <w:spacing w:after="25" w:before="25" w:line="280" w:lineRule="auto"/>
              <w:jc w:val="left"/>
            </w:pPr>
            <w:r>
              <w:rPr>
                <w:rFonts w:ascii="맑은 고딕" w:cs="맑은 고딕" w:eastAsia="맑은 고딕" w:hAnsi="맑은 고딕"/>
                <w:b/>
                <w:bCs/>
                <w:color w:val="000000"/>
                <w:sz w:val="19"/>
                <w:szCs w:val="19"/>
              </w:rPr>
              <w:t xml:space="preserve">핵심인재 유지</w:t>
            </w:r>
          </w:p>
        </w:tc>
        <w:tc>
          <w:tcPr>
            <w:tcW w:type="dxa" w:w="2400"/>
            <w:tcBorders>
              <w:top w:val="single" w:color="808080" w:sz="4"/>
              <w:left w:val="single" w:color="808080" w:sz="4"/>
              <w:bottom w:val="single" w:color="808080" w:sz="4"/>
              <w:right w:val="single" w:color="808080" w:sz="4"/>
            </w:tcBorders>
            <w:tcMar>
              <w:top w:type="dxa" w:w="70"/>
              <w:left w:type="dxa" w:w="100"/>
              <w:bottom w:type="dxa" w:w="70"/>
              <w:right w:type="dxa" w:w="100"/>
            </w:tcMar>
            <w:vAlign w:val="center"/>
          </w:tcPr>
          <w:p>
            <w:pPr>
              <w:spacing w:after="25" w:before="25" w:line="280" w:lineRule="auto"/>
              <w:jc w:val="left"/>
            </w:pPr>
            <w:r>
              <w:rPr>
                <w:rFonts w:ascii="맑은 고딕" w:cs="맑은 고딕" w:eastAsia="맑은 고딕" w:hAnsi="맑은 고딕"/>
                <w:b w:val="false"/>
                <w:bCs w:val="false"/>
                <w:color w:val="000000"/>
                <w:sz w:val="19"/>
                <w:szCs w:val="19"/>
              </w:rPr>
              <w:t xml:space="preserve">retention 95%+</w:t>
            </w:r>
          </w:p>
        </w:tc>
        <w:tc>
          <w:tcPr>
            <w:tcW w:type="dxa" w:w="4826"/>
            <w:tcBorders>
              <w:top w:val="single" w:color="808080" w:sz="4"/>
              <w:left w:val="single" w:color="808080" w:sz="4"/>
              <w:bottom w:val="single" w:color="808080" w:sz="4"/>
              <w:right w:val="single" w:color="808080" w:sz="4"/>
            </w:tcBorders>
            <w:tcMar>
              <w:top w:type="dxa" w:w="70"/>
              <w:left w:type="dxa" w:w="100"/>
              <w:bottom w:type="dxa" w:w="70"/>
              <w:right w:type="dxa" w:w="100"/>
            </w:tcMar>
            <w:vAlign w:val="center"/>
          </w:tcPr>
          <w:p>
            <w:pPr>
              <w:spacing w:after="25" w:before="25" w:line="280" w:lineRule="auto"/>
              <w:jc w:val="left"/>
            </w:pPr>
            <w:r>
              <w:rPr>
                <w:rFonts w:ascii="맑은 고딕" w:cs="맑은 고딕" w:eastAsia="맑은 고딕" w:hAnsi="맑은 고딕"/>
                <w:b w:val="false"/>
                <w:bCs w:val="false"/>
                <w:color w:val="000000"/>
                <w:sz w:val="19"/>
                <w:szCs w:val="19"/>
              </w:rPr>
              <w:t xml:space="preserve">시장 P75 수준 보상으로 외부 헤드헌팅 방어력 강화</w:t>
            </w:r>
          </w:p>
        </w:tc>
      </w:tr>
      <w:tr>
        <w:tc>
          <w:tcPr>
            <w:tcW w:type="dxa" w:w="1800"/>
            <w:tcBorders>
              <w:top w:val="single" w:color="808080" w:sz="4"/>
              <w:left w:val="single" w:color="808080" w:sz="4"/>
              <w:bottom w:val="single" w:color="808080" w:sz="4"/>
              <w:right w:val="single" w:color="808080" w:sz="4"/>
            </w:tcBorders>
            <w:shd w:fill="E7EEF8" w:color="auto" w:val="clear"/>
            <w:tcMar>
              <w:top w:type="dxa" w:w="70"/>
              <w:left w:type="dxa" w:w="100"/>
              <w:bottom w:type="dxa" w:w="70"/>
              <w:right w:type="dxa" w:w="100"/>
            </w:tcMar>
            <w:vAlign w:val="center"/>
          </w:tcPr>
          <w:p>
            <w:pPr>
              <w:spacing w:after="25" w:before="25" w:line="280" w:lineRule="auto"/>
              <w:jc w:val="left"/>
            </w:pPr>
            <w:r>
              <w:rPr>
                <w:rFonts w:ascii="맑은 고딕" w:cs="맑은 고딕" w:eastAsia="맑은 고딕" w:hAnsi="맑은 고딕"/>
                <w:b/>
                <w:bCs/>
                <w:color w:val="000000"/>
                <w:sz w:val="19"/>
                <w:szCs w:val="19"/>
              </w:rPr>
              <w:t xml:space="preserve">생산성</w:t>
            </w:r>
          </w:p>
        </w:tc>
        <w:tc>
          <w:tcPr>
            <w:tcW w:type="dxa" w:w="2400"/>
            <w:tcBorders>
              <w:top w:val="single" w:color="808080" w:sz="4"/>
              <w:left w:val="single" w:color="808080" w:sz="4"/>
              <w:bottom w:val="single" w:color="808080" w:sz="4"/>
              <w:right w:val="single" w:color="808080" w:sz="4"/>
            </w:tcBorders>
            <w:tcMar>
              <w:top w:type="dxa" w:w="70"/>
              <w:left w:type="dxa" w:w="100"/>
              <w:bottom w:type="dxa" w:w="70"/>
              <w:right w:type="dxa" w:w="100"/>
            </w:tcMar>
            <w:vAlign w:val="center"/>
          </w:tcPr>
          <w:p>
            <w:pPr>
              <w:spacing w:after="25" w:before="25" w:line="280" w:lineRule="auto"/>
              <w:jc w:val="left"/>
            </w:pPr>
            <w:r>
              <w:rPr>
                <w:rFonts w:ascii="맑은 고딕" w:cs="맑은 고딕" w:eastAsia="맑은 고딕" w:hAnsi="맑은 고딕"/>
                <w:b w:val="false"/>
                <w:bCs w:val="false"/>
                <w:color w:val="000000"/>
                <w:sz w:val="19"/>
                <w:szCs w:val="19"/>
              </w:rPr>
              <w:t xml:space="preserve">인당 매출 +12~18%</w:t>
            </w:r>
          </w:p>
          <w:p>
            <w:pPr>
              <w:spacing w:after="25" w:before="25" w:line="280" w:lineRule="auto"/>
              <w:jc w:val="left"/>
            </w:pPr>
            <w:r>
              <w:rPr>
                <w:rFonts w:ascii="맑은 고딕" w:cs="맑은 고딕" w:eastAsia="맑은 고딕" w:hAnsi="맑은 고딕"/>
                <w:b w:val="false"/>
                <w:bCs w:val="false"/>
                <w:color w:val="000000"/>
                <w:sz w:val="19"/>
                <w:szCs w:val="19"/>
              </w:rPr>
              <w:t xml:space="preserve">OKR 달성률 60→70%</w:t>
            </w:r>
          </w:p>
        </w:tc>
        <w:tc>
          <w:tcPr>
            <w:tcW w:type="dxa" w:w="4826"/>
            <w:tcBorders>
              <w:top w:val="single" w:color="808080" w:sz="4"/>
              <w:left w:val="single" w:color="808080" w:sz="4"/>
              <w:bottom w:val="single" w:color="808080" w:sz="4"/>
              <w:right w:val="single" w:color="808080" w:sz="4"/>
            </w:tcBorders>
            <w:tcMar>
              <w:top w:type="dxa" w:w="70"/>
              <w:left w:type="dxa" w:w="100"/>
              <w:bottom w:type="dxa" w:w="70"/>
              <w:right w:type="dxa" w:w="100"/>
            </w:tcMar>
            <w:vAlign w:val="center"/>
          </w:tcPr>
          <w:p>
            <w:pPr>
              <w:spacing w:after="25" w:before="25" w:line="280" w:lineRule="auto"/>
              <w:jc w:val="left"/>
            </w:pPr>
            <w:r>
              <w:rPr>
                <w:rFonts w:ascii="맑은 고딕" w:cs="맑은 고딕" w:eastAsia="맑은 고딕" w:hAnsi="맑은 고딕"/>
                <w:b w:val="false"/>
                <w:bCs w:val="false"/>
                <w:color w:val="000000"/>
                <w:sz w:val="19"/>
                <w:szCs w:val="19"/>
              </w:rPr>
              <w:t xml:space="preserve">개인 OKR 명확화와 월간 진척 점검으로 ‘방향 잃은 노력’ 감소</w:t>
            </w:r>
          </w:p>
        </w:tc>
      </w:tr>
      <w:tr>
        <w:tc>
          <w:tcPr>
            <w:tcW w:type="dxa" w:w="1800"/>
            <w:tcBorders>
              <w:top w:val="single" w:color="808080" w:sz="4"/>
              <w:left w:val="single" w:color="808080" w:sz="4"/>
              <w:bottom w:val="single" w:color="808080" w:sz="4"/>
              <w:right w:val="single" w:color="808080" w:sz="4"/>
            </w:tcBorders>
            <w:shd w:fill="E7EEF8" w:color="auto" w:val="clear"/>
            <w:tcMar>
              <w:top w:type="dxa" w:w="70"/>
              <w:left w:type="dxa" w:w="100"/>
              <w:bottom w:type="dxa" w:w="70"/>
              <w:right w:type="dxa" w:w="100"/>
            </w:tcMar>
            <w:vAlign w:val="center"/>
          </w:tcPr>
          <w:p>
            <w:pPr>
              <w:spacing w:after="25" w:before="25" w:line="280" w:lineRule="auto"/>
              <w:jc w:val="left"/>
            </w:pPr>
            <w:r>
              <w:rPr>
                <w:rFonts w:ascii="맑은 고딕" w:cs="맑은 고딕" w:eastAsia="맑은 고딕" w:hAnsi="맑은 고딕"/>
                <w:b/>
                <w:bCs/>
                <w:color w:val="000000"/>
                <w:sz w:val="19"/>
                <w:szCs w:val="19"/>
              </w:rPr>
              <w:t xml:space="preserve">공정한 인사문화</w:t>
            </w:r>
          </w:p>
        </w:tc>
        <w:tc>
          <w:tcPr>
            <w:tcW w:type="dxa" w:w="2400"/>
            <w:tcBorders>
              <w:top w:val="single" w:color="808080" w:sz="4"/>
              <w:left w:val="single" w:color="808080" w:sz="4"/>
              <w:bottom w:val="single" w:color="808080" w:sz="4"/>
              <w:right w:val="single" w:color="808080" w:sz="4"/>
            </w:tcBorders>
            <w:tcMar>
              <w:top w:type="dxa" w:w="70"/>
              <w:left w:type="dxa" w:w="100"/>
              <w:bottom w:type="dxa" w:w="70"/>
              <w:right w:type="dxa" w:w="100"/>
            </w:tcMar>
            <w:vAlign w:val="center"/>
          </w:tcPr>
          <w:p>
            <w:pPr>
              <w:spacing w:after="25" w:before="25" w:line="280" w:lineRule="auto"/>
              <w:jc w:val="left"/>
            </w:pPr>
            <w:r>
              <w:rPr>
                <w:rFonts w:ascii="맑은 고딕" w:cs="맑은 고딕" w:eastAsia="맑은 고딕" w:hAnsi="맑은 고딕"/>
                <w:b w:val="false"/>
                <w:bCs w:val="false"/>
                <w:color w:val="000000"/>
                <w:sz w:val="19"/>
                <w:szCs w:val="19"/>
              </w:rPr>
              <w:t xml:space="preserve">평가 공정성 인식 +30%p</w:t>
            </w:r>
          </w:p>
        </w:tc>
        <w:tc>
          <w:tcPr>
            <w:tcW w:type="dxa" w:w="4826"/>
            <w:tcBorders>
              <w:top w:val="single" w:color="808080" w:sz="4"/>
              <w:left w:val="single" w:color="808080" w:sz="4"/>
              <w:bottom w:val="single" w:color="808080" w:sz="4"/>
              <w:right w:val="single" w:color="808080" w:sz="4"/>
            </w:tcBorders>
            <w:tcMar>
              <w:top w:type="dxa" w:w="70"/>
              <w:left w:type="dxa" w:w="100"/>
              <w:bottom w:type="dxa" w:w="70"/>
              <w:right w:type="dxa" w:w="100"/>
            </w:tcMar>
            <w:vAlign w:val="center"/>
          </w:tcPr>
          <w:p>
            <w:pPr>
              <w:spacing w:after="25" w:before="25" w:line="280" w:lineRule="auto"/>
              <w:jc w:val="left"/>
            </w:pPr>
            <w:r>
              <w:rPr>
                <w:rFonts w:ascii="맑은 고딕" w:cs="맑은 고딕" w:eastAsia="맑은 고딕" w:hAnsi="맑은 고딕"/>
                <w:b w:val="false"/>
                <w:bCs w:val="false"/>
                <w:color w:val="000000"/>
                <w:sz w:val="19"/>
                <w:szCs w:val="19"/>
              </w:rPr>
              <w:t xml:space="preserve">Calibration과 시장벤치마크로 평가·보상 의사결정의 ‘근거 투명성’ 확보</w:t>
            </w:r>
          </w:p>
        </w:tc>
      </w:tr>
    </w:tbl>
    <w:p>
      <w:pPr>
        <w:spacing w:after="160" w:before="80" w:line="300" w:lineRule="auto"/>
        <w:jc w:val="center"/>
      </w:pPr>
      <w:r>
        <w:rPr>
          <w:rFonts w:ascii="맑은 고딕" w:cs="맑은 고딕" w:eastAsia="맑은 고딕" w:hAnsi="맑은 고딕"/>
          <w:b/>
          <w:bCs/>
          <w:color w:val="404040"/>
          <w:sz w:val="19"/>
          <w:szCs w:val="19"/>
        </w:rPr>
        <w:t xml:space="preserve">[표 5] 차세대 평가제도 도입 시 기대효과</w:t>
      </w:r>
    </w:p>
    <w:p>
      <w:pPr>
        <w:pStyle w:val="Heading2"/>
        <w:spacing w:after="140" w:before="320" w:line="360" w:lineRule="auto"/>
      </w:pPr>
      <w:r>
        <w:rPr>
          <w:rFonts w:ascii="맑은 고딕" w:cs="맑은 고딕" w:eastAsia="맑은 고딕" w:hAnsi="맑은 고딕"/>
          <w:b/>
          <w:bCs/>
          <w:color w:val="1F3864"/>
          <w:sz w:val="25"/>
          <w:szCs w:val="25"/>
        </w:rPr>
        <w:t xml:space="preserve">1. 직원 동기부여 향상</w:t>
      </w:r>
    </w:p>
    <w:p>
      <w:pPr>
        <w:spacing w:after="100" w:before="0" w:line="384" w:lineRule="auto"/>
        <w:ind w:firstLine="240"/>
        <w:jc w:val="both"/>
      </w:pPr>
      <w:r>
        <w:rPr>
          <w:rFonts w:ascii="맑은 고딕" w:cs="맑은 고딕" w:eastAsia="맑은 고딕" w:hAnsi="맑은 고딕"/>
          <w:b w:val="false"/>
          <w:bCs w:val="false"/>
          <w:color w:val="000000"/>
          <w:sz w:val="22"/>
          <w:szCs w:val="22"/>
        </w:rPr>
        <w:t xml:space="preserve">월간 1대 1과 분기 리뷰가 정착되면 평가가 ‘부담스러운 행정 절차’가 아닌 ‘성장 자원’으로 인식된다. eNPS 15포인트 상승, 직원 몰입도 10포인트 상승이 기대된다. 자기결정성 이론(Deci &amp; Ryan, 2017)이 강조하는 자율성·유능감·관계성의 세 욕구가 동시에 충족된다.</w:t>
      </w:r>
    </w:p>
    <w:p>
      <w:pPr>
        <w:pStyle w:val="Heading2"/>
        <w:spacing w:after="140" w:before="320" w:line="360" w:lineRule="auto"/>
      </w:pPr>
      <w:r>
        <w:rPr>
          <w:rFonts w:ascii="맑은 고딕" w:cs="맑은 고딕" w:eastAsia="맑은 고딕" w:hAnsi="맑은 고딕"/>
          <w:b/>
          <w:bCs/>
          <w:color w:val="1F3864"/>
          <w:sz w:val="25"/>
          <w:szCs w:val="25"/>
        </w:rPr>
        <w:t xml:space="preserve">2. 성과 우수자 보상 강화</w:t>
      </w:r>
    </w:p>
    <w:p>
      <w:pPr>
        <w:spacing w:after="100" w:before="0" w:line="384" w:lineRule="auto"/>
        <w:ind w:firstLine="240"/>
        <w:jc w:val="both"/>
      </w:pPr>
      <w:r>
        <w:rPr>
          <w:rFonts w:ascii="맑은 고딕" w:cs="맑은 고딕" w:eastAsia="맑은 고딕" w:hAnsi="맑은 고딕"/>
          <w:b w:val="false"/>
          <w:bCs w:val="false"/>
          <w:color w:val="000000"/>
          <w:sz w:val="22"/>
          <w:szCs w:val="22"/>
        </w:rPr>
        <w:t xml:space="preserve">Calibration Committee와 What-How 양축 모델로 고성과자 식별이 정밀해진다. 상위 10퍼센트의 보상 격차가 1.8배에서 2.5배로 확대된다. ‘열심히 해도 똑같다’는 박탈감이 해소된다.</w:t>
      </w:r>
    </w:p>
    <w:p>
      <w:pPr>
        <w:pStyle w:val="Heading2"/>
        <w:spacing w:after="140" w:before="320" w:line="360" w:lineRule="auto"/>
      </w:pPr>
      <w:r>
        <w:rPr>
          <w:rFonts w:ascii="맑은 고딕" w:cs="맑은 고딕" w:eastAsia="맑은 고딕" w:hAnsi="맑은 고딕"/>
          <w:b/>
          <w:bCs/>
          <w:color w:val="1F3864"/>
          <w:sz w:val="25"/>
          <w:szCs w:val="25"/>
        </w:rPr>
        <w:t xml:space="preserve">3. 저성과자 개선</w:t>
      </w:r>
    </w:p>
    <w:p>
      <w:pPr>
        <w:spacing w:after="100" w:before="0" w:line="384" w:lineRule="auto"/>
        <w:ind w:firstLine="240"/>
        <w:jc w:val="both"/>
      </w:pPr>
      <w:r>
        <w:rPr>
          <w:rFonts w:ascii="맑은 고딕" w:cs="맑은 고딕" w:eastAsia="맑은 고딕" w:hAnsi="맑은 고딕"/>
          <w:b w:val="false"/>
          <w:bCs w:val="false"/>
          <w:color w:val="000000"/>
          <w:sz w:val="22"/>
          <w:szCs w:val="22"/>
        </w:rPr>
        <w:t xml:space="preserve">코칭→PIP→재배치의 3단 트랙으로 저성과자 개선율이 40퍼센트 이상 달성된다. 재배치 성공률은 50퍼센트 이상이다. ‘회피→누적→폭발’의 악순환이 차단된다.</w:t>
      </w:r>
    </w:p>
    <w:p>
      <w:pPr>
        <w:pStyle w:val="Heading2"/>
        <w:spacing w:after="140" w:before="320" w:line="360" w:lineRule="auto"/>
      </w:pPr>
      <w:r>
        <w:rPr>
          <w:rFonts w:ascii="맑은 고딕" w:cs="맑은 고딕" w:eastAsia="맑은 고딕" w:hAnsi="맑은 고딕"/>
          <w:b/>
          <w:bCs/>
          <w:color w:val="1F3864"/>
          <w:sz w:val="25"/>
          <w:szCs w:val="25"/>
        </w:rPr>
        <w:t xml:space="preserve">4. 핵심인재 유지율 상승</w:t>
      </w:r>
    </w:p>
    <w:p>
      <w:pPr>
        <w:spacing w:after="100" w:before="0" w:line="384" w:lineRule="auto"/>
        <w:ind w:firstLine="240"/>
        <w:jc w:val="both"/>
      </w:pPr>
      <w:r>
        <w:rPr>
          <w:rFonts w:ascii="맑은 고딕" w:cs="맑은 고딕" w:eastAsia="맑은 고딕" w:hAnsi="맑은 고딕"/>
          <w:b w:val="false"/>
          <w:bCs w:val="false"/>
          <w:color w:val="000000"/>
          <w:sz w:val="22"/>
          <w:szCs w:val="22"/>
        </w:rPr>
        <w:t xml:space="preserve">What-How 양축의 ‘How’ 평가가 IDP와 커리어 경로로 연결된다. 핵심인재 retention이 95퍼센트 이상으로 상승한다. 시장 P75 수준의 보상이 외부 헤드헌팅 방어력을 강화한다.</w:t>
      </w:r>
    </w:p>
    <w:p>
      <w:pPr>
        <w:pStyle w:val="Heading2"/>
        <w:spacing w:after="140" w:before="320" w:line="360" w:lineRule="auto"/>
      </w:pPr>
      <w:r>
        <w:rPr>
          <w:rFonts w:ascii="맑은 고딕" w:cs="맑은 고딕" w:eastAsia="맑은 고딕" w:hAnsi="맑은 고딕"/>
          <w:b/>
          <w:bCs/>
          <w:color w:val="1F3864"/>
          <w:sz w:val="25"/>
          <w:szCs w:val="25"/>
        </w:rPr>
        <w:t xml:space="preserve">5. 생산성 향상</w:t>
      </w:r>
    </w:p>
    <w:p>
      <w:pPr>
        <w:spacing w:after="100" w:before="0" w:line="384" w:lineRule="auto"/>
        <w:ind w:firstLine="240"/>
        <w:jc w:val="both"/>
      </w:pPr>
      <w:r>
        <w:rPr>
          <w:rFonts w:ascii="맑은 고딕" w:cs="맑은 고딕" w:eastAsia="맑은 고딕" w:hAnsi="맑은 고딕"/>
          <w:b w:val="false"/>
          <w:bCs w:val="false"/>
          <w:color w:val="000000"/>
          <w:sz w:val="22"/>
          <w:szCs w:val="22"/>
        </w:rPr>
        <w:t xml:space="preserve">개인 OKR의 명확화와 월간 진척 점검으로 ‘방향 잃은 노력’이 감소한다. 블로커가 조기 해소되면서 사이클 타임이 단축된다. 인당 매출 12~18퍼센트 상승, OKR 달성률 60→70퍼센트 향상이 기대된다.</w:t>
      </w:r>
    </w:p>
    <w:p>
      <w:pPr>
        <w:pStyle w:val="Heading2"/>
        <w:spacing w:after="140" w:before="320" w:line="360" w:lineRule="auto"/>
      </w:pPr>
      <w:r>
        <w:rPr>
          <w:rFonts w:ascii="맑은 고딕" w:cs="맑은 고딕" w:eastAsia="맑은 고딕" w:hAnsi="맑은 고딕"/>
          <w:b/>
          <w:bCs/>
          <w:color w:val="1F3864"/>
          <w:sz w:val="25"/>
          <w:szCs w:val="25"/>
        </w:rPr>
        <w:t xml:space="preserve">6. 공정한 인사문화 구축</w:t>
      </w:r>
    </w:p>
    <w:p>
      <w:pPr>
        <w:spacing w:after="100" w:before="0" w:line="384" w:lineRule="auto"/>
        <w:ind w:firstLine="240"/>
        <w:jc w:val="both"/>
      </w:pPr>
      <w:r>
        <w:rPr>
          <w:rFonts w:ascii="맑은 고딕" w:cs="맑은 고딕" w:eastAsia="맑은 고딕" w:hAnsi="맑은 고딕"/>
          <w:b w:val="false"/>
          <w:bCs w:val="false"/>
          <w:color w:val="000000"/>
          <w:sz w:val="22"/>
          <w:szCs w:val="22"/>
        </w:rPr>
        <w:t xml:space="preserve">Calibration과 시장벤치마크 도입으로 평가·보상 의사결정의 근거 투명성이 확보된다. 평가 공정성 인식이 30포인트 상승한다. Folger(1992)의 절차공정성 3요소가 시스템 차원에서 충족된다.</w:t>
      </w:r>
    </w:p>
    <w:p>
      <w:pPr>
        <w:pStyle w:val="Heading1"/>
        <w:pageBreakBefore/>
        <w:pBdr>
          <w:bottom w:val="single" w:color="1F3864" w:sz="10" w:space="8"/>
        </w:pBdr>
        <w:spacing w:after="240" w:before="200" w:line="360" w:lineRule="auto"/>
      </w:pPr>
      <w:r>
        <w:rPr>
          <w:rFonts w:ascii="맑은 고딕" w:cs="맑은 고딕" w:eastAsia="맑은 고딕" w:hAnsi="맑은 고딕"/>
          <w:b/>
          <w:bCs/>
          <w:color w:val="1F3864"/>
          <w:sz w:val="30"/>
          <w:szCs w:val="30"/>
        </w:rPr>
        <w:t xml:space="preserve">Ⅵ. 결론</w:t>
      </w:r>
    </w:p>
    <w:p>
      <w:pPr>
        <w:pStyle w:val="Heading2"/>
        <w:spacing w:after="140" w:before="320" w:line="360" w:lineRule="auto"/>
      </w:pPr>
      <w:r>
        <w:rPr>
          <w:rFonts w:ascii="맑은 고딕" w:cs="맑은 고딕" w:eastAsia="맑은 고딕" w:hAnsi="맑은 고딕"/>
          <w:b/>
          <w:bCs/>
          <w:color w:val="1F3864"/>
          <w:sz w:val="25"/>
          <w:szCs w:val="25"/>
        </w:rPr>
        <w:t xml:space="preserve">1. 핵심 메시지</w:t>
      </w:r>
    </w:p>
    <w:p>
      <w:pPr>
        <w:spacing w:after="100" w:before="0" w:line="384" w:lineRule="auto"/>
        <w:ind w:firstLine="240"/>
        <w:jc w:val="both"/>
      </w:pPr>
      <w:r>
        <w:rPr>
          <w:rFonts w:ascii="맑은 고딕" w:cs="맑은 고딕" w:eastAsia="맑은 고딕" w:hAnsi="맑은 고딕"/>
          <w:b w:val="false"/>
          <w:bCs w:val="false"/>
          <w:color w:val="000000"/>
          <w:sz w:val="22"/>
          <w:szCs w:val="22"/>
        </w:rPr>
        <w:t xml:space="preserve">본 보고서의 핵심 메시지는 한 문장으로 요약된다. 성과평가(Performance Evaluation)는 끝나고, 성과관리(Performance Management)가 시작되어야 한다.</w:t>
      </w:r>
    </w:p>
    <w:p>
      <w:pPr>
        <w:spacing w:after="100" w:before="0" w:line="384" w:lineRule="auto"/>
        <w:ind w:firstLine="240"/>
        <w:jc w:val="both"/>
      </w:pPr>
      <w:r>
        <w:rPr>
          <w:rFonts w:ascii="맑은 고딕" w:cs="맑은 고딕" w:eastAsia="맑은 고딕" w:hAnsi="맑은 고딕"/>
          <w:b w:val="false"/>
          <w:bCs w:val="false"/>
          <w:color w:val="000000"/>
          <w:sz w:val="22"/>
          <w:szCs w:val="22"/>
        </w:rPr>
        <w:t xml:space="preserve">‘평가’는 지나간 12개월을 회상해 등급을 매기는 행위다. ‘성과관리’는 다가올 12개월의 성장 경로를 설계하고 매주·매월 함께 걸어가는 여정이다. Google·Microsoft·Adobe·Netflix·Amazon·IBM이 지난 십여 년에 걸쳐 보여준 진화의 본질은 ‘새로운 평가양식 발명’이 아니다. 평가 자체의 비중을 줄이고 성과관리의 비중을 압도적으로 늘린 것이다(Cappelli &amp; Tavis, 2016).</w:t>
      </w:r>
    </w:p>
    <w:p>
      <w:pPr>
        <w:pStyle w:val="Heading2"/>
        <w:spacing w:after="140" w:before="320" w:line="360" w:lineRule="auto"/>
      </w:pPr>
      <w:r>
        <w:rPr>
          <w:rFonts w:ascii="맑은 고딕" w:cs="맑은 고딕" w:eastAsia="맑은 고딕" w:hAnsi="맑은 고딕"/>
          <w:b/>
          <w:bCs/>
          <w:color w:val="1F3864"/>
          <w:sz w:val="25"/>
          <w:szCs w:val="25"/>
        </w:rPr>
        <w:t xml:space="preserve">2. 한국 기업이 즉시 실행할 세 가지 우선과제</w:t>
      </w:r>
    </w:p>
    <w:p>
      <w:pPr>
        <w:pStyle w:val="Heading3"/>
        <w:spacing w:after="80" w:before="200" w:line="360" w:lineRule="auto"/>
      </w:pPr>
      <w:r>
        <w:rPr>
          <w:rFonts w:ascii="맑은 고딕" w:cs="맑은 고딕" w:eastAsia="맑은 고딕" w:hAnsi="맑은 고딕"/>
          <w:b/>
          <w:bCs/>
          <w:color w:val="2F5496"/>
          <w:sz w:val="22"/>
          <w:szCs w:val="22"/>
        </w:rPr>
        <w:t xml:space="preserve">(1) 월간 1대 1 미팅의 즉시 의무화</w:t>
      </w:r>
    </w:p>
    <w:p>
      <w:pPr>
        <w:spacing w:after="100" w:before="0" w:line="384" w:lineRule="auto"/>
        <w:ind w:firstLine="240"/>
        <w:jc w:val="both"/>
      </w:pPr>
      <w:r>
        <w:rPr>
          <w:rFonts w:ascii="맑은 고딕" w:cs="맑은 고딕" w:eastAsia="맑은 고딕" w:hAnsi="맑은 고딕"/>
          <w:b w:val="false"/>
          <w:bCs w:val="false"/>
          <w:color w:val="000000"/>
          <w:sz w:val="22"/>
          <w:szCs w:val="22"/>
        </w:rPr>
        <w:t xml:space="preserve">양식이나 시스템, 등급보다 ‘대화 자체’가 우선이다. 1대 1을 모든 매니저의 1순위 정례 일정으로 즉시 의무화한다. 1대 1 정착이 평가체계 전환의 80퍼센트를 결정한다.</w:t>
      </w:r>
    </w:p>
    <w:p>
      <w:pPr>
        <w:pStyle w:val="Heading3"/>
        <w:spacing w:after="80" w:before="200" w:line="360" w:lineRule="auto"/>
      </w:pPr>
      <w:r>
        <w:rPr>
          <w:rFonts w:ascii="맑은 고딕" w:cs="맑은 고딕" w:eastAsia="맑은 고딕" w:hAnsi="맑은 고딕"/>
          <w:b/>
          <w:bCs/>
          <w:color w:val="2F5496"/>
          <w:sz w:val="22"/>
          <w:szCs w:val="22"/>
        </w:rPr>
        <w:t xml:space="preserve">(2) 강제분포를 캘리브레이션으로 대체</w:t>
      </w:r>
    </w:p>
    <w:p>
      <w:pPr>
        <w:spacing w:after="100" w:before="0" w:line="384" w:lineRule="auto"/>
        <w:ind w:firstLine="240"/>
        <w:jc w:val="both"/>
      </w:pPr>
      <w:r>
        <w:rPr>
          <w:rFonts w:ascii="맑은 고딕" w:cs="맑은 고딕" w:eastAsia="맑은 고딕" w:hAnsi="맑은 고딕"/>
          <w:b w:val="false"/>
          <w:bCs w:val="false"/>
          <w:color w:val="000000"/>
          <w:sz w:val="22"/>
          <w:szCs w:val="22"/>
        </w:rPr>
        <w:t xml:space="preserve">강제분포가 만든 ‘평가 불신’이 한국 평가체계의 가장 큰 적이다. 통계적 강제를 동료 매니저 합의 기반 Calibration으로 대체한다. Google 사례가 보여주듯 의장 권한·룰북·HRBP 퍼실리테이션의 3대 인프라가 함께 갖추어져야 한다.</w:t>
      </w:r>
    </w:p>
    <w:p>
      <w:pPr>
        <w:pStyle w:val="Heading3"/>
        <w:spacing w:after="80" w:before="200" w:line="360" w:lineRule="auto"/>
      </w:pPr>
      <w:r>
        <w:rPr>
          <w:rFonts w:ascii="맑은 고딕" w:cs="맑은 고딕" w:eastAsia="맑은 고딕" w:hAnsi="맑은 고딕"/>
          <w:b/>
          <w:bCs/>
          <w:color w:val="2F5496"/>
          <w:sz w:val="22"/>
          <w:szCs w:val="22"/>
        </w:rPr>
        <w:t xml:space="preserve">(3) 직무가치 평가 인프라 구축</w:t>
      </w:r>
    </w:p>
    <w:p>
      <w:pPr>
        <w:spacing w:after="100" w:before="0" w:line="384" w:lineRule="auto"/>
        <w:ind w:firstLine="240"/>
        <w:jc w:val="both"/>
      </w:pPr>
      <w:r>
        <w:rPr>
          <w:rFonts w:ascii="맑은 고딕" w:cs="맑은 고딕" w:eastAsia="맑은 고딕" w:hAnsi="맑은 고딕"/>
          <w:b w:val="false"/>
          <w:bCs w:val="false"/>
          <w:color w:val="000000"/>
          <w:sz w:val="22"/>
          <w:szCs w:val="22"/>
        </w:rPr>
        <w:t xml:space="preserve">평가가 보상의 단일 입력이 아닌 다중 입력 중 하나로 작동하려면, ‘직무가치’가 먼저 정의·평가되어야 한다. 이는 보상의 시장정합성과 평가의 코칭 기능을 동시에 회복시키는 공통 인프라다.</w:t>
      </w:r>
    </w:p>
    <w:p>
      <w:pPr>
        <w:pStyle w:val="Heading2"/>
        <w:spacing w:after="140" w:before="320" w:line="360" w:lineRule="auto"/>
      </w:pPr>
      <w:r>
        <w:rPr>
          <w:rFonts w:ascii="맑은 고딕" w:cs="맑은 고딕" w:eastAsia="맑은 고딕" w:hAnsi="맑은 고딕"/>
          <w:b/>
          <w:bCs/>
          <w:color w:val="1F3864"/>
          <w:sz w:val="25"/>
          <w:szCs w:val="25"/>
        </w:rPr>
        <w:t xml:space="preserve">3. 결론</w:t>
      </w:r>
    </w:p>
    <w:p>
      <w:pPr>
        <w:spacing w:after="100" w:before="0" w:line="384" w:lineRule="auto"/>
        <w:ind w:firstLine="240"/>
        <w:jc w:val="both"/>
      </w:pPr>
      <w:r>
        <w:rPr>
          <w:rFonts w:ascii="맑은 고딕" w:cs="맑은 고딕" w:eastAsia="맑은 고딕" w:hAnsi="맑은 고딕"/>
          <w:b w:val="false"/>
          <w:bCs w:val="false"/>
          <w:color w:val="000000"/>
          <w:sz w:val="22"/>
          <w:szCs w:val="22"/>
        </w:rPr>
        <w:t xml:space="preserve">한국 기업은 지난 30년간 ‘성과주의’의 깃발을 내걸었지만, 정작 평가의 본래 목적인 ‘개인의 성장을 통한 조직성과 향상’에는 도달하지 못했다. 근본 원인은 통제형 철학, 평가-보상 직결, 매니저 코칭 부재의 세 가지 인프라적 결함이다. 표면적 양식 개정으로는 해결되지 않는다.</w:t>
      </w:r>
    </w:p>
    <w:p>
      <w:pPr>
        <w:spacing w:after="100" w:before="0" w:line="384" w:lineRule="auto"/>
        <w:ind w:firstLine="240"/>
        <w:jc w:val="both"/>
      </w:pPr>
      <w:r>
        <w:rPr>
          <w:rFonts w:ascii="맑은 고딕" w:cs="맑은 고딕" w:eastAsia="맑은 고딕" w:hAnsi="맑은 고딕"/>
          <w:b w:val="false"/>
          <w:bCs w:val="false"/>
          <w:color w:val="000000"/>
          <w:sz w:val="22"/>
          <w:szCs w:val="22"/>
        </w:rPr>
        <w:t xml:space="preserve">Google과 Microsoft, Adobe, Netflix, Amazon, IBM이 보여준 길은 명확하다. ‘평가에서 코칭으로, 등급에서 임팩트로, 연 1회에서 상시로’의 방향이다. 한국 기업이 이 길을 따라가되, 한국의 인사관리 관행과 조직문화의 특수성에 맞게 번역해야 한다. 본 보고서가 제안한 ‘다섯 모듈 + 24개월 점진 도입’은 그 번역의 한 가지 구체적 답이다.</w:t>
      </w:r>
    </w:p>
    <w:p>
      <w:pPr>
        <w:spacing w:after="100" w:before="0" w:line="384" w:lineRule="auto"/>
        <w:ind w:firstLine="240"/>
        <w:jc w:val="both"/>
      </w:pPr>
      <w:r>
        <w:rPr>
          <w:rFonts w:ascii="맑은 고딕" w:cs="맑은 고딕" w:eastAsia="맑은 고딕" w:hAnsi="맑은 고딕"/>
          <w:b w:val="false"/>
          <w:bCs w:val="false"/>
          <w:color w:val="000000"/>
          <w:sz w:val="22"/>
          <w:szCs w:val="22"/>
        </w:rPr>
        <w:t xml:space="preserve">평가가 ‘심판의 도구’에서 ‘성장의 도구’로 본래의 자리를 되찾을 때, 비로소 개인성과와 조직성과가 함께 향상되는 선순환이 시작된다. 한국 기업의 다음 30년은 ‘누가 등급을 잘 매기는가’가 아니라 ‘누가 성장을 가능하게 하는가’의 경쟁이다.</w:t>
      </w:r>
    </w:p>
    <w:p>
      <w:pPr>
        <w:pStyle w:val="Heading1"/>
        <w:pageBreakBefore/>
        <w:pBdr>
          <w:bottom w:val="single" w:color="1F3864" w:sz="10" w:space="8"/>
        </w:pBdr>
        <w:spacing w:after="240" w:before="200" w:line="360" w:lineRule="auto"/>
      </w:pPr>
      <w:r>
        <w:rPr>
          <w:rFonts w:ascii="맑은 고딕" w:cs="맑은 고딕" w:eastAsia="맑은 고딕" w:hAnsi="맑은 고딕"/>
          <w:b/>
          <w:bCs/>
          <w:color w:val="1F3864"/>
          <w:sz w:val="30"/>
          <w:szCs w:val="30"/>
        </w:rPr>
        <w:t xml:space="preserve">참고문헌</w:t>
      </w:r>
    </w:p>
    <w:p>
      <w:pPr>
        <w:spacing w:after="80" w:before="0" w:line="384" w:lineRule="auto"/>
        <w:ind w:firstLine="0"/>
        <w:jc w:val="both"/>
      </w:pPr>
      <w:r>
        <w:rPr>
          <w:rFonts w:ascii="맑은 고딕" w:cs="맑은 고딕" w:eastAsia="맑은 고딕" w:hAnsi="맑은 고딕"/>
          <w:b/>
          <w:bCs/>
          <w:color w:val="000000"/>
          <w:sz w:val="22"/>
          <w:szCs w:val="22"/>
        </w:rPr>
        <w:t xml:space="preserve">[국내 문헌]</w:t>
      </w:r>
    </w:p>
    <w:p>
      <w:pPr>
        <w:spacing w:after="60" w:before="0" w:line="384" w:lineRule="auto"/>
        <w:ind w:left="240" w:hanging="240" w:firstLine="0"/>
        <w:jc w:val="both"/>
      </w:pPr>
      <w:r>
        <w:rPr>
          <w:rFonts w:ascii="맑은 고딕" w:cs="맑은 고딕" w:eastAsia="맑은 고딕" w:hAnsi="맑은 고딕"/>
          <w:b w:val="false"/>
          <w:bCs w:val="false"/>
          <w:color w:val="000000"/>
          <w:sz w:val="21"/>
          <w:szCs w:val="21"/>
        </w:rPr>
        <w:t xml:space="preserve">윤동열 (2026). 성과평가: WEEK 1 강의자료 — 2026년 글로벌 기업 평가제도 운영 현황 6대 트렌드, 글로벌 8개사 운영사례, 설계 체크리스트. 건국대학교 경영전문대학원.</w:t>
      </w:r>
    </w:p>
    <w:p>
      <w:pPr>
        <w:spacing w:after="60" w:before="0" w:line="384" w:lineRule="auto"/>
        <w:ind w:left="240" w:hanging="240" w:firstLine="0"/>
        <w:jc w:val="both"/>
      </w:pPr>
      <w:r>
        <w:rPr>
          <w:rFonts w:ascii="맑은 고딕" w:cs="맑은 고딕" w:eastAsia="맑은 고딕" w:hAnsi="맑은 고딕"/>
          <w:b w:val="false"/>
          <w:bCs w:val="false"/>
          <w:color w:val="000000"/>
          <w:sz w:val="21"/>
          <w:szCs w:val="21"/>
        </w:rPr>
        <w:t xml:space="preserve">한태영 (2010). 인사평가 효과성의 차원과 측정. 인사관리연구.</w:t>
      </w:r>
    </w:p>
    <w:p>
      <w:pPr>
        <w:spacing w:after="60" w:before="0" w:line="384" w:lineRule="auto"/>
        <w:ind w:left="240" w:hanging="240" w:firstLine="0"/>
        <w:jc w:val="both"/>
      </w:pPr>
      <w:r>
        <w:rPr>
          <w:rFonts w:ascii="맑은 고딕" w:cs="맑은 고딕" w:eastAsia="맑은 고딕" w:hAnsi="맑은 고딕"/>
          <w:b w:val="false"/>
          <w:bCs w:val="false"/>
          <w:color w:val="000000"/>
          <w:sz w:val="21"/>
          <w:szCs w:val="21"/>
        </w:rPr>
        <w:t xml:space="preserve">인사평가모델 SCOPE — S1 인사평가에 대한 이해, S2 현상태 진단, P1 평가결과의 활용, P2 수용성과 공정성 진단 및 확보 방법. 능력중심인력운영 인사평가모델 강의자료.</w:t>
      </w:r>
    </w:p>
    <w:p>
      <w:pPr>
        <w:spacing w:after="60" w:before="0" w:line="384" w:lineRule="auto"/>
        <w:ind w:left="240" w:hanging="240" w:firstLine="0"/>
        <w:jc w:val="both"/>
      </w:pPr>
      <w:r>
        <w:rPr>
          <w:rFonts w:ascii="맑은 고딕" w:cs="맑은 고딕" w:eastAsia="맑은 고딕" w:hAnsi="맑은 고딕"/>
          <w:b w:val="false"/>
          <w:bCs w:val="false"/>
          <w:color w:val="000000"/>
          <w:sz w:val="21"/>
          <w:szCs w:val="21"/>
        </w:rPr>
        <w:t xml:space="preserve">딜라이트노무법인 (2024). PIP시리즈 ①②: 저성과자 역량향상 프로그램 운영 및 판례 분석.</w:t>
      </w:r>
    </w:p>
    <w:p>
      <w:pPr>
        <w:spacing w:after="60" w:before="0" w:line="384" w:lineRule="auto"/>
        <w:ind w:left="240" w:hanging="240" w:firstLine="0"/>
        <w:jc w:val="both"/>
      </w:pPr>
      <w:r>
        <w:rPr>
          <w:rFonts w:ascii="맑은 고딕" w:cs="맑은 고딕" w:eastAsia="맑은 고딕" w:hAnsi="맑은 고딕"/>
          <w:b w:val="false"/>
          <w:bCs w:val="false"/>
          <w:color w:val="000000"/>
          <w:sz w:val="21"/>
          <w:szCs w:val="21"/>
        </w:rPr>
        <w:t xml:space="preserve">대학내일20대연구소 (2024). 데이터로 보는 MZ세대 인사전략.</w:t>
      </w:r>
    </w:p>
    <w:p>
      <w:pPr>
        <w:spacing w:after="200" w:before="0" w:line="384" w:lineRule="auto"/>
        <w:ind w:left="240" w:hanging="240" w:firstLine="0"/>
        <w:jc w:val="both"/>
      </w:pPr>
      <w:r>
        <w:rPr>
          <w:rFonts w:ascii="맑은 고딕" w:cs="맑은 고딕" w:eastAsia="맑은 고딕" w:hAnsi="맑은 고딕"/>
          <w:b w:val="false"/>
          <w:bCs w:val="false"/>
          <w:color w:val="000000"/>
          <w:sz w:val="21"/>
          <w:szCs w:val="21"/>
        </w:rPr>
        <w:t xml:space="preserve">시앤피컨설팅 HR Advisory Practice (2025). 클라이언트 진단 프로젝트 내부 자료(비공개).</w:t>
      </w:r>
    </w:p>
    <w:p>
      <w:pPr>
        <w:spacing w:after="80" w:before="0" w:line="384" w:lineRule="auto"/>
        <w:ind w:firstLine="0"/>
        <w:jc w:val="both"/>
      </w:pPr>
      <w:r>
        <w:rPr>
          <w:rFonts w:ascii="맑은 고딕" w:cs="맑은 고딕" w:eastAsia="맑은 고딕" w:hAnsi="맑은 고딕"/>
          <w:b/>
          <w:bCs/>
          <w:color w:val="000000"/>
          <w:sz w:val="22"/>
          <w:szCs w:val="22"/>
        </w:rPr>
        <w:t xml:space="preserve">[해외 학술 문헌]</w:t>
      </w:r>
    </w:p>
    <w:p>
      <w:pPr>
        <w:spacing w:after="60" w:before="0" w:line="384" w:lineRule="auto"/>
        <w:ind w:left="240" w:hanging="240" w:firstLine="0"/>
        <w:jc w:val="both"/>
      </w:pPr>
      <w:r>
        <w:rPr>
          <w:rFonts w:ascii="맑은 고딕" w:cs="맑은 고딕" w:eastAsia="맑은 고딕" w:hAnsi="맑은 고딕"/>
          <w:b w:val="false"/>
          <w:bCs w:val="false"/>
          <w:color w:val="000000"/>
          <w:sz w:val="21"/>
          <w:szCs w:val="21"/>
        </w:rPr>
        <w:t xml:space="preserve">Adams, J. S. (1965). Inequity in social exchange. Advances in Experimental Social Psychology, 2.</w:t>
      </w:r>
    </w:p>
    <w:p>
      <w:pPr>
        <w:spacing w:after="60" w:before="0" w:line="384" w:lineRule="auto"/>
        <w:ind w:left="240" w:hanging="240" w:firstLine="0"/>
        <w:jc w:val="both"/>
      </w:pPr>
      <w:r>
        <w:rPr>
          <w:rFonts w:ascii="맑은 고딕" w:cs="맑은 고딕" w:eastAsia="맑은 고딕" w:hAnsi="맑은 고딕"/>
          <w:b w:val="false"/>
          <w:bCs w:val="false"/>
          <w:color w:val="000000"/>
          <w:sz w:val="21"/>
          <w:szCs w:val="21"/>
        </w:rPr>
        <w:t xml:space="preserve">Aguinis, H. (2019). Performance Management (4th ed.). Chicago Business Press.</w:t>
      </w:r>
    </w:p>
    <w:p>
      <w:pPr>
        <w:spacing w:after="60" w:before="0" w:line="384" w:lineRule="auto"/>
        <w:ind w:left="240" w:hanging="240" w:firstLine="0"/>
        <w:jc w:val="both"/>
      </w:pPr>
      <w:r>
        <w:rPr>
          <w:rFonts w:ascii="맑은 고딕" w:cs="맑은 고딕" w:eastAsia="맑은 고딕" w:hAnsi="맑은 고딕"/>
          <w:b w:val="false"/>
          <w:bCs w:val="false"/>
          <w:color w:val="000000"/>
          <w:sz w:val="21"/>
          <w:szCs w:val="21"/>
        </w:rPr>
        <w:t xml:space="preserve">Bernardin, H. J., &amp; Vilanova, P. (2005). Rater motivation and self-efficacy. Human Resource Management Review.</w:t>
      </w:r>
    </w:p>
    <w:p>
      <w:pPr>
        <w:spacing w:after="60" w:before="0" w:line="384" w:lineRule="auto"/>
        <w:ind w:left="240" w:hanging="240" w:firstLine="0"/>
        <w:jc w:val="both"/>
      </w:pPr>
      <w:r>
        <w:rPr>
          <w:rFonts w:ascii="맑은 고딕" w:cs="맑은 고딕" w:eastAsia="맑은 고딕" w:hAnsi="맑은 고딕"/>
          <w:b w:val="false"/>
          <w:bCs w:val="false"/>
          <w:color w:val="000000"/>
          <w:sz w:val="21"/>
          <w:szCs w:val="21"/>
        </w:rPr>
        <w:t xml:space="preserve">Boudreau, J. W., &amp; Cascio, W. F. (2017). Human Capital Analytics: Why Are We Not There? Journal of Organizational Effectiveness, 4(2).</w:t>
      </w:r>
    </w:p>
    <w:p>
      <w:pPr>
        <w:spacing w:after="60" w:before="0" w:line="384" w:lineRule="auto"/>
        <w:ind w:left="240" w:hanging="240" w:firstLine="0"/>
        <w:jc w:val="both"/>
      </w:pPr>
      <w:r>
        <w:rPr>
          <w:rFonts w:ascii="맑은 고딕" w:cs="맑은 고딕" w:eastAsia="맑은 고딕" w:hAnsi="맑은 고딕"/>
          <w:b w:val="false"/>
          <w:bCs w:val="false"/>
          <w:color w:val="000000"/>
          <w:sz w:val="21"/>
          <w:szCs w:val="21"/>
        </w:rPr>
        <w:t xml:space="preserve">Buckingham, M., &amp; Clifton, D. O. (2001). Now, Discover Your Strengths. Free Press.</w:t>
      </w:r>
    </w:p>
    <w:p>
      <w:pPr>
        <w:spacing w:after="60" w:before="0" w:line="384" w:lineRule="auto"/>
        <w:ind w:left="240" w:hanging="240" w:firstLine="0"/>
        <w:jc w:val="both"/>
      </w:pPr>
      <w:r>
        <w:rPr>
          <w:rFonts w:ascii="맑은 고딕" w:cs="맑은 고딕" w:eastAsia="맑은 고딕" w:hAnsi="맑은 고딕"/>
          <w:b w:val="false"/>
          <w:bCs w:val="false"/>
          <w:color w:val="000000"/>
          <w:sz w:val="21"/>
          <w:szCs w:val="21"/>
        </w:rPr>
        <w:t xml:space="preserve">Cappelli, P., &amp; Tavis, A. (2016). The Performance Management Revolution. Harvard Business Review, October.</w:t>
      </w:r>
    </w:p>
    <w:p>
      <w:pPr>
        <w:spacing w:after="60" w:before="0" w:line="384" w:lineRule="auto"/>
        <w:ind w:left="240" w:hanging="240" w:firstLine="0"/>
        <w:jc w:val="both"/>
      </w:pPr>
      <w:r>
        <w:rPr>
          <w:rFonts w:ascii="맑은 고딕" w:cs="맑은 고딕" w:eastAsia="맑은 고딕" w:hAnsi="맑은 고딕"/>
          <w:b w:val="false"/>
          <w:bCs w:val="false"/>
          <w:color w:val="000000"/>
          <w:sz w:val="21"/>
          <w:szCs w:val="21"/>
        </w:rPr>
        <w:t xml:space="preserve">Cawley, B. D., Keeping, L. M., &amp; Levy, P. E. (1998). Participation in the performance appraisal process and employee reactions: A meta-analytic review. Journal of Applied Psychology, 83(4).</w:t>
      </w:r>
    </w:p>
    <w:p>
      <w:pPr>
        <w:spacing w:after="60" w:before="0" w:line="384" w:lineRule="auto"/>
        <w:ind w:left="240" w:hanging="240" w:firstLine="0"/>
        <w:jc w:val="both"/>
      </w:pPr>
      <w:r>
        <w:rPr>
          <w:rFonts w:ascii="맑은 고딕" w:cs="맑은 고딕" w:eastAsia="맑은 고딕" w:hAnsi="맑은 고딕"/>
          <w:b w:val="false"/>
          <w:bCs w:val="false"/>
          <w:color w:val="000000"/>
          <w:sz w:val="21"/>
          <w:szCs w:val="21"/>
        </w:rPr>
        <w:t xml:space="preserve">Deci, E. L., &amp; Ryan, R. M. (2017). Self-Determination Theory. Guilford Press.</w:t>
      </w:r>
    </w:p>
    <w:p>
      <w:pPr>
        <w:spacing w:after="60" w:before="0" w:line="384" w:lineRule="auto"/>
        <w:ind w:left="240" w:hanging="240" w:firstLine="0"/>
        <w:jc w:val="both"/>
      </w:pPr>
      <w:r>
        <w:rPr>
          <w:rFonts w:ascii="맑은 고딕" w:cs="맑은 고딕" w:eastAsia="맑은 고딕" w:hAnsi="맑은 고딕"/>
          <w:b w:val="false"/>
          <w:bCs w:val="false"/>
          <w:color w:val="000000"/>
          <w:sz w:val="21"/>
          <w:szCs w:val="21"/>
        </w:rPr>
        <w:t xml:space="preserve">DeNisi, A. S., &amp; Murphy, K. R. (2017). Performance appraisal and performance management: 100 years of progress? Journal of Applied Psychology, 102(3).</w:t>
      </w:r>
    </w:p>
    <w:p>
      <w:pPr>
        <w:spacing w:after="60" w:before="0" w:line="384" w:lineRule="auto"/>
        <w:ind w:left="240" w:hanging="240" w:firstLine="0"/>
        <w:jc w:val="both"/>
      </w:pPr>
      <w:r>
        <w:rPr>
          <w:rFonts w:ascii="맑은 고딕" w:cs="맑은 고딕" w:eastAsia="맑은 고딕" w:hAnsi="맑은 고딕"/>
          <w:b w:val="false"/>
          <w:bCs w:val="false"/>
          <w:color w:val="000000"/>
          <w:sz w:val="21"/>
          <w:szCs w:val="21"/>
        </w:rPr>
        <w:t xml:space="preserve">Doerr, J. (2018). Measure What Matters. Portfolio.</w:t>
      </w:r>
    </w:p>
    <w:p>
      <w:pPr>
        <w:spacing w:after="60" w:before="0" w:line="384" w:lineRule="auto"/>
        <w:ind w:left="240" w:hanging="240" w:firstLine="0"/>
        <w:jc w:val="both"/>
      </w:pPr>
      <w:r>
        <w:rPr>
          <w:rFonts w:ascii="맑은 고딕" w:cs="맑은 고딕" w:eastAsia="맑은 고딕" w:hAnsi="맑은 고딕"/>
          <w:b w:val="false"/>
          <w:bCs w:val="false"/>
          <w:color w:val="000000"/>
          <w:sz w:val="21"/>
          <w:szCs w:val="21"/>
        </w:rPr>
        <w:t xml:space="preserve">Folger, R. (1992). Justice, motivation, and performance beyond role requirements. Employee Responsibilities and Rights Journal.</w:t>
      </w:r>
    </w:p>
    <w:p>
      <w:pPr>
        <w:spacing w:after="60" w:before="0" w:line="384" w:lineRule="auto"/>
        <w:ind w:left="240" w:hanging="240" w:firstLine="0"/>
        <w:jc w:val="both"/>
      </w:pPr>
      <w:r>
        <w:rPr>
          <w:rFonts w:ascii="맑은 고딕" w:cs="맑은 고딕" w:eastAsia="맑은 고딕" w:hAnsi="맑은 고딕"/>
          <w:b w:val="false"/>
          <w:bCs w:val="false"/>
          <w:color w:val="000000"/>
          <w:sz w:val="21"/>
          <w:szCs w:val="21"/>
        </w:rPr>
        <w:t xml:space="preserve">Greenberg, J. (1990). Organizational justice: Yesterday, today, and tomorrow. Journal of Management, 16(2).</w:t>
      </w:r>
    </w:p>
    <w:p>
      <w:pPr>
        <w:spacing w:after="60" w:before="0" w:line="384" w:lineRule="auto"/>
        <w:ind w:left="240" w:hanging="240" w:firstLine="0"/>
        <w:jc w:val="both"/>
      </w:pPr>
      <w:r>
        <w:rPr>
          <w:rFonts w:ascii="맑은 고딕" w:cs="맑은 고딕" w:eastAsia="맑은 고딕" w:hAnsi="맑은 고딕"/>
          <w:b w:val="false"/>
          <w:bCs w:val="false"/>
          <w:color w:val="000000"/>
          <w:sz w:val="21"/>
          <w:szCs w:val="21"/>
        </w:rPr>
        <w:t xml:space="preserve">Hastings, R., &amp; Meyer, E. (2020). No Rules Rules: Netflix and the Culture of Reinvention. Penguin Press.</w:t>
      </w:r>
    </w:p>
    <w:p>
      <w:pPr>
        <w:spacing w:after="60" w:before="0" w:line="384" w:lineRule="auto"/>
        <w:ind w:left="240" w:hanging="240" w:firstLine="0"/>
        <w:jc w:val="both"/>
      </w:pPr>
      <w:r>
        <w:rPr>
          <w:rFonts w:ascii="맑은 고딕" w:cs="맑은 고딕" w:eastAsia="맑은 고딕" w:hAnsi="맑은 고딕"/>
          <w:b w:val="false"/>
          <w:bCs w:val="false"/>
          <w:color w:val="000000"/>
          <w:sz w:val="21"/>
          <w:szCs w:val="21"/>
        </w:rPr>
        <w:t xml:space="preserve">Locke, E. A., &amp; Latham, G. P. (2002). Building a practically useful theory of goal setting and task motivation. American Psychologist, 57(9).</w:t>
      </w:r>
    </w:p>
    <w:p>
      <w:pPr>
        <w:spacing w:after="60" w:before="0" w:line="384" w:lineRule="auto"/>
        <w:ind w:left="240" w:hanging="240" w:firstLine="0"/>
        <w:jc w:val="both"/>
      </w:pPr>
      <w:r>
        <w:rPr>
          <w:rFonts w:ascii="맑은 고딕" w:cs="맑은 고딕" w:eastAsia="맑은 고딕" w:hAnsi="맑은 고딕"/>
          <w:b w:val="false"/>
          <w:bCs w:val="false"/>
          <w:color w:val="000000"/>
          <w:sz w:val="21"/>
          <w:szCs w:val="21"/>
        </w:rPr>
        <w:t xml:space="preserve">Nadella, S. (2017). Hit Refresh. HarperBusiness.</w:t>
      </w:r>
    </w:p>
    <w:p>
      <w:pPr>
        <w:spacing w:after="200" w:before="0" w:line="384" w:lineRule="auto"/>
        <w:ind w:left="240" w:hanging="240" w:firstLine="0"/>
        <w:jc w:val="both"/>
      </w:pPr>
      <w:r>
        <w:rPr>
          <w:rFonts w:ascii="맑은 고딕" w:cs="맑은 고딕" w:eastAsia="맑은 고딕" w:hAnsi="맑은 고딕"/>
          <w:b w:val="false"/>
          <w:bCs w:val="false"/>
          <w:color w:val="000000"/>
          <w:sz w:val="21"/>
          <w:szCs w:val="21"/>
        </w:rPr>
        <w:t xml:space="preserve">Vroom, V. H. (1964). Work and Motivation. Wiley.</w:t>
      </w:r>
    </w:p>
    <w:p>
      <w:pPr>
        <w:spacing w:after="80" w:before="0" w:line="384" w:lineRule="auto"/>
        <w:ind w:firstLine="0"/>
        <w:jc w:val="both"/>
      </w:pPr>
      <w:r>
        <w:rPr>
          <w:rFonts w:ascii="맑은 고딕" w:cs="맑은 고딕" w:eastAsia="맑은 고딕" w:hAnsi="맑은 고딕"/>
          <w:b/>
          <w:bCs/>
          <w:color w:val="000000"/>
          <w:sz w:val="22"/>
          <w:szCs w:val="22"/>
        </w:rPr>
        <w:t xml:space="preserve">[컨설팅·기업 자료]</w:t>
      </w:r>
    </w:p>
    <w:p>
      <w:pPr>
        <w:spacing w:after="60" w:before="0" w:line="384" w:lineRule="auto"/>
        <w:ind w:left="240" w:hanging="240" w:firstLine="0"/>
        <w:jc w:val="both"/>
      </w:pPr>
      <w:r>
        <w:rPr>
          <w:rFonts w:ascii="맑은 고딕" w:cs="맑은 고딕" w:eastAsia="맑은 고딕" w:hAnsi="맑은 고딕"/>
          <w:b w:val="false"/>
          <w:bCs w:val="false"/>
          <w:color w:val="000000"/>
          <w:sz w:val="21"/>
          <w:szCs w:val="21"/>
        </w:rPr>
        <w:t xml:space="preserve">Deloitte (2025). Global Human Capital Trends 2025: Employee Performance Management.</w:t>
      </w:r>
    </w:p>
    <w:p>
      <w:pPr>
        <w:spacing w:after="60" w:before="0" w:line="384" w:lineRule="auto"/>
        <w:ind w:left="240" w:hanging="240" w:firstLine="0"/>
        <w:jc w:val="both"/>
      </w:pPr>
      <w:r>
        <w:rPr>
          <w:rFonts w:ascii="맑은 고딕" w:cs="맑은 고딕" w:eastAsia="맑은 고딕" w:hAnsi="맑은 고딕"/>
          <w:b w:val="false"/>
          <w:bCs w:val="false"/>
          <w:color w:val="000000"/>
          <w:sz w:val="21"/>
          <w:szCs w:val="21"/>
        </w:rPr>
        <w:t xml:space="preserve">McKinsey &amp; Company (2024). People First Performance Management.</w:t>
      </w:r>
    </w:p>
    <w:p>
      <w:pPr>
        <w:spacing w:after="60" w:before="0" w:line="384" w:lineRule="auto"/>
        <w:ind w:left="240" w:hanging="240" w:firstLine="0"/>
        <w:jc w:val="both"/>
      </w:pPr>
      <w:r>
        <w:rPr>
          <w:rFonts w:ascii="맑은 고딕" w:cs="맑은 고딕" w:eastAsia="맑은 고딕" w:hAnsi="맑은 고딕"/>
          <w:b w:val="false"/>
          <w:bCs w:val="false"/>
          <w:color w:val="000000"/>
          <w:sz w:val="21"/>
          <w:szCs w:val="21"/>
        </w:rPr>
        <w:t xml:space="preserve">Stanford Graduate School of Business (2015). Case Study: Adobe — Building Momentum by Abandoning Annual Performance Reviews for Check-Ins.</w:t>
      </w:r>
    </w:p>
    <w:p>
      <w:pPr>
        <w:spacing w:after="60" w:before="0" w:line="384" w:lineRule="auto"/>
        <w:ind w:left="240" w:hanging="240" w:firstLine="0"/>
        <w:jc w:val="both"/>
      </w:pPr>
      <w:r>
        <w:rPr>
          <w:rFonts w:ascii="맑은 고딕" w:cs="맑은 고딕" w:eastAsia="맑은 고딕" w:hAnsi="맑은 고딕"/>
          <w:b w:val="false"/>
          <w:bCs w:val="false"/>
          <w:color w:val="000000"/>
          <w:sz w:val="21"/>
          <w:szCs w:val="21"/>
        </w:rPr>
        <w:t xml:space="preserve">Seattle Times (2013). Microsoft ditches system that ranks employees against each other.</w:t>
      </w:r>
    </w:p>
    <w:p>
      <w:pPr>
        <w:spacing w:after="60" w:before="0" w:line="384" w:lineRule="auto"/>
        <w:ind w:left="240" w:hanging="240" w:firstLine="0"/>
        <w:jc w:val="both"/>
      </w:pPr>
      <w:r>
        <w:rPr>
          <w:rFonts w:ascii="맑은 고딕" w:cs="맑은 고딕" w:eastAsia="맑은 고딕" w:hAnsi="맑은 고딕"/>
          <w:b w:val="false"/>
          <w:bCs w:val="false"/>
          <w:color w:val="000000"/>
          <w:sz w:val="21"/>
          <w:szCs w:val="21"/>
        </w:rPr>
        <w:t xml:space="preserve">SHRM (2013). Stack Ranking Ends at Microsoft, Generating Heated Debate.</w:t>
      </w:r>
    </w:p>
    <w:p>
      <w:pPr>
        <w:spacing w:after="60" w:before="0" w:line="384" w:lineRule="auto"/>
        <w:ind w:left="240" w:hanging="240" w:firstLine="0"/>
        <w:jc w:val="both"/>
      </w:pPr>
      <w:r>
        <w:rPr>
          <w:rFonts w:ascii="맑은 고딕" w:cs="맑은 고딕" w:eastAsia="맑은 고딕" w:hAnsi="맑은 고딕"/>
          <w:b w:val="false"/>
          <w:bCs w:val="false"/>
          <w:color w:val="000000"/>
          <w:sz w:val="21"/>
          <w:szCs w:val="21"/>
        </w:rPr>
        <w:t xml:space="preserve">Fortune (2016). IBM Is Totally Revamping Its Annual Performance Review.</w:t>
      </w:r>
    </w:p>
    <w:p>
      <w:pPr>
        <w:spacing w:after="60" w:before="0" w:line="384" w:lineRule="auto"/>
        <w:ind w:left="240" w:hanging="240" w:firstLine="0"/>
        <w:jc w:val="both"/>
      </w:pPr>
      <w:r>
        <w:rPr>
          <w:rFonts w:ascii="맑은 고딕" w:cs="맑은 고딕" w:eastAsia="맑은 고딕" w:hAnsi="맑은 고딕"/>
          <w:b w:val="false"/>
          <w:bCs w:val="false"/>
          <w:color w:val="000000"/>
          <w:sz w:val="21"/>
          <w:szCs w:val="21"/>
        </w:rPr>
        <w:t xml:space="preserve">Business Insider (2025). Google GRAD Updates: High Performer Rewards.</w:t>
      </w:r>
    </w:p>
    <w:sectPr>
      <w:headerReference w:type="default" r:id="rId7"/>
      <w:footerReference w:type="default" r:id="rId8"/>
      <w:pgSz w:w="11906" w:h="16838"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맑은 고딕" w:cs="맑은 고딕" w:eastAsia="맑은 고딕" w:hAnsi="맑은 고딕"/>
        <w:color w:val="595959"/>
        <w:sz w:val="18"/>
        <w:szCs w:val="18"/>
      </w:rPr>
      <w:t xml:space="preserve">- </w:t>
    </w:r>
    <w:r>
      <w:rPr>
        <w:rFonts w:ascii="맑은 고딕" w:cs="맑은 고딕" w:eastAsia="맑은 고딕" w:hAnsi="맑은 고딕"/>
        <w:color w:val="595959"/>
        <w:sz w:val="18"/>
        <w:szCs w:val="18"/>
      </w:rPr>
      <w:fldChar w:fldCharType="begin"/>
      <w:instrText xml:space="preserve">PAGE</w:instrText>
      <w:fldChar w:fldCharType="separate"/>
      <w:fldChar w:fldCharType="end"/>
    </w:r>
    <w:r>
      <w:rPr>
        <w:rFonts w:ascii="맑은 고딕" w:cs="맑은 고딕" w:eastAsia="맑은 고딕" w:hAnsi="맑은 고딕"/>
        <w:color w:val="595959"/>
        <w:sz w:val="18"/>
        <w:szCs w:val="18"/>
      </w:rPr>
      <w:t xml:space="preserve"> -</w:t>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jc w:val="right"/>
    </w:pPr>
    <w:r>
      <w:rPr>
        <w:rFonts w:ascii="맑은 고딕" w:cs="맑은 고딕" w:eastAsia="맑은 고딕" w:hAnsi="맑은 고딕"/>
        <w:color w:val="808080"/>
        <w:sz w:val="16"/>
        <w:szCs w:val="16"/>
      </w:rPr>
      <w:t xml:space="preserve">성과평가 중간과제 │ 이석주 (건국대 MBA, 인사조직)</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맑은 고딕" w:cs="맑은 고딕" w:eastAsia="맑은 고딕" w:hAnsi="맑은 고딕"/>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240" w:before="240" w:line="360" w:lineRule="auto"/>
      <w:outlineLvl w:val="0"/>
    </w:pPr>
    <w:rPr>
      <w:rFonts w:ascii="맑은 고딕" w:cs="맑은 고딕" w:eastAsia="맑은 고딕" w:hAnsi="맑은 고딕"/>
      <w:b/>
      <w:bCs/>
      <w:color w:val="1F3864"/>
      <w:sz w:val="30"/>
      <w:szCs w:val="30"/>
    </w:rPr>
  </w:style>
  <w:style w:type="paragraph" w:styleId="Heading2">
    <w:name w:val="Heading 2"/>
    <w:basedOn w:val="Normal"/>
    <w:next w:val="Normal"/>
    <w:qFormat/>
    <w:pPr>
      <w:spacing w:after="140" w:before="320" w:line="360" w:lineRule="auto"/>
      <w:outlineLvl w:val="1"/>
    </w:pPr>
    <w:rPr>
      <w:rFonts w:ascii="맑은 고딕" w:cs="맑은 고딕" w:eastAsia="맑은 고딕" w:hAnsi="맑은 고딕"/>
      <w:b/>
      <w:bCs/>
      <w:color w:val="1F3864"/>
      <w:sz w:val="25"/>
      <w:szCs w:val="25"/>
    </w:rPr>
  </w:style>
  <w:style w:type="paragraph" w:styleId="Heading3">
    <w:name w:val="Heading 3"/>
    <w:basedOn w:val="Normal"/>
    <w:next w:val="Normal"/>
    <w:qFormat/>
    <w:pPr>
      <w:spacing w:after="80" w:before="200" w:line="360" w:lineRule="auto"/>
      <w:outlineLvl w:val="2"/>
    </w:pPr>
    <w:rPr>
      <w:rFonts w:ascii="맑은 고딕" w:cs="맑은 고딕" w:eastAsia="맑은 고딕" w:hAnsi="맑은 고딕"/>
      <w:b/>
      <w:bCs/>
      <w:color w:val="2F5496"/>
      <w:sz w:val="22"/>
      <w:szCs w:val="22"/>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성과평가 중간과제 v6</dc:title>
  <dc:creator>이석주</dc:creator>
  <cp:lastModifiedBy>Un-named</cp:lastModifiedBy>
  <cp:revision>1</cp:revision>
  <dcterms:created xsi:type="dcterms:W3CDTF">2026-05-30T17:40:43.327Z</dcterms:created>
  <dcterms:modified xsi:type="dcterms:W3CDTF">2026-05-30T17:40:43.327Z</dcterms:modified>
</cp:coreProperties>
</file>

<file path=docProps/custom.xml><?xml version="1.0" encoding="utf-8"?>
<Properties xmlns="http://schemas.openxmlformats.org/officeDocument/2006/custom-properties" xmlns:vt="http://schemas.openxmlformats.org/officeDocument/2006/docPropsVTypes"/>
</file>