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384"/>
        <w:jc w:val="center"/>
      </w:pPr>
      <w:r>
        <w:rPr>
          <w:rFonts w:ascii="바탕" w:cs="바탕" w:eastAsia="바탕" w:hAnsi="바탕"/>
          <w:b/>
          <w:bCs/>
          <w:sz w:val="28"/>
          <w:szCs w:val="28"/>
        </w:rPr>
        <w:t xml:space="preserve">잡크래프팅 실습 — HR 컨설턴트 직무를 AI 시대에 다시 빚어내기</w:t>
      </w:r>
    </w:p>
    <w:p>
      <w:pPr>
        <w:spacing w:after="120" w:before="180" w:line="384"/>
        <w:jc w:val="both"/>
      </w:pPr>
      <w:r>
        <w:rPr>
          <w:rFonts w:ascii="바탕" w:cs="바탕" w:eastAsia="바탕" w:hAnsi="바탕"/>
          <w:b/>
          <w:bCs/>
          <w:sz w:val="22"/>
          <w:szCs w:val="22"/>
        </w:rPr>
        <w:t xml:space="preserve">1. 배경 및 적용 프레임</w:t>
      </w:r>
      <w:r>
        <w:rPr>
          <w:rFonts w:ascii="바탕" w:cs="바탕" w:eastAsia="바탕" w:hAnsi="바탕"/>
          <w:sz w:val="22"/>
          <w:szCs w:val="22"/>
        </w:rPr>
        <w:t xml:space="preserve">  </w:t>
      </w:r>
      <w:r>
        <w:rPr>
          <w:rFonts w:ascii="바탕" w:cs="바탕" w:eastAsia="바탕" w:hAnsi="바탕"/>
          <w:sz w:val="22"/>
          <w:szCs w:val="22"/>
        </w:rPr>
        <w:t xml:space="preserve">잡크래프팅(job crafting)은 자신의 일을 본인 스스로 변화시켜 더욱 의미있게 만드는 능동적 활동으로, 과업·의미·관계의 세 차원에서 직무를 재설계하는 과정으로 정의된다(Wrzesniewski &amp; Dutton, 2001). 본 실습은 시앤피컨설팅에서 수행 중인 HR 컨설팅 직무를 대상으로, 강의에서 제시된 4단계 절차(현재 직무 점검 → Crafting elements → After sketch → Diagram)에 AI 활용 차원을 결합하여 적용한다. McKinsey Global Institute는 2030년까지 미국 노동시간의 최대 30%가 자동화될 것으로 전망한 바 있으며, 컨설팅 산업 역시 Human-AI 하이브리드 워크플로우로의 전환이 빠르게 진행되는 것으로 보고된다. 이러한 환경에서 잡크래프팅 관점은 AI를 위협 요인이 아니라 저부가가치 과업을 덜어내고 본인의 강점과 열정이 발휘되는 과업의 비중을 늘리는 지렛대로 재해석할 수 있는 분석틀을 제공한다.</w:t>
      </w:r>
    </w:p>
    <w:p>
      <w:pPr>
        <w:spacing w:after="120" w:before="180" w:line="384"/>
        <w:jc w:val="both"/>
      </w:pPr>
      <w:r>
        <w:rPr>
          <w:rFonts w:ascii="바탕" w:cs="바탕" w:eastAsia="바탕" w:hAnsi="바탕"/>
          <w:b/>
          <w:bCs/>
          <w:sz w:val="22"/>
          <w:szCs w:val="22"/>
        </w:rPr>
        <w:t xml:space="preserve">2. Before Sketch — 현재 직무의 과업 분포</w:t>
      </w:r>
      <w:r>
        <w:rPr>
          <w:rFonts w:ascii="바탕" w:cs="바탕" w:eastAsia="바탕" w:hAnsi="바탕"/>
          <w:sz w:val="22"/>
          <w:szCs w:val="22"/>
        </w:rPr>
        <w:t xml:space="preserve">  </w:t>
      </w:r>
      <w:r>
        <w:rPr>
          <w:rFonts w:ascii="바탕" w:cs="바탕" w:eastAsia="바탕" w:hAnsi="바탕"/>
          <w:sz w:val="22"/>
          <w:szCs w:val="22"/>
        </w:rPr>
        <w:t xml:space="preserve">시니어 컨설턴트 관점에서 시간·에너지·노력 투입량을 기준으로 현재 수행 중인 과업을 구분하면 다음 표와 같이 정리된다. 가장 많은 자원이 투입되는 영역은 제도 진단·설계의 본 분석이며, 보고서 작성과 같은 중간 층위가 그 뒤를 따른다. 한편 행정성·반복성 과업이 약 20% 가량을 차지하고 있어, 이 영역이 AI를 통한 자동화·축소의 1차 대상으로 식별된다.</w:t>
      </w:r>
    </w:p>
    <w:p>
      <w:pPr>
        <w:spacing w:after="80" w:before="120" w:line="384"/>
        <w:jc w:val="left"/>
      </w:pPr>
      <w:r>
        <w:rPr>
          <w:rFonts w:ascii="바탕" w:cs="바탕" w:eastAsia="바탕" w:hAnsi="바탕"/>
          <w:b/>
          <w:bCs/>
          <w:sz w:val="20"/>
          <w:szCs w:val="20"/>
        </w:rPr>
        <w:t xml:space="preserve">[표 1] 현재 과업 분포(Before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300"/>
              <w:jc w:val="center"/>
            </w:pPr>
            <w:r>
              <w:rPr>
                <w:rFonts w:ascii="바탕" w:cs="바탕" w:eastAsia="바탕" w:hAnsi="바탕"/>
                <w:b/>
                <w:bCs/>
                <w:sz w:val="20"/>
                <w:szCs w:val="20"/>
              </w:rPr>
              <w:t xml:space="preserve">투입 수준</w:t>
            </w:r>
          </w:p>
        </w:tc>
        <w:tc>
          <w:tcPr>
            <w:tcW w:type="dxa" w:w="2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300"/>
              <w:jc w:val="center"/>
            </w:pPr>
            <w:r>
              <w:rPr>
                <w:rFonts w:ascii="바탕" w:cs="바탕" w:eastAsia="바탕" w:hAnsi="바탕"/>
                <w:b/>
                <w:bCs/>
                <w:sz w:val="20"/>
                <w:szCs w:val="20"/>
              </w:rPr>
              <w:t xml:space="preserve">비중</w:t>
            </w:r>
          </w:p>
        </w:tc>
        <w:tc>
          <w:tcPr>
            <w:tcW w:type="dxa" w:w="55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300"/>
              <w:jc w:val="center"/>
            </w:pPr>
            <w:r>
              <w:rPr>
                <w:rFonts w:ascii="바탕" w:cs="바탕" w:eastAsia="바탕" w:hAnsi="바탕"/>
                <w:b/>
                <w:bCs/>
                <w:sz w:val="20"/>
                <w:szCs w:val="20"/>
              </w:rPr>
              <w:t xml:space="preserve">주요 과업</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center"/>
            </w:pPr>
            <w:r>
              <w:rPr>
                <w:rFonts w:ascii="바탕" w:cs="바탕" w:eastAsia="바탕" w:hAnsi="바탕"/>
                <w:b/>
                <w:bCs/>
                <w:sz w:val="20"/>
                <w:szCs w:val="20"/>
              </w:rPr>
              <w:t xml:space="preserve">高</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center"/>
            </w:pPr>
            <w:r>
              <w:rPr>
                <w:rFonts w:ascii="바탕" w:cs="바탕" w:eastAsia="바탕" w:hAnsi="바탕"/>
                <w:b w:val="false"/>
                <w:bCs w:val="false"/>
                <w:sz w:val="20"/>
                <w:szCs w:val="20"/>
              </w:rPr>
              <w:t xml:space="preserve">약 50%</w:t>
            </w:r>
          </w:p>
        </w:tc>
        <w:tc>
          <w:tcPr>
            <w:tcW w:type="dxa" w:w="5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바탕" w:cs="바탕" w:eastAsia="바탕" w:hAnsi="바탕"/>
                <w:b w:val="false"/>
                <w:bCs w:val="false"/>
                <w:sz w:val="20"/>
                <w:szCs w:val="20"/>
              </w:rPr>
              <w:t xml:space="preserve">인사제도 진단·설계 본 작업(직무분석, 평가체계 설계, 보상모델 구축), 클라이언트 핵심 인터뷰 및 워크숍</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center"/>
            </w:pPr>
            <w:r>
              <w:rPr>
                <w:rFonts w:ascii="바탕" w:cs="바탕" w:eastAsia="바탕" w:hAnsi="바탕"/>
                <w:b/>
                <w:bCs/>
                <w:sz w:val="20"/>
                <w:szCs w:val="20"/>
              </w:rPr>
              <w:t xml:space="preserve">中</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center"/>
            </w:pPr>
            <w:r>
              <w:rPr>
                <w:rFonts w:ascii="바탕" w:cs="바탕" w:eastAsia="바탕" w:hAnsi="바탕"/>
                <w:b w:val="false"/>
                <w:bCs w:val="false"/>
                <w:sz w:val="20"/>
                <w:szCs w:val="20"/>
              </w:rPr>
              <w:t xml:space="preserve">약 30%</w:t>
            </w:r>
          </w:p>
        </w:tc>
        <w:tc>
          <w:tcPr>
            <w:tcW w:type="dxa" w:w="5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바탕" w:cs="바탕" w:eastAsia="바탕" w:hAnsi="바탕"/>
                <w:b w:val="false"/>
                <w:bCs w:val="false"/>
                <w:sz w:val="20"/>
                <w:szCs w:val="20"/>
              </w:rPr>
              <w:t xml:space="preserve">보고서·산출물 작성, 중간보고 자료 준비, 데이터 정리 및 시각화</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center"/>
            </w:pPr>
            <w:r>
              <w:rPr>
                <w:rFonts w:ascii="바탕" w:cs="바탕" w:eastAsia="바탕" w:hAnsi="바탕"/>
                <w:b/>
                <w:bCs/>
                <w:sz w:val="20"/>
                <w:szCs w:val="20"/>
              </w:rPr>
              <w:t xml:space="preserve">低</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center"/>
            </w:pPr>
            <w:r>
              <w:rPr>
                <w:rFonts w:ascii="바탕" w:cs="바탕" w:eastAsia="바탕" w:hAnsi="바탕"/>
                <w:b w:val="false"/>
                <w:bCs w:val="false"/>
                <w:sz w:val="20"/>
                <w:szCs w:val="20"/>
              </w:rPr>
              <w:t xml:space="preserve">약 20%</w:t>
            </w:r>
          </w:p>
        </w:tc>
        <w:tc>
          <w:tcPr>
            <w:tcW w:type="dxa" w:w="5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바탕" w:cs="바탕" w:eastAsia="바탕" w:hAnsi="바탕"/>
                <w:b w:val="false"/>
                <w:bCs w:val="false"/>
                <w:sz w:val="20"/>
                <w:szCs w:val="20"/>
              </w:rPr>
              <w:t xml:space="preserve">회의록 정리, 벤치마크·법령 검색, 단순 양식 작업, 일정·행정 업무</w:t>
            </w:r>
          </w:p>
        </w:tc>
      </w:tr>
    </w:tbl>
    <w:p>
      <w:pPr>
        <w:spacing w:after="120" w:before="180" w:line="384"/>
        <w:jc w:val="both"/>
      </w:pPr>
      <w:r>
        <w:rPr>
          <w:rFonts w:ascii="바탕" w:cs="바탕" w:eastAsia="바탕" w:hAnsi="바탕"/>
          <w:b/>
          <w:bCs/>
          <w:sz w:val="22"/>
          <w:szCs w:val="22"/>
        </w:rPr>
        <w:t xml:space="preserve">3. Crafting Elements — 동기·강점·열정</w:t>
      </w:r>
      <w:r>
        <w:rPr>
          <w:rFonts w:ascii="바탕" w:cs="바탕" w:eastAsia="바탕" w:hAnsi="바탕"/>
          <w:sz w:val="22"/>
          <w:szCs w:val="22"/>
        </w:rPr>
        <w:t xml:space="preserve">  </w:t>
      </w:r>
      <w:r>
        <w:rPr>
          <w:rFonts w:ascii="바탕" w:cs="바탕" w:eastAsia="바탕" w:hAnsi="바탕"/>
          <w:sz w:val="22"/>
          <w:szCs w:val="22"/>
        </w:rPr>
        <w:t xml:space="preserve">본인의 </w:t>
      </w:r>
      <w:r>
        <w:rPr>
          <w:rFonts w:ascii="바탕" w:cs="바탕" w:eastAsia="바탕" w:hAnsi="바탕"/>
          <w:b/>
          <w:bCs/>
          <w:sz w:val="22"/>
          <w:szCs w:val="22"/>
        </w:rPr>
        <w:t xml:space="preserve">동기</w:t>
      </w:r>
      <w:r>
        <w:rPr>
          <w:rFonts w:ascii="바탕" w:cs="바탕" w:eastAsia="바탕" w:hAnsi="바탕"/>
          <w:sz w:val="22"/>
          <w:szCs w:val="22"/>
        </w:rPr>
        <w:t xml:space="preserve">는 HR 전문가로서의 인정과 깊이 있는 전문성 축적, 그리고 클라이언트 조직이 직무중심 인사관리로 전환되는 과정에 실질적으로 기여한다는 의미감으로 정리된다. </w:t>
      </w:r>
      <w:r>
        <w:rPr>
          <w:rFonts w:ascii="바탕" w:cs="바탕" w:eastAsia="바탕" w:hAnsi="바탕"/>
          <w:b/>
          <w:bCs/>
          <w:sz w:val="22"/>
          <w:szCs w:val="22"/>
        </w:rPr>
        <w:t xml:space="preserve">강점</w:t>
      </w:r>
      <w:r>
        <w:rPr>
          <w:rFonts w:ascii="바탕" w:cs="바탕" w:eastAsia="바탕" w:hAnsi="바탕"/>
          <w:sz w:val="22"/>
          <w:szCs w:val="22"/>
        </w:rPr>
        <w:t xml:space="preserve">은 인사제도 메커니즘에 대한 구조화된 분석력, 다양한 산업 사례를 빠르게 흡수하는 학습 속도, 그리고 직무가치 기반 보상이라는 일관된 관점을 분석 도구로 활용할 수 있다는 점에서 차별 자산이 된다. </w:t>
      </w:r>
      <w:r>
        <w:rPr>
          <w:rFonts w:ascii="바탕" w:cs="바탕" w:eastAsia="바탕" w:hAnsi="바탕"/>
          <w:b/>
          <w:bCs/>
          <w:sz w:val="22"/>
          <w:szCs w:val="22"/>
        </w:rPr>
        <w:t xml:space="preserve">열정</w:t>
      </w:r>
      <w:r>
        <w:rPr>
          <w:rFonts w:ascii="바탕" w:cs="바탕" w:eastAsia="바탕" w:hAnsi="바탕"/>
          <w:sz w:val="22"/>
          <w:szCs w:val="22"/>
        </w:rPr>
        <w:t xml:space="preserve">은 제도가 작동하는 메커니즘을 끝까지 파고드는 분석, 새로운 도구를 업무에 빠르게 접목하는 시도, 그리고 클라이언트의 인식 전환을 유도하는 설득의 과정에서 가장 강하게 발현되는 것으로 관찰된다.</w:t>
      </w:r>
    </w:p>
    <w:p>
      <w:pPr>
        <w:spacing w:after="120" w:before="180" w:line="384"/>
        <w:jc w:val="both"/>
      </w:pPr>
      <w:r>
        <w:rPr>
          <w:rFonts w:ascii="바탕" w:cs="바탕" w:eastAsia="바탕" w:hAnsi="바탕"/>
          <w:b/>
          <w:bCs/>
          <w:sz w:val="22"/>
          <w:szCs w:val="22"/>
        </w:rPr>
        <w:t xml:space="preserve">4. After Sketch — 잡크래프팅 3유형 적용</w:t>
      </w:r>
      <w:r>
        <w:rPr>
          <w:rFonts w:ascii="바탕" w:cs="바탕" w:eastAsia="바탕" w:hAnsi="바탕"/>
          <w:sz w:val="22"/>
          <w:szCs w:val="22"/>
        </w:rPr>
        <w:t xml:space="preserve">  </w:t>
      </w:r>
      <w:r>
        <w:rPr>
          <w:rFonts w:ascii="바탕" w:cs="바탕" w:eastAsia="바탕" w:hAnsi="바탕"/>
          <w:b/>
          <w:bCs/>
          <w:sz w:val="22"/>
          <w:szCs w:val="22"/>
        </w:rPr>
        <w:t xml:space="preserve">과업 빚어내기(Task crafting)</w:t>
      </w:r>
      <w:r>
        <w:rPr>
          <w:rFonts w:ascii="바탕" w:cs="바탕" w:eastAsia="바탕" w:hAnsi="바탕"/>
          <w:sz w:val="22"/>
          <w:szCs w:val="22"/>
        </w:rPr>
        <w:t xml:space="preserve">에서는 진단 단계의 단순 직무기술서 정리와 벤치마크 수집을 AI에 위임하고, 본인은 직무가치 평가 모델 자체의 정교화와 클라이언트 맥락 해석에 시간을 재배분한다. 아울러 "직무중심 HR 진단 자가체크리스트"와 같은 회사 표준 자산을 신규 과업으로 추가하여 단순 프로젝트 수행자가 아닌 방법론 오너로 영역을 확장할 수 있다. </w:t>
      </w:r>
      <w:r>
        <w:rPr>
          <w:rFonts w:ascii="바탕" w:cs="바탕" w:eastAsia="바탕" w:hAnsi="바탕"/>
          <w:b/>
          <w:bCs/>
          <w:sz w:val="22"/>
          <w:szCs w:val="22"/>
        </w:rPr>
        <w:t xml:space="preserve">의미 빚어내기(Cognitive crafting)</w:t>
      </w:r>
      <w:r>
        <w:rPr>
          <w:rFonts w:ascii="바탕" w:cs="바탕" w:eastAsia="바탕" w:hAnsi="바탕"/>
          <w:sz w:val="22"/>
          <w:szCs w:val="22"/>
        </w:rPr>
        <w:t xml:space="preserve">는 본인의 일을 "고객사 인사제도 개선 프로젝트의 수행"이라는 좁은 정의에서 "한국 기업의 직무중심 인사관리 전환을 가속하는 방법론 설계자"라는 보다 넓은 정체성으로 재정의하는 작업이다. 이러한 재해석은 동일한 업무를 일회성 컨설팅 매출이 아니라 본인의 방법론을 검증·축적하는 사례 자산으로 인식하게 하며, 이는 프로티언 경력(protean career) 관점에서 자기주도적 전문성 축적의 토대가 된다(Hall, 2004). </w:t>
      </w:r>
      <w:r>
        <w:rPr>
          <w:rFonts w:ascii="바탕" w:cs="바탕" w:eastAsia="바탕" w:hAnsi="바탕"/>
          <w:b/>
          <w:bCs/>
          <w:sz w:val="22"/>
          <w:szCs w:val="22"/>
        </w:rPr>
        <w:t xml:space="preserve">관계 빚어내기(Relation crafting)</w:t>
      </w:r>
      <w:r>
        <w:rPr>
          <w:rFonts w:ascii="바탕" w:cs="바탕" w:eastAsia="바탕" w:hAnsi="바탕"/>
          <w:sz w:val="22"/>
          <w:szCs w:val="22"/>
        </w:rPr>
        <w:t xml:space="preserve">에서는 클라이언트 HR팀을 단순 의뢰자가 아니라 방법론을 공동으로 검증하는 파트너로 재설정하고, 사내에서는 AI·디지털 직군과의 학습 네트워크를 형성하여 HR 컨설팅과 AI 응용의 교집합 영역에서 본인의 위치를 선점한다. 외부적으로는 직무중심 HR을 다루는 학계 및 실무 커뮤니티와의 접점을 점진적으로 확대할 필요가 있다.</w:t>
      </w:r>
    </w:p>
    <w:p>
      <w:pPr>
        <w:spacing w:after="120" w:before="180" w:line="384"/>
        <w:jc w:val="both"/>
      </w:pPr>
      <w:r>
        <w:rPr>
          <w:rFonts w:ascii="바탕" w:cs="바탕" w:eastAsia="바탕" w:hAnsi="바탕"/>
          <w:b/>
          <w:bCs/>
          <w:sz w:val="22"/>
          <w:szCs w:val="22"/>
        </w:rPr>
        <w:t xml:space="preserve">5. AI 활용 매핑 — 자동화·증폭·재정의</w:t>
      </w:r>
      <w:r>
        <w:rPr>
          <w:rFonts w:ascii="바탕" w:cs="바탕" w:eastAsia="바탕" w:hAnsi="바탕"/>
          <w:sz w:val="22"/>
          <w:szCs w:val="22"/>
        </w:rPr>
        <w:t xml:space="preserve">  </w:t>
      </w:r>
      <w:r>
        <w:rPr>
          <w:rFonts w:ascii="바탕" w:cs="바탕" w:eastAsia="바탕" w:hAnsi="바탕"/>
          <w:sz w:val="22"/>
          <w:szCs w:val="22"/>
        </w:rPr>
        <w:t xml:space="preserve">잡크래프팅과 AI 활용을 결합하면 과업별로 자동화(automate), 증폭(augment), 재정의(redefine), 그리고 인간 고유 영역의 네 가지 모드로 구분하여 전략을 설계할 수 있다. 이때 핵심은 단순한 효율화가 아니라, 자동화로 확보된 시간을 본인의 강점·열정 영역인 설계·해석·설득으로 재투자하는 데 있다. 강의에서 언급된 SK AX 사례에서도 확인되듯, 직원의 역량 및 직무 자체의 재정의가 동반되지 않으면 AI 도입 효과가 제한적인 것으로 보고된다.</w:t>
      </w:r>
    </w:p>
    <w:p>
      <w:pPr>
        <w:spacing w:after="80" w:before="120" w:line="384"/>
        <w:jc w:val="left"/>
      </w:pPr>
      <w:r>
        <w:rPr>
          <w:rFonts w:ascii="바탕" w:cs="바탕" w:eastAsia="바탕" w:hAnsi="바탕"/>
          <w:b/>
          <w:bCs/>
          <w:sz w:val="20"/>
          <w:szCs w:val="20"/>
        </w:rPr>
        <w:t xml:space="preserve">[표 2] 과업 × AI 활용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rPr>
          <w:tblHeader/>
        </w:trPr>
        <w:tc>
          <w:tcPr>
            <w:tcW w:type="dxa" w:w="3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300"/>
              <w:jc w:val="center"/>
            </w:pPr>
            <w:r>
              <w:rPr>
                <w:rFonts w:ascii="바탕" w:cs="바탕" w:eastAsia="바탕" w:hAnsi="바탕"/>
                <w:b/>
                <w:bCs/>
                <w:sz w:val="20"/>
                <w:szCs w:val="20"/>
              </w:rPr>
              <w:t xml:space="preserve">과업 영역</w:t>
            </w:r>
          </w:p>
        </w:tc>
        <w:tc>
          <w:tcPr>
            <w:tcW w:type="dxa" w:w="17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300"/>
              <w:jc w:val="center"/>
            </w:pPr>
            <w:r>
              <w:rPr>
                <w:rFonts w:ascii="바탕" w:cs="바탕" w:eastAsia="바탕" w:hAnsi="바탕"/>
                <w:b/>
                <w:bCs/>
                <w:sz w:val="20"/>
                <w:szCs w:val="20"/>
              </w:rPr>
              <w:t xml:space="preserve">AI 활용 모드</w:t>
            </w:r>
          </w:p>
        </w:tc>
        <w:tc>
          <w:tcPr>
            <w:tcW w:type="dxa" w:w="44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line="300"/>
              <w:jc w:val="center"/>
            </w:pPr>
            <w:r>
              <w:rPr>
                <w:rFonts w:ascii="바탕" w:cs="바탕" w:eastAsia="바탕" w:hAnsi="바탕"/>
                <w:b/>
                <w:bCs/>
                <w:sz w:val="20"/>
                <w:szCs w:val="20"/>
              </w:rPr>
              <w:t xml:space="preserve">기대 효과 및 본인 시간의 재배치</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바탕" w:cs="바탕" w:eastAsia="바탕" w:hAnsi="바탕"/>
                <w:b w:val="false"/>
                <w:bCs w:val="false"/>
                <w:sz w:val="20"/>
                <w:szCs w:val="20"/>
              </w:rPr>
              <w:t xml:space="preserve">벤치마크·법령·자료 수집</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center"/>
            </w:pPr>
            <w:r>
              <w:rPr>
                <w:rFonts w:ascii="바탕" w:cs="바탕" w:eastAsia="바탕" w:hAnsi="바탕"/>
                <w:b/>
                <w:bCs/>
                <w:sz w:val="20"/>
                <w:szCs w:val="20"/>
              </w:rPr>
              <w:t xml:space="preserve">자동화</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바탕" w:cs="바탕" w:eastAsia="바탕" w:hAnsi="바탕"/>
                <w:b w:val="false"/>
                <w:bCs w:val="false"/>
                <w:sz w:val="20"/>
                <w:szCs w:val="20"/>
              </w:rPr>
              <w:t xml:space="preserve">리서치 시간 60~70% 절감, 확보된 시간을 가설 정교화에 투입</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바탕" w:cs="바탕" w:eastAsia="바탕" w:hAnsi="바탕"/>
                <w:b w:val="false"/>
                <w:bCs w:val="false"/>
                <w:sz w:val="20"/>
                <w:szCs w:val="20"/>
              </w:rPr>
              <w:t xml:space="preserve">인터뷰 녹취 정리·테마 코딩</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center"/>
            </w:pPr>
            <w:r>
              <w:rPr>
                <w:rFonts w:ascii="바탕" w:cs="바탕" w:eastAsia="바탕" w:hAnsi="바탕"/>
                <w:b/>
                <w:bCs/>
                <w:sz w:val="20"/>
                <w:szCs w:val="20"/>
              </w:rPr>
              <w:t xml:space="preserve">자동화</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바탕" w:cs="바탕" w:eastAsia="바탕" w:hAnsi="바탕"/>
                <w:b w:val="false"/>
                <w:bCs w:val="false"/>
                <w:sz w:val="20"/>
                <w:szCs w:val="20"/>
              </w:rPr>
              <w:t xml:space="preserve">정리 시간 50% 절감, 본인은 진단 해석과 시사점 도출에 집중</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바탕" w:cs="바탕" w:eastAsia="바탕" w:hAnsi="바탕"/>
                <w:b w:val="false"/>
                <w:bCs w:val="false"/>
                <w:sz w:val="20"/>
                <w:szCs w:val="20"/>
              </w:rPr>
              <w:t xml:space="preserve">보고서 초안·시각화·논리 구조</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center"/>
            </w:pPr>
            <w:r>
              <w:rPr>
                <w:rFonts w:ascii="바탕" w:cs="바탕" w:eastAsia="바탕" w:hAnsi="바탕"/>
                <w:b/>
                <w:bCs/>
                <w:sz w:val="20"/>
                <w:szCs w:val="20"/>
              </w:rPr>
              <w:t xml:space="preserve">증폭</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바탕" w:cs="바탕" w:eastAsia="바탕" w:hAnsi="바탕"/>
                <w:b w:val="false"/>
                <w:bCs w:val="false"/>
                <w:sz w:val="20"/>
                <w:szCs w:val="20"/>
              </w:rPr>
              <w:t xml:space="preserve">초안 품질 상향, 본인 검수·재구성 역량이 차별 자산이 됨</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바탕" w:cs="바탕" w:eastAsia="바탕" w:hAnsi="바탕"/>
                <w:b w:val="false"/>
                <w:bCs w:val="false"/>
                <w:sz w:val="20"/>
                <w:szCs w:val="20"/>
              </w:rPr>
              <w:t xml:space="preserve">직무가치 평가 모델 시뮬레이션</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center"/>
            </w:pPr>
            <w:r>
              <w:rPr>
                <w:rFonts w:ascii="바탕" w:cs="바탕" w:eastAsia="바탕" w:hAnsi="바탕"/>
                <w:b/>
                <w:bCs/>
                <w:sz w:val="20"/>
                <w:szCs w:val="20"/>
              </w:rPr>
              <w:t xml:space="preserve">증폭</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바탕" w:cs="바탕" w:eastAsia="바탕" w:hAnsi="바탕"/>
                <w:b w:val="false"/>
                <w:bCs w:val="false"/>
                <w:sz w:val="20"/>
                <w:szCs w:val="20"/>
              </w:rPr>
              <w:t xml:space="preserve">가중치·시나리오 다변량 분석, 설계안의 설명력 강화</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바탕" w:cs="바탕" w:eastAsia="바탕" w:hAnsi="바탕"/>
                <w:b w:val="false"/>
                <w:bCs w:val="false"/>
                <w:sz w:val="20"/>
                <w:szCs w:val="20"/>
              </w:rPr>
              <w:t xml:space="preserve">직무중심 HR 진단 자가도구</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center"/>
            </w:pPr>
            <w:r>
              <w:rPr>
                <w:rFonts w:ascii="바탕" w:cs="바탕" w:eastAsia="바탕" w:hAnsi="바탕"/>
                <w:b/>
                <w:bCs/>
                <w:sz w:val="20"/>
                <w:szCs w:val="20"/>
              </w:rPr>
              <w:t xml:space="preserve">재정의</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바탕" w:cs="바탕" w:eastAsia="바탕" w:hAnsi="바탕"/>
                <w:b w:val="false"/>
                <w:bCs w:val="false"/>
                <w:sz w:val="20"/>
                <w:szCs w:val="20"/>
              </w:rPr>
              <w:t xml:space="preserve">일회성 컨설팅을 넘어 사내 표준 자산·SaaS형 도구로 확장</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바탕" w:cs="바탕" w:eastAsia="바탕" w:hAnsi="바탕"/>
                <w:b w:val="false"/>
                <w:bCs w:val="false"/>
                <w:sz w:val="20"/>
                <w:szCs w:val="20"/>
              </w:rPr>
              <w:t xml:space="preserve">의사결정자 설득·관계 형성</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center"/>
            </w:pPr>
            <w:r>
              <w:rPr>
                <w:rFonts w:ascii="바탕" w:cs="바탕" w:eastAsia="바탕" w:hAnsi="바탕"/>
                <w:b/>
                <w:bCs/>
                <w:sz w:val="20"/>
                <w:szCs w:val="20"/>
              </w:rPr>
              <w:t xml:space="preserve">인간 고유</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바탕" w:cs="바탕" w:eastAsia="바탕" w:hAnsi="바탕"/>
                <w:b w:val="false"/>
                <w:bCs w:val="false"/>
                <w:sz w:val="20"/>
                <w:szCs w:val="20"/>
              </w:rPr>
              <w:t xml:space="preserve">AI 보조 자료를 활용하되, 메시지·맥락·신뢰는 본인이 수행</w:t>
            </w:r>
          </w:p>
        </w:tc>
      </w:tr>
    </w:tbl>
    <w:p>
      <w:pPr>
        <w:spacing w:after="120" w:before="180" w:line="384"/>
        <w:jc w:val="both"/>
      </w:pPr>
      <w:r>
        <w:rPr>
          <w:rFonts w:ascii="바탕" w:cs="바탕" w:eastAsia="바탕" w:hAnsi="바탕"/>
          <w:b/>
          <w:bCs/>
          <w:sz w:val="22"/>
          <w:szCs w:val="22"/>
        </w:rPr>
        <w:t xml:space="preserve">6. 실행 액션플랜 및 제언</w:t>
      </w:r>
      <w:r>
        <w:rPr>
          <w:rFonts w:ascii="바탕" w:cs="바탕" w:eastAsia="바탕" w:hAnsi="바탕"/>
          <w:sz w:val="22"/>
          <w:szCs w:val="22"/>
        </w:rPr>
        <w:t xml:space="preserve">  </w:t>
      </w:r>
      <w:r>
        <w:rPr>
          <w:rFonts w:ascii="바탕" w:cs="바탕" w:eastAsia="바탕" w:hAnsi="바탕"/>
          <w:sz w:val="22"/>
          <w:szCs w:val="22"/>
        </w:rPr>
        <w:t xml:space="preserve">단기(1~3개월)로는 진행 중인 프로젝트에서 자료 수집과 인터뷰 코딩에 LLM 기반 도구를 시범 도입하여 행정성 과업 비중을 약 20%에서 10% 수준으로 축소하고, 확보된 시간을 직무가치 평가 모델 정교화에 투입한다. 중기(3~9개월)로는 "직무중심 HR 전환 진단 도구"를 사내 표준 산출물로 제도화하고 1~2건의 사례를 축적하여 회사 차원의 방법론 자산으로 등록한다. 장기(9~24개월)로는 본 도구를 기반으로 컨설팅 방법론을 외부 콘텐츠(아티클·강연·학회 발표)로 가시화하여 시장 내 포지셔닝을 확보한다. 본 잡크래프팅 설계의 기저에는 직무중심 인사관리 인프라가 확립되면 직무의 가치에 따라 사람·보상·승계가 정렬되며, 일률적 정년연장이나 비용 중심 인력관리의 필요가 줄어든다는 본인의 일관된 관점이 자리한다. AI 시대의 컨설턴트 정체성 또한 동일한 원리로 재정의될 필요가 있으며, 저부가가치 영역은 AI에 위임하고 고유한 통찰과 설득을 통해 가치를 창출하는 역할로 진화할 때 본인이 추구하는 전문가형 경력이 실질적으로 구현될 수 있을 것으로 평가된다.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2026-05-30T00:56:20.079Z</dcterms:created>
  <dcterms:modified xsi:type="dcterms:W3CDTF">2026-05-30T00:56:20.080Z</dcterms:modified>
</cp:coreProperties>
</file>

<file path=docProps/custom.xml><?xml version="1.0" encoding="utf-8"?>
<Properties xmlns="http://schemas.openxmlformats.org/officeDocument/2006/custom-properties" xmlns:vt="http://schemas.openxmlformats.org/officeDocument/2006/docPropsVTypes"/>
</file>