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38D8" w14:textId="49557672" w:rsidR="000E6BAD" w:rsidRPr="00796172" w:rsidRDefault="00AD42BE" w:rsidP="008B3D00">
      <w:pPr>
        <w:spacing w:line="276" w:lineRule="auto"/>
        <w:jc w:val="both"/>
        <w:rPr>
          <w:rFonts w:ascii="Arial" w:hAnsi="Arial" w:cs="Arial"/>
          <w:b/>
          <w:bCs/>
          <w:sz w:val="20"/>
          <w:szCs w:val="20"/>
        </w:rPr>
      </w:pPr>
      <w:r w:rsidRPr="00796172">
        <w:rPr>
          <w:rFonts w:ascii="Arial" w:hAnsi="Arial" w:cs="Arial"/>
          <w:b/>
          <w:bCs/>
          <w:sz w:val="20"/>
          <w:szCs w:val="20"/>
        </w:rPr>
        <w:t>Mock Clinical Trial</w:t>
      </w:r>
    </w:p>
    <w:p w14:paraId="33329F72" w14:textId="6EADBE1D" w:rsidR="000E6BAD" w:rsidRPr="00796172" w:rsidRDefault="000E6BAD" w:rsidP="008B3D00">
      <w:pPr>
        <w:spacing w:line="276" w:lineRule="auto"/>
        <w:jc w:val="both"/>
        <w:rPr>
          <w:rFonts w:ascii="Arial" w:hAnsi="Arial" w:cs="Arial"/>
          <w:b/>
          <w:bCs/>
          <w:sz w:val="20"/>
          <w:szCs w:val="20"/>
        </w:rPr>
      </w:pPr>
      <w:r w:rsidRPr="00796172">
        <w:rPr>
          <w:rFonts w:ascii="Arial" w:hAnsi="Arial" w:cs="Arial"/>
          <w:b/>
          <w:bCs/>
          <w:sz w:val="20"/>
          <w:szCs w:val="20"/>
        </w:rPr>
        <w:t>Background and Rationale</w:t>
      </w:r>
    </w:p>
    <w:p w14:paraId="19D14722" w14:textId="64799BDC" w:rsidR="002E05B3" w:rsidRPr="00796172" w:rsidRDefault="009A51CB" w:rsidP="008B3D00">
      <w:pPr>
        <w:spacing w:line="276" w:lineRule="auto"/>
        <w:jc w:val="both"/>
        <w:rPr>
          <w:rFonts w:ascii="Arial" w:hAnsi="Arial" w:cs="Arial"/>
          <w:sz w:val="20"/>
          <w:szCs w:val="20"/>
        </w:rPr>
      </w:pPr>
      <w:r w:rsidRPr="00796172">
        <w:rPr>
          <w:rFonts w:ascii="Arial" w:hAnsi="Arial" w:cs="Arial"/>
          <w:sz w:val="20"/>
          <w:szCs w:val="20"/>
        </w:rPr>
        <w:t>Chronic lymphocytic leukaemia (CLL) is characterised by the accumulation of mature clonal B lymphocytes¹. Disease development depends on two main survival pathways. First, CLL cells rely on continuous B cell receptor signalling, where Bruton’s tyrosine kinase (BTK) promotes proliferation and survival within lymphoid tissues¹. Second, CLL cells avoid apoptosis through overexpression of the anti-apoptotic protein BCL2¹. These pathways provide a clear rationale for combining BTK inhibitors with BCL2 inhibitors¹.</w:t>
      </w:r>
      <w:r w:rsidR="00DC01E2" w:rsidRPr="00796172">
        <w:rPr>
          <w:rFonts w:ascii="Arial" w:hAnsi="Arial" w:cs="Arial"/>
          <w:sz w:val="20"/>
          <w:szCs w:val="20"/>
        </w:rPr>
        <w:t xml:space="preserve"> </w:t>
      </w:r>
      <w:r w:rsidR="006E2282" w:rsidRPr="00796172">
        <w:rPr>
          <w:rFonts w:ascii="Arial" w:hAnsi="Arial" w:cs="Arial"/>
          <w:sz w:val="20"/>
          <w:szCs w:val="20"/>
        </w:rPr>
        <w:t xml:space="preserve">Treatment has moved from chemoimmunotherapy to targeted therapy¹. </w:t>
      </w:r>
      <w:r w:rsidR="00F54102" w:rsidRPr="00796172">
        <w:rPr>
          <w:rFonts w:ascii="Arial" w:hAnsi="Arial" w:cs="Arial"/>
          <w:sz w:val="20"/>
          <w:szCs w:val="20"/>
        </w:rPr>
        <w:t>Evidence from recent trials supports the use of BTK inhibitor and BCL2 inhibitor combinations but also highlights mechanistic differences (Figure 1) and important design limitations (Table 1).</w:t>
      </w:r>
      <w:r w:rsidR="005D484C" w:rsidRPr="00796172">
        <w:rPr>
          <w:rFonts w:ascii="Arial" w:hAnsi="Arial" w:cs="Arial"/>
          <w:sz w:val="20"/>
          <w:szCs w:val="20"/>
        </w:rPr>
        <w:t xml:space="preserve"> </w:t>
      </w:r>
      <w:r w:rsidRPr="00796172">
        <w:rPr>
          <w:rFonts w:ascii="Arial" w:hAnsi="Arial" w:cs="Arial"/>
          <w:sz w:val="20"/>
          <w:szCs w:val="20"/>
        </w:rPr>
        <w:t>The CAPTIVATE</w:t>
      </w:r>
      <w:r w:rsidR="009566C7" w:rsidRPr="00796172">
        <w:rPr>
          <w:rFonts w:ascii="Arial" w:hAnsi="Arial" w:cs="Arial"/>
          <w:sz w:val="20"/>
          <w:szCs w:val="20"/>
        </w:rPr>
        <w:t xml:space="preserve"> trial</w:t>
      </w:r>
      <w:r w:rsidRPr="00796172">
        <w:rPr>
          <w:rFonts w:ascii="Arial" w:hAnsi="Arial" w:cs="Arial"/>
          <w:sz w:val="20"/>
          <w:szCs w:val="20"/>
        </w:rPr>
        <w:t xml:space="preserve"> showed that fixed duration ibrutinib plus venetoclax</w:t>
      </w:r>
      <w:r w:rsidR="003F521F" w:rsidRPr="00796172">
        <w:rPr>
          <w:rFonts w:ascii="Arial" w:hAnsi="Arial" w:cs="Arial"/>
        </w:rPr>
        <w:t xml:space="preserve"> </w:t>
      </w:r>
      <w:r w:rsidR="003F521F" w:rsidRPr="00796172">
        <w:rPr>
          <w:rFonts w:ascii="Arial" w:hAnsi="Arial" w:cs="Arial"/>
          <w:sz w:val="20"/>
          <w:szCs w:val="20"/>
        </w:rPr>
        <w:t>(I+V)</w:t>
      </w:r>
      <w:r w:rsidRPr="00796172">
        <w:rPr>
          <w:rFonts w:ascii="Arial" w:hAnsi="Arial" w:cs="Arial"/>
          <w:sz w:val="20"/>
          <w:szCs w:val="20"/>
        </w:rPr>
        <w:t xml:space="preserve"> </w:t>
      </w:r>
      <w:r w:rsidR="00F83850" w:rsidRPr="00796172">
        <w:rPr>
          <w:rFonts w:ascii="Arial" w:hAnsi="Arial" w:cs="Arial"/>
          <w:sz w:val="20"/>
          <w:szCs w:val="20"/>
        </w:rPr>
        <w:t>produces deep responses (complete response (CR) ~55–56%, peripheral blood undetectable measurable residual disease (uMRD) ~77%)</w:t>
      </w:r>
      <w:r w:rsidRPr="00796172">
        <w:rPr>
          <w:rFonts w:ascii="Arial" w:hAnsi="Arial" w:cs="Arial"/>
          <w:sz w:val="20"/>
          <w:szCs w:val="20"/>
        </w:rPr>
        <w:t xml:space="preserve">² ³. CAPTIVATE demonstrated that patients achieving uMRD can stop treatment without early relapse². However, CAPTIVATE had short follow-up and included mainly younger patients, limiting conclusions on long-term durability and generalisability². GLOW confirmed efficacy in older and comorbid patients </w:t>
      </w:r>
      <w:r w:rsidR="0064301F" w:rsidRPr="0064301F">
        <w:rPr>
          <w:rFonts w:ascii="Arial" w:hAnsi="Arial" w:cs="Arial"/>
          <w:sz w:val="20"/>
          <w:szCs w:val="20"/>
        </w:rPr>
        <w:t>(hazard ratio (HR) for progression-free survival (PFS) 0.216; 24-month PFS 84.4%)</w:t>
      </w:r>
      <w:r w:rsidR="0064301F">
        <w:rPr>
          <w:rFonts w:ascii="Arial" w:hAnsi="Arial" w:cs="Arial"/>
          <w:sz w:val="20"/>
          <w:szCs w:val="20"/>
        </w:rPr>
        <w:t xml:space="preserve"> </w:t>
      </w:r>
      <w:r w:rsidRPr="00796172">
        <w:rPr>
          <w:rFonts w:ascii="Arial" w:hAnsi="Arial" w:cs="Arial"/>
          <w:sz w:val="20"/>
          <w:szCs w:val="20"/>
        </w:rPr>
        <w:t>and showed that a BTK inhibitor lead-in reduces tumour lysis syndrome risk³, but its population and comparator are less relevant to fitter first-line patients.</w:t>
      </w:r>
      <w:r w:rsidR="00DC01E2" w:rsidRPr="00796172">
        <w:rPr>
          <w:rFonts w:ascii="Arial" w:hAnsi="Arial" w:cs="Arial"/>
          <w:sz w:val="20"/>
          <w:szCs w:val="20"/>
        </w:rPr>
        <w:t xml:space="preserve"> </w:t>
      </w:r>
      <w:r w:rsidRPr="00796172">
        <w:rPr>
          <w:rFonts w:ascii="Arial" w:hAnsi="Arial" w:cs="Arial"/>
          <w:sz w:val="20"/>
          <w:szCs w:val="20"/>
        </w:rPr>
        <w:t>The FLAIR trial showed that MRD-guided treatment improves outcomes compared with chemoimmunotherapy⁴. This supports response-based treatment, as patients clear disease at different rates and fixed duration may lead to over- or under-treatment⁴. However, FLAIR used ibrutinib, which has higher cardiovascular toxicity, and compared against FCR, which is no longer standard⁴. It therefore does not show whether MRD-guided treatment is superior to modern targeted therapy.</w:t>
      </w:r>
      <w:r w:rsidR="00DC01E2" w:rsidRPr="00796172">
        <w:rPr>
          <w:rFonts w:ascii="Arial" w:hAnsi="Arial" w:cs="Arial"/>
          <w:sz w:val="20"/>
          <w:szCs w:val="20"/>
        </w:rPr>
        <w:t xml:space="preserve"> </w:t>
      </w:r>
      <w:r w:rsidRPr="00796172">
        <w:rPr>
          <w:rFonts w:ascii="Arial" w:hAnsi="Arial" w:cs="Arial"/>
          <w:sz w:val="20"/>
          <w:szCs w:val="20"/>
        </w:rPr>
        <w:t>The AMPLIFY trial showed that acalabrutinib plus venetoclax (AV) improves safety while maintaining efficacy⁵ but did not test MRD-guided stopping and used chemoimmunotherapy as a comparator⁵.</w:t>
      </w:r>
      <w:r w:rsidR="00DC01E2" w:rsidRPr="00796172">
        <w:rPr>
          <w:rFonts w:ascii="Arial" w:hAnsi="Arial" w:cs="Arial"/>
          <w:sz w:val="20"/>
          <w:szCs w:val="20"/>
        </w:rPr>
        <w:t xml:space="preserve"> </w:t>
      </w:r>
      <w:r w:rsidRPr="00796172">
        <w:rPr>
          <w:rFonts w:ascii="Arial" w:hAnsi="Arial" w:cs="Arial"/>
          <w:sz w:val="20"/>
          <w:szCs w:val="20"/>
        </w:rPr>
        <w:t xml:space="preserve">This study addresses these limitations by directly comparing fixed duration and MRD-guided AV </w:t>
      </w:r>
      <w:r w:rsidR="00C75AA9" w:rsidRPr="00796172">
        <w:rPr>
          <w:rFonts w:ascii="Arial" w:hAnsi="Arial" w:cs="Arial"/>
          <w:sz w:val="20"/>
          <w:szCs w:val="20"/>
        </w:rPr>
        <w:t xml:space="preserve">using a second-generation BTK inhibitor (acalabrutinib) with greater kinase selectivity and reduced cardiovascular toxicity, within a clinically relevant design to determine whether treatment can be personalised without compromising effectiveness. </w:t>
      </w:r>
      <w:r w:rsidR="002E05B3" w:rsidRPr="00796172">
        <w:rPr>
          <w:rFonts w:ascii="Arial" w:hAnsi="Arial" w:cs="Arial"/>
          <w:sz w:val="20"/>
          <w:szCs w:val="20"/>
        </w:rPr>
        <w:t>MRD-guided therapy may reduce unnecessary treatment exposure by allowing therapy to stop once deep remission is achieved, thereby limiting cumulative toxicity and improving the overall cost–benefit balance for patients who may not require indefinite treatment.</w:t>
      </w:r>
    </w:p>
    <w:p w14:paraId="1CEEF115" w14:textId="6A960F2E" w:rsidR="000E6BAD" w:rsidRPr="00796172" w:rsidRDefault="000E6BAD" w:rsidP="008B3D00">
      <w:pPr>
        <w:spacing w:line="276" w:lineRule="auto"/>
        <w:jc w:val="both"/>
        <w:rPr>
          <w:rFonts w:ascii="Arial" w:hAnsi="Arial" w:cs="Arial"/>
          <w:b/>
          <w:bCs/>
          <w:sz w:val="20"/>
          <w:szCs w:val="20"/>
        </w:rPr>
      </w:pPr>
      <w:r w:rsidRPr="00796172">
        <w:rPr>
          <w:rFonts w:ascii="Arial" w:hAnsi="Arial" w:cs="Arial"/>
          <w:b/>
          <w:bCs/>
          <w:sz w:val="20"/>
          <w:szCs w:val="20"/>
        </w:rPr>
        <w:t>Drug Mechanism, Dosing, and Safety Analysis</w:t>
      </w:r>
    </w:p>
    <w:p w14:paraId="7C04F999" w14:textId="79A1D5E3" w:rsidR="008B3D00" w:rsidRPr="00796172" w:rsidRDefault="009A51CB" w:rsidP="008B3D00">
      <w:pPr>
        <w:spacing w:line="276" w:lineRule="auto"/>
        <w:jc w:val="both"/>
        <w:rPr>
          <w:rFonts w:ascii="Arial" w:hAnsi="Arial" w:cs="Arial"/>
          <w:sz w:val="20"/>
          <w:szCs w:val="20"/>
        </w:rPr>
      </w:pPr>
      <w:r w:rsidRPr="00796172">
        <w:rPr>
          <w:rFonts w:ascii="Arial" w:hAnsi="Arial" w:cs="Arial"/>
          <w:sz w:val="20"/>
          <w:szCs w:val="20"/>
        </w:rPr>
        <w:t>This trial uses acalabrutinib and venetoclax in CLL. Acalabrutinib inhibits BTK, blocking BCR signalling and redistributing CLL cells from lymph nodes into blood¹. Venetoclax inhibits BCL2 and induces apoptosis</w:t>
      </w:r>
      <w:r w:rsidR="005816CD" w:rsidRPr="00796172">
        <w:rPr>
          <w:rFonts w:ascii="Arial" w:hAnsi="Arial" w:cs="Arial"/>
          <w:sz w:val="20"/>
          <w:szCs w:val="20"/>
        </w:rPr>
        <w:t xml:space="preserve"> (Figure 1</w:t>
      </w:r>
      <w:r w:rsidR="00365D7A" w:rsidRPr="00796172">
        <w:rPr>
          <w:rFonts w:ascii="Arial" w:hAnsi="Arial" w:cs="Arial"/>
          <w:sz w:val="20"/>
          <w:szCs w:val="20"/>
        </w:rPr>
        <w:t>E</w:t>
      </w:r>
      <w:r w:rsidR="005816CD" w:rsidRPr="00796172">
        <w:rPr>
          <w:rFonts w:ascii="Arial" w:hAnsi="Arial" w:cs="Arial"/>
          <w:sz w:val="20"/>
          <w:szCs w:val="20"/>
        </w:rPr>
        <w:t>)</w:t>
      </w:r>
      <w:r w:rsidRPr="00796172">
        <w:rPr>
          <w:rFonts w:ascii="Arial" w:hAnsi="Arial" w:cs="Arial"/>
          <w:sz w:val="20"/>
          <w:szCs w:val="20"/>
        </w:rPr>
        <w:t>¹</w:t>
      </w:r>
      <w:r w:rsidR="005816CD" w:rsidRPr="00796172">
        <w:rPr>
          <w:rFonts w:ascii="Arial" w:hAnsi="Arial" w:cs="Arial"/>
          <w:sz w:val="20"/>
          <w:szCs w:val="20"/>
        </w:rPr>
        <w:t xml:space="preserve">. </w:t>
      </w:r>
      <w:r w:rsidRPr="00796172">
        <w:rPr>
          <w:rFonts w:ascii="Arial" w:hAnsi="Arial" w:cs="Arial"/>
          <w:sz w:val="20"/>
          <w:szCs w:val="20"/>
        </w:rPr>
        <w:t>Acalabrutinib reduces tumour burden and increases sensitivity to venetoclax².</w:t>
      </w:r>
      <w:r w:rsidR="00DC01E2" w:rsidRPr="00796172">
        <w:rPr>
          <w:rFonts w:ascii="Arial" w:hAnsi="Arial" w:cs="Arial"/>
          <w:sz w:val="20"/>
          <w:szCs w:val="20"/>
        </w:rPr>
        <w:t xml:space="preserve"> </w:t>
      </w:r>
      <w:r w:rsidRPr="00796172">
        <w:rPr>
          <w:rFonts w:ascii="Arial" w:hAnsi="Arial" w:cs="Arial"/>
          <w:sz w:val="20"/>
          <w:szCs w:val="20"/>
        </w:rPr>
        <w:t>Acalabrutinib is given at 100 mg twice daily with a three-cycle lead-in to reduce tumour burden and lower tumour lysis syndrome risk² ³. Venetoclax is then introduced with a five-week dose escalation to 400 mg daily² ³. This approach is based on previous trials showing improved safety with BTK inhibitor lead-in³.</w:t>
      </w:r>
      <w:r w:rsidR="00DC01E2" w:rsidRPr="00796172">
        <w:rPr>
          <w:rFonts w:ascii="Arial" w:hAnsi="Arial" w:cs="Arial"/>
          <w:sz w:val="20"/>
          <w:szCs w:val="20"/>
        </w:rPr>
        <w:t xml:space="preserve"> </w:t>
      </w:r>
      <w:r w:rsidRPr="00796172">
        <w:rPr>
          <w:rFonts w:ascii="Arial" w:hAnsi="Arial" w:cs="Arial"/>
          <w:sz w:val="20"/>
          <w:szCs w:val="20"/>
        </w:rPr>
        <w:t>The safety profile is better than ibrutinib-based regimens, particularly for cardiovascular toxicity⁵. In AMPLIFY, grade ≥3 hypertension occurred in 2.7% and atrial fibrillation in 0.7%⁵. Common adverse events include neutropenia, infections, and diarrhoea² ⁵, with neutropenia the most frequent grade ≥3 toxicity⁵.</w:t>
      </w:r>
      <w:r w:rsidR="00DC01E2" w:rsidRPr="00796172">
        <w:rPr>
          <w:rFonts w:ascii="Arial" w:hAnsi="Arial" w:cs="Arial"/>
          <w:sz w:val="20"/>
          <w:szCs w:val="20"/>
        </w:rPr>
        <w:t xml:space="preserve"> </w:t>
      </w:r>
      <w:r w:rsidRPr="00796172">
        <w:rPr>
          <w:rFonts w:ascii="Arial" w:hAnsi="Arial" w:cs="Arial"/>
          <w:sz w:val="20"/>
          <w:szCs w:val="20"/>
        </w:rPr>
        <w:t xml:space="preserve">MRD-guided treatment may require longer exposure in some patients, making cumulative toxicity relevant⁴. Using acalabrutinib reduces this risk and supports prolonged treatment when needed⁵. </w:t>
      </w:r>
    </w:p>
    <w:p w14:paraId="7CBC6FC6" w14:textId="77777777" w:rsidR="002B2B23" w:rsidRPr="00796172" w:rsidRDefault="002B2B23" w:rsidP="008B3D00">
      <w:pPr>
        <w:spacing w:line="276" w:lineRule="auto"/>
        <w:jc w:val="both"/>
        <w:rPr>
          <w:rFonts w:ascii="Arial" w:hAnsi="Arial" w:cs="Arial"/>
          <w:b/>
          <w:bCs/>
          <w:sz w:val="20"/>
          <w:szCs w:val="20"/>
        </w:rPr>
      </w:pPr>
    </w:p>
    <w:p w14:paraId="300BB590" w14:textId="77777777" w:rsidR="002B2B23" w:rsidRPr="00796172" w:rsidRDefault="002B2B23" w:rsidP="008B3D00">
      <w:pPr>
        <w:spacing w:line="276" w:lineRule="auto"/>
        <w:jc w:val="both"/>
        <w:rPr>
          <w:rFonts w:ascii="Arial" w:hAnsi="Arial" w:cs="Arial"/>
          <w:b/>
          <w:bCs/>
          <w:sz w:val="20"/>
          <w:szCs w:val="20"/>
        </w:rPr>
      </w:pPr>
    </w:p>
    <w:p w14:paraId="798A360E" w14:textId="77777777" w:rsidR="002B2B23" w:rsidRPr="00796172" w:rsidRDefault="002B2B23" w:rsidP="008B3D00">
      <w:pPr>
        <w:spacing w:line="276" w:lineRule="auto"/>
        <w:jc w:val="both"/>
        <w:rPr>
          <w:rFonts w:ascii="Arial" w:hAnsi="Arial" w:cs="Arial"/>
          <w:b/>
          <w:bCs/>
          <w:sz w:val="20"/>
          <w:szCs w:val="20"/>
        </w:rPr>
      </w:pPr>
    </w:p>
    <w:p w14:paraId="6E4D87F8" w14:textId="77777777" w:rsidR="002B2B23" w:rsidRPr="00796172" w:rsidRDefault="002B2B23" w:rsidP="008B3D00">
      <w:pPr>
        <w:spacing w:line="276" w:lineRule="auto"/>
        <w:jc w:val="both"/>
        <w:rPr>
          <w:rFonts w:ascii="Arial" w:hAnsi="Arial" w:cs="Arial"/>
          <w:b/>
          <w:bCs/>
          <w:sz w:val="20"/>
          <w:szCs w:val="20"/>
        </w:rPr>
      </w:pPr>
    </w:p>
    <w:p w14:paraId="478B5B5A" w14:textId="4648B4D1" w:rsidR="000E6BAD" w:rsidRPr="00796172" w:rsidRDefault="000E6BAD" w:rsidP="008B3D00">
      <w:pPr>
        <w:spacing w:line="276" w:lineRule="auto"/>
        <w:jc w:val="both"/>
        <w:rPr>
          <w:rFonts w:ascii="Arial" w:hAnsi="Arial" w:cs="Arial"/>
          <w:b/>
          <w:bCs/>
          <w:sz w:val="20"/>
          <w:szCs w:val="20"/>
        </w:rPr>
      </w:pPr>
      <w:r w:rsidRPr="00796172">
        <w:rPr>
          <w:rFonts w:ascii="Arial" w:hAnsi="Arial" w:cs="Arial"/>
          <w:b/>
          <w:bCs/>
          <w:sz w:val="20"/>
          <w:szCs w:val="20"/>
        </w:rPr>
        <w:lastRenderedPageBreak/>
        <w:t>Study Design</w:t>
      </w:r>
    </w:p>
    <w:p w14:paraId="1A879CB0" w14:textId="24648360" w:rsidR="00BD2408" w:rsidRPr="00796172" w:rsidRDefault="00BD2408" w:rsidP="008B3D00">
      <w:pPr>
        <w:spacing w:line="276" w:lineRule="auto"/>
        <w:jc w:val="both"/>
        <w:rPr>
          <w:rFonts w:ascii="Arial" w:hAnsi="Arial" w:cs="Arial"/>
          <w:sz w:val="20"/>
          <w:szCs w:val="20"/>
        </w:rPr>
      </w:pPr>
      <w:r w:rsidRPr="00796172">
        <w:rPr>
          <w:rFonts w:ascii="Arial" w:hAnsi="Arial" w:cs="Arial"/>
          <w:sz w:val="20"/>
          <w:szCs w:val="20"/>
        </w:rPr>
        <w:t xml:space="preserve">This is a phase 3, multicentre, randomised, open-label superiority trial in treatment-naïve CLL. Patients meeting </w:t>
      </w:r>
      <w:r w:rsidR="003C3EA9" w:rsidRPr="00796172">
        <w:rPr>
          <w:rFonts w:ascii="Arial" w:hAnsi="Arial" w:cs="Arial"/>
          <w:sz w:val="20"/>
          <w:szCs w:val="20"/>
        </w:rPr>
        <w:t>iWCLL</w:t>
      </w:r>
      <w:r w:rsidRPr="00796172">
        <w:rPr>
          <w:rFonts w:ascii="Arial" w:hAnsi="Arial" w:cs="Arial"/>
          <w:sz w:val="20"/>
          <w:szCs w:val="20"/>
        </w:rPr>
        <w:t xml:space="preserve"> criteria will be stratified by IGHV and TP53 status¹ and randomised 1:1 to fixed-duration AV (14 cycles) or MRD-guided AV. </w:t>
      </w:r>
      <w:r w:rsidR="009566C7" w:rsidRPr="00796172">
        <w:rPr>
          <w:rFonts w:ascii="Arial" w:hAnsi="Arial" w:cs="Arial"/>
          <w:sz w:val="20"/>
          <w:szCs w:val="20"/>
        </w:rPr>
        <w:t>Approximately 500 patients (~250 per arm)</w:t>
      </w:r>
      <w:r w:rsidRPr="00796172">
        <w:rPr>
          <w:rFonts w:ascii="Arial" w:hAnsi="Arial" w:cs="Arial"/>
          <w:sz w:val="20"/>
          <w:szCs w:val="20"/>
        </w:rPr>
        <w:t xml:space="preserve"> will be recruited.</w:t>
      </w:r>
      <w:r w:rsidR="00DC01E2" w:rsidRPr="00796172">
        <w:rPr>
          <w:rFonts w:ascii="Arial" w:hAnsi="Arial" w:cs="Arial"/>
          <w:sz w:val="20"/>
          <w:szCs w:val="20"/>
        </w:rPr>
        <w:t xml:space="preserve"> </w:t>
      </w:r>
      <w:r w:rsidRPr="00796172">
        <w:rPr>
          <w:rFonts w:ascii="Arial" w:hAnsi="Arial" w:cs="Arial"/>
          <w:sz w:val="20"/>
          <w:szCs w:val="20"/>
        </w:rPr>
        <w:t xml:space="preserve">Randomisation is required to compare treatment duration strategies. Using the same regimen removes confounding and isolates the effect of MRD-guided stopping⁴. </w:t>
      </w:r>
      <w:r w:rsidR="00152D36" w:rsidRPr="00796172">
        <w:rPr>
          <w:rFonts w:ascii="Arial" w:hAnsi="Arial" w:cs="Arial"/>
          <w:sz w:val="20"/>
          <w:szCs w:val="20"/>
        </w:rPr>
        <w:t xml:space="preserve">An open-label design is </w:t>
      </w:r>
      <w:r w:rsidR="00764CF5" w:rsidRPr="00796172">
        <w:rPr>
          <w:rFonts w:ascii="Arial" w:hAnsi="Arial" w:cs="Arial"/>
          <w:sz w:val="20"/>
          <w:szCs w:val="20"/>
        </w:rPr>
        <w:t xml:space="preserve">mandatory </w:t>
      </w:r>
      <w:r w:rsidR="00D35FAE" w:rsidRPr="00796172">
        <w:rPr>
          <w:rFonts w:ascii="Arial" w:hAnsi="Arial" w:cs="Arial"/>
          <w:sz w:val="20"/>
          <w:szCs w:val="20"/>
        </w:rPr>
        <w:t xml:space="preserve">due to the adaptive nature of the </w:t>
      </w:r>
      <w:r w:rsidR="00152D36" w:rsidRPr="00796172">
        <w:rPr>
          <w:rFonts w:ascii="Arial" w:hAnsi="Arial" w:cs="Arial"/>
          <w:sz w:val="20"/>
          <w:szCs w:val="20"/>
        </w:rPr>
        <w:t xml:space="preserve">MRD-guided </w:t>
      </w:r>
      <w:r w:rsidR="00D35FAE" w:rsidRPr="00796172">
        <w:rPr>
          <w:rFonts w:ascii="Arial" w:hAnsi="Arial" w:cs="Arial"/>
          <w:sz w:val="20"/>
          <w:szCs w:val="20"/>
        </w:rPr>
        <w:t>arm, which necessitates real-time clinical decisions. To mitigate the risk of observer bias, the primary endpoint (PFS) will be assessed by a central, blinded Independent Review Committee (IRC) using standardised 2018 iWCLL criteria</w:t>
      </w:r>
      <w:r w:rsidRPr="00796172">
        <w:rPr>
          <w:rFonts w:ascii="Arial" w:hAnsi="Arial" w:cs="Arial"/>
          <w:sz w:val="20"/>
          <w:szCs w:val="20"/>
        </w:rPr>
        <w:t>⁴.</w:t>
      </w:r>
    </w:p>
    <w:p w14:paraId="37C77AB9" w14:textId="425525D8" w:rsidR="000E6BAD" w:rsidRPr="00796172" w:rsidRDefault="000E6BAD" w:rsidP="008B3D00">
      <w:pPr>
        <w:spacing w:line="276" w:lineRule="auto"/>
        <w:jc w:val="both"/>
        <w:rPr>
          <w:rFonts w:ascii="Arial" w:hAnsi="Arial" w:cs="Arial"/>
          <w:b/>
          <w:bCs/>
          <w:sz w:val="20"/>
          <w:szCs w:val="20"/>
        </w:rPr>
      </w:pPr>
      <w:r w:rsidRPr="00796172">
        <w:rPr>
          <w:rFonts w:ascii="Arial" w:hAnsi="Arial" w:cs="Arial"/>
          <w:b/>
          <w:bCs/>
          <w:sz w:val="20"/>
          <w:szCs w:val="20"/>
        </w:rPr>
        <w:t>Eligibility Criteria</w:t>
      </w:r>
    </w:p>
    <w:p w14:paraId="64E6257B" w14:textId="77777777" w:rsidR="0049195B" w:rsidRPr="00796172" w:rsidRDefault="00BD2408" w:rsidP="0049195B">
      <w:pPr>
        <w:spacing w:line="276" w:lineRule="auto"/>
        <w:jc w:val="both"/>
        <w:rPr>
          <w:rFonts w:ascii="Arial" w:hAnsi="Arial" w:cs="Arial"/>
          <w:sz w:val="20"/>
          <w:szCs w:val="20"/>
        </w:rPr>
      </w:pPr>
      <w:r w:rsidRPr="00796172">
        <w:rPr>
          <w:rFonts w:ascii="Arial" w:hAnsi="Arial" w:cs="Arial"/>
          <w:sz w:val="20"/>
          <w:szCs w:val="20"/>
        </w:rPr>
        <w:t xml:space="preserve">Eligible patients must be adults aged 18 years or older with treatment-naïve CLL requiring therapy according to </w:t>
      </w:r>
      <w:r w:rsidR="003C3EA9" w:rsidRPr="00796172">
        <w:rPr>
          <w:rFonts w:ascii="Arial" w:hAnsi="Arial" w:cs="Arial"/>
          <w:sz w:val="20"/>
          <w:szCs w:val="20"/>
        </w:rPr>
        <w:t>iWCLL</w:t>
      </w:r>
      <w:r w:rsidRPr="00796172">
        <w:rPr>
          <w:rFonts w:ascii="Arial" w:hAnsi="Arial" w:cs="Arial"/>
          <w:sz w:val="20"/>
          <w:szCs w:val="20"/>
        </w:rPr>
        <w:t xml:space="preserve"> criteria¹. Patients must have ECOG performance status 0–2 and adequate organ function, including haemoglobin &gt;80 g/L, neutrophils &gt;1 × 10⁹/L, platelets &gt;75 × 10⁹/L, creatinine clearance &gt;30 mL/min, and adequate liver function¹.</w:t>
      </w:r>
      <w:r w:rsidR="00DC01E2" w:rsidRPr="00796172">
        <w:rPr>
          <w:rFonts w:ascii="Arial" w:hAnsi="Arial" w:cs="Arial"/>
          <w:sz w:val="20"/>
          <w:szCs w:val="20"/>
        </w:rPr>
        <w:t xml:space="preserve"> </w:t>
      </w:r>
      <w:r w:rsidRPr="00796172">
        <w:rPr>
          <w:rFonts w:ascii="Arial" w:hAnsi="Arial" w:cs="Arial"/>
          <w:sz w:val="20"/>
          <w:szCs w:val="20"/>
        </w:rPr>
        <w:t>Exclusion criteria include prior CLL treatment, Richter’s transformation, active infection, pregnancy, or other malignancies requiring systemic therapy¹. Patients with significant cardiovascular disease or high bleeding risk are excluded⁵. Patients with recent stroke, myocardial infarction, uncontrolled arrhythmias, active anticoagulation, or severe renal impairment are excluded due to increased risk of BTK inhibitor toxicity and venetoclax-associated TLS² ⁵.</w:t>
      </w:r>
      <w:r w:rsidR="00DC01E2" w:rsidRPr="00796172">
        <w:rPr>
          <w:rFonts w:ascii="Arial" w:hAnsi="Arial" w:cs="Arial"/>
          <w:sz w:val="20"/>
          <w:szCs w:val="20"/>
        </w:rPr>
        <w:t xml:space="preserve"> </w:t>
      </w:r>
      <w:r w:rsidR="0049195B" w:rsidRPr="00796172">
        <w:rPr>
          <w:rFonts w:ascii="Arial" w:hAnsi="Arial" w:cs="Arial"/>
          <w:sz w:val="20"/>
          <w:szCs w:val="20"/>
        </w:rPr>
        <w:t>These criteria ensure a uniform population, enhancing the homogeneity of the cohort and reducing confounding variables that could otherwise obscure treatment response or toxicity dynamics.</w:t>
      </w:r>
    </w:p>
    <w:p w14:paraId="018973BC" w14:textId="6C38C5A9" w:rsidR="000E6BAD" w:rsidRPr="00796172" w:rsidRDefault="000E6BAD" w:rsidP="008B3D00">
      <w:pPr>
        <w:spacing w:line="276" w:lineRule="auto"/>
        <w:jc w:val="both"/>
        <w:rPr>
          <w:rFonts w:ascii="Arial" w:hAnsi="Arial" w:cs="Arial"/>
          <w:b/>
          <w:bCs/>
          <w:sz w:val="20"/>
          <w:szCs w:val="20"/>
        </w:rPr>
      </w:pPr>
      <w:r w:rsidRPr="00796172">
        <w:rPr>
          <w:rFonts w:ascii="Arial" w:hAnsi="Arial" w:cs="Arial"/>
          <w:b/>
          <w:bCs/>
          <w:sz w:val="20"/>
          <w:szCs w:val="20"/>
        </w:rPr>
        <w:t>Study Procedures</w:t>
      </w:r>
    </w:p>
    <w:p w14:paraId="263490AF" w14:textId="7861F206" w:rsidR="00BD2408" w:rsidRPr="00796172" w:rsidRDefault="00BD2408" w:rsidP="008B3D00">
      <w:pPr>
        <w:spacing w:line="276" w:lineRule="auto"/>
        <w:jc w:val="both"/>
        <w:rPr>
          <w:rFonts w:ascii="Arial" w:hAnsi="Arial" w:cs="Arial"/>
          <w:sz w:val="20"/>
          <w:szCs w:val="20"/>
        </w:rPr>
      </w:pPr>
      <w:r w:rsidRPr="00796172">
        <w:rPr>
          <w:rFonts w:ascii="Arial" w:hAnsi="Arial" w:cs="Arial"/>
          <w:sz w:val="20"/>
          <w:szCs w:val="20"/>
        </w:rPr>
        <w:t>All patients receive three cycles of acalabrutinib lead-in followed by a five-week venetoclax ramp-up² ³. The fixed-duration arm receives 14 cycles and stops treatment⁵. The MRD-guided arm continues until confirmed uMRD (&lt;10</w:t>
      </w:r>
      <w:r w:rsidRPr="00796172">
        <w:rPr>
          <w:rFonts w:ascii="Cambria Math" w:hAnsi="Cambria Math" w:cs="Cambria Math"/>
          <w:sz w:val="20"/>
          <w:szCs w:val="20"/>
        </w:rPr>
        <w:t>⁻</w:t>
      </w:r>
      <w:r w:rsidRPr="00796172">
        <w:rPr>
          <w:rFonts w:ascii="Arial" w:hAnsi="Arial" w:cs="Arial"/>
          <w:sz w:val="20"/>
          <w:szCs w:val="20"/>
        </w:rPr>
        <w:t>⁴ on two tests ≥3 months apart) with bone marrow confirmation⁴.</w:t>
      </w:r>
      <w:r w:rsidR="00DC01E2" w:rsidRPr="00796172">
        <w:rPr>
          <w:rFonts w:ascii="Arial" w:hAnsi="Arial" w:cs="Arial"/>
          <w:sz w:val="20"/>
          <w:szCs w:val="20"/>
        </w:rPr>
        <w:t xml:space="preserve"> </w:t>
      </w:r>
      <w:r w:rsidRPr="00796172">
        <w:rPr>
          <w:rFonts w:ascii="Arial" w:hAnsi="Arial" w:cs="Arial"/>
          <w:sz w:val="20"/>
          <w:szCs w:val="20"/>
        </w:rPr>
        <w:t>Patients remain on study until progression, toxicity, withdrawal, or termination. Stratification by IGHV and TP53 is maintained in analysis¹.</w:t>
      </w:r>
      <w:r w:rsidR="00DC01E2" w:rsidRPr="00796172">
        <w:rPr>
          <w:rFonts w:ascii="Arial" w:hAnsi="Arial" w:cs="Arial"/>
          <w:sz w:val="20"/>
          <w:szCs w:val="20"/>
        </w:rPr>
        <w:t xml:space="preserve"> </w:t>
      </w:r>
      <w:r w:rsidRPr="00796172">
        <w:rPr>
          <w:rFonts w:ascii="Arial" w:hAnsi="Arial" w:cs="Arial"/>
          <w:sz w:val="20"/>
          <w:szCs w:val="20"/>
        </w:rPr>
        <w:t>Confirmed uMRD reduces the risk of stopping based on transient results⁴. MRD-guided treatment may prolong therapy in some patients, requiring close toxicity and quality of life monitoring⁴.</w:t>
      </w:r>
    </w:p>
    <w:p w14:paraId="74F61869" w14:textId="1285D72C" w:rsidR="000E6BAD" w:rsidRPr="00796172" w:rsidRDefault="000E6BAD" w:rsidP="008B3D00">
      <w:pPr>
        <w:spacing w:line="276" w:lineRule="auto"/>
        <w:jc w:val="both"/>
        <w:rPr>
          <w:rFonts w:ascii="Arial" w:hAnsi="Arial" w:cs="Arial"/>
          <w:b/>
          <w:bCs/>
          <w:sz w:val="20"/>
          <w:szCs w:val="20"/>
        </w:rPr>
      </w:pPr>
      <w:r w:rsidRPr="00796172">
        <w:rPr>
          <w:rFonts w:ascii="Arial" w:hAnsi="Arial" w:cs="Arial"/>
          <w:b/>
          <w:bCs/>
          <w:sz w:val="20"/>
          <w:szCs w:val="20"/>
        </w:rPr>
        <w:t>Outcome Measures and Objectives</w:t>
      </w:r>
    </w:p>
    <w:p w14:paraId="4DDFC36D" w14:textId="117D875A" w:rsidR="003C3EA9" w:rsidRPr="00796172" w:rsidRDefault="00BD2408" w:rsidP="008B3D00">
      <w:pPr>
        <w:spacing w:line="276" w:lineRule="auto"/>
        <w:jc w:val="both"/>
        <w:rPr>
          <w:rFonts w:ascii="Arial" w:hAnsi="Arial" w:cs="Arial"/>
          <w:sz w:val="20"/>
          <w:szCs w:val="20"/>
        </w:rPr>
      </w:pPr>
      <w:r w:rsidRPr="00796172">
        <w:rPr>
          <w:rFonts w:ascii="Arial" w:hAnsi="Arial" w:cs="Arial"/>
          <w:sz w:val="20"/>
          <w:szCs w:val="20"/>
        </w:rPr>
        <w:t>The primary endpoint is progression-free survival (PFS) comparing fixed-duration and MRD-guided treatment⁴. PFS is chosen because overall survival requires longer follow-up and may be confounded by subsequent therapies⁴.</w:t>
      </w:r>
      <w:r w:rsidR="00DC01E2" w:rsidRPr="00796172">
        <w:rPr>
          <w:rFonts w:ascii="Arial" w:hAnsi="Arial" w:cs="Arial"/>
          <w:sz w:val="20"/>
          <w:szCs w:val="20"/>
        </w:rPr>
        <w:t xml:space="preserve"> </w:t>
      </w:r>
      <w:r w:rsidRPr="00796172">
        <w:rPr>
          <w:rFonts w:ascii="Arial" w:hAnsi="Arial" w:cs="Arial"/>
          <w:sz w:val="20"/>
          <w:szCs w:val="20"/>
        </w:rPr>
        <w:t xml:space="preserve">Secondary endpoints include overall survival, MRD negativity rates, MRD kinetics, overall response rate, and time to next treatment² ⁴. Responses are assessed using 2018 </w:t>
      </w:r>
      <w:r w:rsidR="003C3EA9" w:rsidRPr="00796172">
        <w:rPr>
          <w:rFonts w:ascii="Arial" w:hAnsi="Arial" w:cs="Arial"/>
          <w:sz w:val="20"/>
          <w:szCs w:val="20"/>
        </w:rPr>
        <w:t>iWCLL</w:t>
      </w:r>
      <w:r w:rsidRPr="00796172">
        <w:rPr>
          <w:rFonts w:ascii="Arial" w:hAnsi="Arial" w:cs="Arial"/>
          <w:sz w:val="20"/>
          <w:szCs w:val="20"/>
        </w:rPr>
        <w:t xml:space="preserve"> criteria with blinded independent central review¹.</w:t>
      </w:r>
      <w:r w:rsidR="00DC01E2" w:rsidRPr="00796172">
        <w:rPr>
          <w:rFonts w:ascii="Arial" w:hAnsi="Arial" w:cs="Arial"/>
          <w:sz w:val="20"/>
          <w:szCs w:val="20"/>
        </w:rPr>
        <w:t xml:space="preserve"> </w:t>
      </w:r>
      <w:r w:rsidRPr="00796172">
        <w:rPr>
          <w:rFonts w:ascii="Arial" w:hAnsi="Arial" w:cs="Arial"/>
          <w:sz w:val="20"/>
          <w:szCs w:val="20"/>
        </w:rPr>
        <w:t>Patient-reported outcomes and quality of life are included, as the main benefit of MRD-guided treatment may be reduced exposure rather than large survival differences⁴.</w:t>
      </w:r>
    </w:p>
    <w:p w14:paraId="5F708F06" w14:textId="3F8E36F9" w:rsidR="000E6BAD" w:rsidRPr="00796172" w:rsidRDefault="000E6BAD" w:rsidP="008B3D00">
      <w:pPr>
        <w:spacing w:line="276" w:lineRule="auto"/>
        <w:jc w:val="both"/>
        <w:rPr>
          <w:rFonts w:ascii="Arial" w:hAnsi="Arial" w:cs="Arial"/>
          <w:b/>
          <w:bCs/>
          <w:sz w:val="20"/>
          <w:szCs w:val="20"/>
        </w:rPr>
      </w:pPr>
      <w:r w:rsidRPr="00796172">
        <w:rPr>
          <w:rFonts w:ascii="Arial" w:hAnsi="Arial" w:cs="Arial"/>
          <w:b/>
          <w:bCs/>
          <w:sz w:val="20"/>
          <w:szCs w:val="20"/>
        </w:rPr>
        <w:t>Conclusion and Potential Impact</w:t>
      </w:r>
    </w:p>
    <w:p w14:paraId="4ED4927F" w14:textId="4ECB620A" w:rsidR="008B3D00" w:rsidRPr="00796172" w:rsidRDefault="003C3EA9" w:rsidP="00DC01E2">
      <w:pPr>
        <w:spacing w:line="276" w:lineRule="auto"/>
        <w:jc w:val="both"/>
        <w:rPr>
          <w:rFonts w:ascii="Arial" w:hAnsi="Arial" w:cs="Arial"/>
          <w:sz w:val="20"/>
          <w:szCs w:val="20"/>
        </w:rPr>
      </w:pPr>
      <w:r w:rsidRPr="00796172">
        <w:rPr>
          <w:rFonts w:ascii="Arial" w:hAnsi="Arial" w:cs="Arial"/>
          <w:sz w:val="20"/>
          <w:szCs w:val="20"/>
        </w:rPr>
        <w:t>This trial tests whether treatment duration should be fixed or MRD-guided using a modern AV regimen. Current evidence supports both approaches, but no study has compared them within the same regimen² ⁴</w:t>
      </w:r>
      <w:r w:rsidR="006954FE" w:rsidRPr="00796172">
        <w:rPr>
          <w:rFonts w:ascii="Arial" w:hAnsi="Arial" w:cs="Arial"/>
          <w:sz w:val="20"/>
          <w:szCs w:val="20"/>
        </w:rPr>
        <w:t xml:space="preserve"> </w:t>
      </w:r>
      <w:r w:rsidRPr="00796172">
        <w:rPr>
          <w:rFonts w:ascii="Arial" w:hAnsi="Arial" w:cs="Arial"/>
          <w:sz w:val="20"/>
          <w:szCs w:val="20"/>
        </w:rPr>
        <w:t>⁵.</w:t>
      </w:r>
      <w:r w:rsidR="00DC01E2" w:rsidRPr="00796172">
        <w:rPr>
          <w:rFonts w:ascii="Arial" w:hAnsi="Arial" w:cs="Arial"/>
          <w:sz w:val="20"/>
          <w:szCs w:val="20"/>
        </w:rPr>
        <w:t xml:space="preserve"> </w:t>
      </w:r>
      <w:r w:rsidRPr="00796172">
        <w:rPr>
          <w:rFonts w:ascii="Arial" w:hAnsi="Arial" w:cs="Arial"/>
          <w:sz w:val="20"/>
          <w:szCs w:val="20"/>
        </w:rPr>
        <w:t>If MRD-guided treatment maintains disease control while reducing exposure, it supports a personalised approach. If not, fixed duration remains standard. This study directly tests a clinically relevant question that current trials have not addressed and will define whether MRD-guided AV should replace fixed-duration therapy in first-line CLL.</w:t>
      </w:r>
    </w:p>
    <w:p w14:paraId="045F2B88" w14:textId="77777777" w:rsidR="00354269" w:rsidRDefault="00354269" w:rsidP="00DC01E2">
      <w:pPr>
        <w:spacing w:line="276" w:lineRule="auto"/>
        <w:jc w:val="both"/>
        <w:rPr>
          <w:rFonts w:ascii="Arial" w:hAnsi="Arial" w:cs="Arial"/>
          <w:sz w:val="20"/>
          <w:szCs w:val="20"/>
        </w:rPr>
      </w:pPr>
    </w:p>
    <w:p w14:paraId="23AE8D47" w14:textId="77777777" w:rsidR="00354269" w:rsidRDefault="00354269" w:rsidP="00DC01E2">
      <w:pPr>
        <w:spacing w:line="276" w:lineRule="auto"/>
        <w:jc w:val="both"/>
        <w:rPr>
          <w:rFonts w:ascii="Arial" w:hAnsi="Arial" w:cs="Arial"/>
          <w:sz w:val="20"/>
          <w:szCs w:val="20"/>
        </w:rPr>
      </w:pPr>
    </w:p>
    <w:tbl>
      <w:tblPr>
        <w:tblStyle w:val="TableGrid"/>
        <w:tblW w:w="0" w:type="auto"/>
        <w:tblLook w:val="04A0" w:firstRow="1" w:lastRow="0" w:firstColumn="1" w:lastColumn="0" w:noHBand="0" w:noVBand="1"/>
      </w:tblPr>
      <w:tblGrid>
        <w:gridCol w:w="9026"/>
      </w:tblGrid>
      <w:tr w:rsidR="00354269" w14:paraId="39AAC088" w14:textId="77777777" w:rsidTr="006954FE">
        <w:tc>
          <w:tcPr>
            <w:tcW w:w="9016" w:type="dxa"/>
            <w:tcBorders>
              <w:top w:val="nil"/>
              <w:left w:val="nil"/>
              <w:bottom w:val="nil"/>
              <w:right w:val="nil"/>
            </w:tcBorders>
          </w:tcPr>
          <w:p w14:paraId="4138AE92" w14:textId="6BC674C7" w:rsidR="00354269" w:rsidRDefault="009626CC" w:rsidP="00DC01E2">
            <w:pPr>
              <w:spacing w:line="276" w:lineRule="auto"/>
              <w:jc w:val="both"/>
              <w:rPr>
                <w:rFonts w:ascii="Arial" w:hAnsi="Arial" w:cs="Arial"/>
                <w:sz w:val="20"/>
                <w:szCs w:val="20"/>
              </w:rPr>
            </w:pPr>
            <w:r>
              <w:rPr>
                <w:rFonts w:ascii="Arial" w:hAnsi="Arial" w:cs="Arial"/>
                <w:noProof/>
                <w:sz w:val="20"/>
                <w:szCs w:val="20"/>
              </w:rPr>
              <w:lastRenderedPageBreak/>
              <w:drawing>
                <wp:inline distT="0" distB="0" distL="0" distR="0" wp14:anchorId="377AE0EB" wp14:editId="5C3AEE83">
                  <wp:extent cx="5615340" cy="3012830"/>
                  <wp:effectExtent l="0" t="0" r="4445" b="0"/>
                  <wp:docPr id="160211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1865" name="Picture 1602111865"/>
                          <pic:cNvPicPr/>
                        </pic:nvPicPr>
                        <pic:blipFill rotWithShape="1">
                          <a:blip r:embed="rId8" cstate="print">
                            <a:extLst>
                              <a:ext uri="{28A0092B-C50C-407E-A947-70E740481C1C}">
                                <a14:useLocalDpi xmlns:a14="http://schemas.microsoft.com/office/drawing/2010/main" val="0"/>
                              </a:ext>
                            </a:extLst>
                          </a:blip>
                          <a:srcRect t="2599"/>
                          <a:stretch>
                            <a:fillRect/>
                          </a:stretch>
                        </pic:blipFill>
                        <pic:spPr bwMode="auto">
                          <a:xfrm>
                            <a:off x="0" y="0"/>
                            <a:ext cx="5643884" cy="3028145"/>
                          </a:xfrm>
                          <a:prstGeom prst="rect">
                            <a:avLst/>
                          </a:prstGeom>
                          <a:ln>
                            <a:noFill/>
                          </a:ln>
                          <a:extLst>
                            <a:ext uri="{53640926-AAD7-44D8-BBD7-CCE9431645EC}">
                              <a14:shadowObscured xmlns:a14="http://schemas.microsoft.com/office/drawing/2010/main"/>
                            </a:ext>
                          </a:extLst>
                        </pic:spPr>
                      </pic:pic>
                    </a:graphicData>
                  </a:graphic>
                </wp:inline>
              </w:drawing>
            </w:r>
          </w:p>
          <w:p w14:paraId="7EA19D13" w14:textId="105133DE" w:rsidR="009626CC" w:rsidRPr="00796172" w:rsidRDefault="002B3370" w:rsidP="00DC01E2">
            <w:pPr>
              <w:spacing w:line="276" w:lineRule="auto"/>
              <w:jc w:val="both"/>
              <w:rPr>
                <w:rFonts w:ascii="Arial" w:hAnsi="Arial" w:cs="Arial"/>
                <w:i/>
                <w:iCs/>
                <w:sz w:val="20"/>
                <w:szCs w:val="20"/>
              </w:rPr>
            </w:pPr>
            <w:r w:rsidRPr="00796172">
              <w:rPr>
                <w:rFonts w:ascii="Arial" w:hAnsi="Arial" w:cs="Arial"/>
                <w:b/>
                <w:bCs/>
                <w:sz w:val="20"/>
                <w:szCs w:val="20"/>
              </w:rPr>
              <w:t xml:space="preserve">Figure </w:t>
            </w:r>
            <w:r w:rsidR="00B235E0" w:rsidRPr="00796172">
              <w:rPr>
                <w:rFonts w:ascii="Arial" w:hAnsi="Arial" w:cs="Arial"/>
                <w:b/>
                <w:bCs/>
                <w:sz w:val="20"/>
                <w:szCs w:val="20"/>
              </w:rPr>
              <w:t>1</w:t>
            </w:r>
            <w:r w:rsidRPr="00796172">
              <w:rPr>
                <w:rFonts w:ascii="Arial" w:hAnsi="Arial" w:cs="Arial"/>
                <w:b/>
                <w:bCs/>
                <w:sz w:val="20"/>
                <w:szCs w:val="20"/>
              </w:rPr>
              <w:t>.</w:t>
            </w:r>
            <w:r w:rsidRPr="00796172">
              <w:rPr>
                <w:rFonts w:ascii="Arial" w:hAnsi="Arial" w:cs="Arial"/>
                <w:sz w:val="20"/>
                <w:szCs w:val="20"/>
              </w:rPr>
              <w:t xml:space="preserve"> Evolution of Bruton’s tyrosine kinase (BTK) and B-cell lymphoma 2 (BCL2) inhibitor strategies in chronic lymphocytic leukaemia (CLL) and proposed measurable residual disease (MRD)-guided acalabrutinib–venetoclax model. (A) CAPTIVATE shows that ibrutinib plus venetoclax induces deep responses by inhibiting B cell receptor signalling and triggering mitochondrial apoptosis². (B) GLOW demonstrates that ibrutinib lead-in reduces tumour burden and improves venetoclax safety³. (C) FLAIR introduces MRD-guided ibrutinib–venetoclax, where treatment duration is adapted to depth of response⁴. (D) AMPLIFY shows that acalabrutinib improves safety while maintaining efficacy with venetoclax but remains fixed-duration⁵. (E) The proposed trial uses acalabrutinib to disrupt microenvironment-driven survival and mobilise CLL cells, combined with venetoclax-induced BCL2 inhibition and apoptosis, and compares fixed-duration with MRD-guided therapy (undetectable MRD &lt;10</w:t>
            </w:r>
            <w:r w:rsidRPr="00796172">
              <w:rPr>
                <w:rFonts w:ascii="Cambria Math" w:hAnsi="Cambria Math" w:cs="Cambria Math"/>
                <w:sz w:val="20"/>
                <w:szCs w:val="20"/>
              </w:rPr>
              <w:t>⁻</w:t>
            </w:r>
            <w:r w:rsidRPr="00796172">
              <w:rPr>
                <w:rFonts w:ascii="Arial" w:hAnsi="Arial" w:cs="Arial"/>
                <w:sz w:val="20"/>
                <w:szCs w:val="20"/>
              </w:rPr>
              <w:t>⁴ confirmed twice) to optimise treatment duration and reduce toxicity. Adapted from</w:t>
            </w:r>
            <w:r w:rsidR="00FE0B54" w:rsidRPr="00796172">
              <w:rPr>
                <w:rFonts w:ascii="Arial" w:hAnsi="Arial" w:cs="Arial"/>
                <w:sz w:val="20"/>
                <w:szCs w:val="20"/>
              </w:rPr>
              <w:t xml:space="preserve"> </w:t>
            </w:r>
            <w:r w:rsidR="00B235E0" w:rsidRPr="00796172">
              <w:rPr>
                <w:rFonts w:ascii="Arial" w:hAnsi="Arial" w:cs="Arial"/>
                <w:sz w:val="20"/>
                <w:szCs w:val="20"/>
                <w:vertAlign w:val="superscript"/>
              </w:rPr>
              <w:t>2-5</w:t>
            </w:r>
            <w:r w:rsidRPr="00796172">
              <w:rPr>
                <w:rFonts w:ascii="Arial" w:hAnsi="Arial" w:cs="Arial"/>
                <w:sz w:val="20"/>
                <w:szCs w:val="20"/>
              </w:rPr>
              <w:t xml:space="preserve">. </w:t>
            </w:r>
            <w:r w:rsidRPr="00796172">
              <w:rPr>
                <w:rFonts w:ascii="Arial" w:hAnsi="Arial" w:cs="Arial"/>
                <w:i/>
                <w:iCs/>
                <w:sz w:val="20"/>
                <w:szCs w:val="20"/>
              </w:rPr>
              <w:t>Created in BioRender.com.</w:t>
            </w:r>
          </w:p>
          <w:p w14:paraId="1C04910C" w14:textId="57A9BE89" w:rsidR="00F32711" w:rsidRPr="00796172" w:rsidRDefault="00F32711" w:rsidP="00DC01E2">
            <w:pPr>
              <w:spacing w:line="276" w:lineRule="auto"/>
              <w:jc w:val="both"/>
              <w:rPr>
                <w:rFonts w:ascii="Arial" w:hAnsi="Arial" w:cs="Arial"/>
                <w:sz w:val="20"/>
                <w:szCs w:val="20"/>
              </w:rPr>
            </w:pPr>
            <w:r w:rsidRPr="00796172">
              <w:rPr>
                <w:rFonts w:ascii="Arial" w:hAnsi="Arial" w:cs="Arial"/>
                <w:b/>
                <w:bCs/>
                <w:sz w:val="20"/>
                <w:szCs w:val="20"/>
              </w:rPr>
              <w:t>Abbreviations:</w:t>
            </w:r>
            <w:r w:rsidRPr="00796172">
              <w:rPr>
                <w:rFonts w:ascii="Arial" w:hAnsi="Arial" w:cs="Arial"/>
                <w:sz w:val="20"/>
                <w:szCs w:val="20"/>
              </w:rPr>
              <w:t xml:space="preserve"> BCR; B cell receptor, BTK; Bruton’s tyrosine kinase, BTKi; Bruton’s tyrosine kinase inhibitor, BCL2; B cell lymphoma 2, BAX/BAK; pro-apoptotic effector proteins, MOMP; mitochondrial outer membrane </w:t>
            </w:r>
            <w:proofErr w:type="spellStart"/>
            <w:r w:rsidRPr="00796172">
              <w:rPr>
                <w:rFonts w:ascii="Arial" w:hAnsi="Arial" w:cs="Arial"/>
                <w:sz w:val="20"/>
                <w:szCs w:val="20"/>
              </w:rPr>
              <w:t>permeabilisation</w:t>
            </w:r>
            <w:proofErr w:type="spellEnd"/>
            <w:r w:rsidRPr="00796172">
              <w:rPr>
                <w:rFonts w:ascii="Arial" w:hAnsi="Arial" w:cs="Arial"/>
                <w:sz w:val="20"/>
                <w:szCs w:val="20"/>
              </w:rPr>
              <w:t>, MRD; measurable residual disease, uMRD; undetectable measurable residual disease.</w:t>
            </w:r>
          </w:p>
          <w:p w14:paraId="231A0E7E" w14:textId="77F00256" w:rsidR="009626CC" w:rsidRDefault="009626CC" w:rsidP="00DC01E2">
            <w:pPr>
              <w:spacing w:line="276" w:lineRule="auto"/>
              <w:jc w:val="both"/>
              <w:rPr>
                <w:rFonts w:ascii="Arial" w:hAnsi="Arial" w:cs="Arial"/>
                <w:sz w:val="20"/>
                <w:szCs w:val="20"/>
              </w:rPr>
            </w:pPr>
          </w:p>
        </w:tc>
      </w:tr>
    </w:tbl>
    <w:p w14:paraId="619F5CA7" w14:textId="77777777" w:rsidR="00DC01E2" w:rsidRDefault="00DC01E2" w:rsidP="00DC01E2">
      <w:pPr>
        <w:spacing w:line="276" w:lineRule="auto"/>
        <w:jc w:val="both"/>
        <w:rPr>
          <w:rFonts w:ascii="Arial" w:hAnsi="Arial" w:cs="Arial"/>
          <w:sz w:val="20"/>
          <w:szCs w:val="20"/>
        </w:rPr>
      </w:pPr>
    </w:p>
    <w:p w14:paraId="7FF0DDEE" w14:textId="77777777" w:rsidR="00B8332B" w:rsidRDefault="00B8332B" w:rsidP="00DC01E2">
      <w:pPr>
        <w:spacing w:line="276" w:lineRule="auto"/>
        <w:jc w:val="both"/>
        <w:rPr>
          <w:rFonts w:ascii="Arial" w:hAnsi="Arial" w:cs="Arial"/>
          <w:sz w:val="20"/>
          <w:szCs w:val="20"/>
        </w:rPr>
      </w:pPr>
    </w:p>
    <w:p w14:paraId="6130DD17" w14:textId="77777777" w:rsidR="00B8332B" w:rsidRDefault="00B8332B" w:rsidP="00DC01E2">
      <w:pPr>
        <w:spacing w:line="276" w:lineRule="auto"/>
        <w:jc w:val="both"/>
        <w:rPr>
          <w:rFonts w:ascii="Arial" w:hAnsi="Arial" w:cs="Arial"/>
          <w:sz w:val="20"/>
          <w:szCs w:val="20"/>
        </w:rPr>
      </w:pPr>
    </w:p>
    <w:p w14:paraId="22527F61" w14:textId="77777777" w:rsidR="00B8332B" w:rsidRDefault="00B8332B" w:rsidP="00DC01E2">
      <w:pPr>
        <w:spacing w:line="276" w:lineRule="auto"/>
        <w:jc w:val="both"/>
        <w:rPr>
          <w:rFonts w:ascii="Arial" w:hAnsi="Arial" w:cs="Arial"/>
          <w:sz w:val="20"/>
          <w:szCs w:val="20"/>
        </w:rPr>
      </w:pPr>
    </w:p>
    <w:p w14:paraId="1D4980F4" w14:textId="77777777" w:rsidR="00B8332B" w:rsidRDefault="00B8332B" w:rsidP="00DC01E2">
      <w:pPr>
        <w:spacing w:line="276" w:lineRule="auto"/>
        <w:jc w:val="both"/>
        <w:rPr>
          <w:rFonts w:ascii="Arial" w:hAnsi="Arial" w:cs="Arial"/>
          <w:sz w:val="20"/>
          <w:szCs w:val="20"/>
        </w:rPr>
      </w:pPr>
    </w:p>
    <w:p w14:paraId="0FA614AB" w14:textId="77777777" w:rsidR="00B8332B" w:rsidRDefault="00B8332B" w:rsidP="00DC01E2">
      <w:pPr>
        <w:spacing w:line="276" w:lineRule="auto"/>
        <w:jc w:val="both"/>
        <w:rPr>
          <w:rFonts w:ascii="Arial" w:hAnsi="Arial" w:cs="Arial"/>
          <w:sz w:val="20"/>
          <w:szCs w:val="20"/>
        </w:rPr>
      </w:pPr>
    </w:p>
    <w:p w14:paraId="79410920" w14:textId="77777777" w:rsidR="00B8332B" w:rsidRDefault="00B8332B" w:rsidP="00DC01E2">
      <w:pPr>
        <w:spacing w:line="276" w:lineRule="auto"/>
        <w:jc w:val="both"/>
        <w:rPr>
          <w:rFonts w:ascii="Arial" w:hAnsi="Arial" w:cs="Arial"/>
          <w:sz w:val="20"/>
          <w:szCs w:val="20"/>
        </w:rPr>
      </w:pPr>
    </w:p>
    <w:p w14:paraId="7FB49236" w14:textId="77777777" w:rsidR="00B8332B" w:rsidRDefault="00B8332B" w:rsidP="00DC01E2">
      <w:pPr>
        <w:spacing w:line="276" w:lineRule="auto"/>
        <w:jc w:val="both"/>
        <w:rPr>
          <w:rFonts w:ascii="Arial" w:hAnsi="Arial" w:cs="Arial"/>
          <w:sz w:val="20"/>
          <w:szCs w:val="20"/>
        </w:rPr>
      </w:pPr>
    </w:p>
    <w:p w14:paraId="175455A8" w14:textId="77777777" w:rsidR="00B8332B" w:rsidRDefault="00B8332B" w:rsidP="00DC01E2">
      <w:pPr>
        <w:spacing w:line="276" w:lineRule="auto"/>
        <w:jc w:val="both"/>
        <w:rPr>
          <w:rFonts w:ascii="Arial" w:hAnsi="Arial" w:cs="Arial"/>
          <w:sz w:val="20"/>
          <w:szCs w:val="20"/>
        </w:rPr>
      </w:pPr>
    </w:p>
    <w:p w14:paraId="258BAD27" w14:textId="77777777" w:rsidR="002B3370" w:rsidRDefault="002B3370" w:rsidP="00DC01E2">
      <w:pPr>
        <w:spacing w:line="276" w:lineRule="auto"/>
        <w:jc w:val="both"/>
        <w:rPr>
          <w:rFonts w:ascii="Arial" w:hAnsi="Arial" w:cs="Arial"/>
          <w:sz w:val="20"/>
          <w:szCs w:val="20"/>
        </w:rPr>
        <w:sectPr w:rsidR="002B3370" w:rsidSect="00B8332B">
          <w:headerReference w:type="default" r:id="rId9"/>
          <w:pgSz w:w="11906" w:h="16838"/>
          <w:pgMar w:top="1440" w:right="1440" w:bottom="1440" w:left="1440" w:header="708" w:footer="708" w:gutter="0"/>
          <w:cols w:space="708"/>
          <w:docGrid w:linePitch="360"/>
        </w:sectPr>
      </w:pPr>
    </w:p>
    <w:p w14:paraId="1FF3118C" w14:textId="77777777" w:rsidR="00B8332B" w:rsidRPr="00796172" w:rsidRDefault="00B8332B" w:rsidP="00DC01E2">
      <w:pPr>
        <w:spacing w:line="276" w:lineRule="auto"/>
        <w:jc w:val="both"/>
        <w:rPr>
          <w:rFonts w:ascii="Arial" w:hAnsi="Arial" w:cs="Arial"/>
          <w:sz w:val="20"/>
          <w:szCs w:val="20"/>
        </w:rPr>
      </w:pPr>
    </w:p>
    <w:p w14:paraId="73285E59" w14:textId="29E0D821" w:rsidR="005045C9" w:rsidRPr="00796172" w:rsidRDefault="003575BC" w:rsidP="00DC01E2">
      <w:pPr>
        <w:spacing w:line="240" w:lineRule="auto"/>
        <w:jc w:val="both"/>
        <w:rPr>
          <w:rFonts w:ascii="Arial" w:hAnsi="Arial" w:cs="Arial"/>
          <w:sz w:val="20"/>
          <w:szCs w:val="20"/>
        </w:rPr>
      </w:pPr>
      <w:r w:rsidRPr="00796172">
        <w:rPr>
          <w:rFonts w:ascii="Arial" w:hAnsi="Arial" w:cs="Arial"/>
          <w:b/>
          <w:bCs/>
          <w:sz w:val="20"/>
          <w:szCs w:val="20"/>
        </w:rPr>
        <w:t xml:space="preserve">Table 1. Comparative analysis of key clinical trials in CLL informing study design. </w:t>
      </w:r>
      <w:r w:rsidRPr="00796172">
        <w:rPr>
          <w:rFonts w:ascii="Arial" w:hAnsi="Arial" w:cs="Arial"/>
          <w:sz w:val="20"/>
          <w:szCs w:val="20"/>
        </w:rPr>
        <w:t>Summary of study design, efficacy outcomes, limitations, and areas for improvement in CAPTIVATE², GLOW³, FLAIR⁴, and AMPLIFY⁵. These trials establish fixed-duration therapy and MRD-guided strategies but highlight the lack of direct comparison using a second-generation BTK inhibitor.</w:t>
      </w:r>
      <w:r w:rsidR="00DC01E2" w:rsidRPr="00796172">
        <w:rPr>
          <w:rFonts w:ascii="Arial" w:hAnsi="Arial" w:cs="Arial"/>
          <w:sz w:val="20"/>
          <w:szCs w:val="20"/>
        </w:rPr>
        <w:t xml:space="preserve"> </w:t>
      </w:r>
    </w:p>
    <w:tbl>
      <w:tblPr>
        <w:tblStyle w:val="TableGrid"/>
        <w:tblW w:w="0" w:type="auto"/>
        <w:tblLook w:val="04A0" w:firstRow="1" w:lastRow="0" w:firstColumn="1" w:lastColumn="0" w:noHBand="0" w:noVBand="1"/>
      </w:tblPr>
      <w:tblGrid>
        <w:gridCol w:w="1852"/>
        <w:gridCol w:w="1429"/>
        <w:gridCol w:w="2575"/>
        <w:gridCol w:w="2612"/>
        <w:gridCol w:w="2592"/>
        <w:gridCol w:w="2888"/>
      </w:tblGrid>
      <w:tr w:rsidR="00F10184" w:rsidRPr="00796172" w14:paraId="7BECCE6E" w14:textId="77777777" w:rsidTr="000C18C4">
        <w:trPr>
          <w:cantSplit/>
          <w:tblHeader/>
        </w:trPr>
        <w:tc>
          <w:tcPr>
            <w:tcW w:w="0" w:type="auto"/>
            <w:hideMark/>
          </w:tcPr>
          <w:p w14:paraId="5349E927" w14:textId="77777777" w:rsidR="005045C9" w:rsidRPr="005045C9" w:rsidRDefault="005045C9" w:rsidP="005045C9">
            <w:pPr>
              <w:spacing w:after="160"/>
              <w:rPr>
                <w:rFonts w:ascii="Arial" w:hAnsi="Arial" w:cs="Arial"/>
                <w:b/>
                <w:bCs/>
                <w:sz w:val="20"/>
                <w:szCs w:val="20"/>
              </w:rPr>
            </w:pPr>
            <w:r w:rsidRPr="005045C9">
              <w:rPr>
                <w:rFonts w:ascii="Arial" w:hAnsi="Arial" w:cs="Arial"/>
                <w:b/>
                <w:bCs/>
                <w:sz w:val="20"/>
                <w:szCs w:val="20"/>
              </w:rPr>
              <w:t>NCT Number</w:t>
            </w:r>
          </w:p>
        </w:tc>
        <w:tc>
          <w:tcPr>
            <w:tcW w:w="0" w:type="auto"/>
            <w:hideMark/>
          </w:tcPr>
          <w:p w14:paraId="558250F0" w14:textId="77777777" w:rsidR="005045C9" w:rsidRPr="005045C9" w:rsidRDefault="005045C9" w:rsidP="005045C9">
            <w:pPr>
              <w:spacing w:after="160"/>
              <w:rPr>
                <w:rFonts w:ascii="Arial" w:hAnsi="Arial" w:cs="Arial"/>
                <w:b/>
                <w:bCs/>
                <w:sz w:val="20"/>
                <w:szCs w:val="20"/>
              </w:rPr>
            </w:pPr>
            <w:r w:rsidRPr="005045C9">
              <w:rPr>
                <w:rFonts w:ascii="Arial" w:hAnsi="Arial" w:cs="Arial"/>
                <w:b/>
                <w:bCs/>
                <w:sz w:val="20"/>
                <w:szCs w:val="20"/>
              </w:rPr>
              <w:t>Study name</w:t>
            </w:r>
          </w:p>
        </w:tc>
        <w:tc>
          <w:tcPr>
            <w:tcW w:w="0" w:type="auto"/>
            <w:hideMark/>
          </w:tcPr>
          <w:p w14:paraId="0367E3E1" w14:textId="77777777" w:rsidR="005045C9" w:rsidRPr="005045C9" w:rsidRDefault="005045C9" w:rsidP="005045C9">
            <w:pPr>
              <w:spacing w:after="160"/>
              <w:rPr>
                <w:rFonts w:ascii="Arial" w:hAnsi="Arial" w:cs="Arial"/>
                <w:b/>
                <w:bCs/>
                <w:sz w:val="20"/>
                <w:szCs w:val="20"/>
              </w:rPr>
            </w:pPr>
            <w:r w:rsidRPr="005045C9">
              <w:rPr>
                <w:rFonts w:ascii="Arial" w:hAnsi="Arial" w:cs="Arial"/>
                <w:b/>
                <w:bCs/>
                <w:sz w:val="20"/>
                <w:szCs w:val="20"/>
              </w:rPr>
              <w:t>Study design</w:t>
            </w:r>
          </w:p>
        </w:tc>
        <w:tc>
          <w:tcPr>
            <w:tcW w:w="0" w:type="auto"/>
            <w:hideMark/>
          </w:tcPr>
          <w:p w14:paraId="439DD64D" w14:textId="77777777" w:rsidR="005045C9" w:rsidRPr="005045C9" w:rsidRDefault="005045C9" w:rsidP="005045C9">
            <w:pPr>
              <w:spacing w:after="160"/>
              <w:rPr>
                <w:rFonts w:ascii="Arial" w:hAnsi="Arial" w:cs="Arial"/>
                <w:b/>
                <w:bCs/>
                <w:sz w:val="20"/>
                <w:szCs w:val="20"/>
              </w:rPr>
            </w:pPr>
            <w:r w:rsidRPr="005045C9">
              <w:rPr>
                <w:rFonts w:ascii="Arial" w:hAnsi="Arial" w:cs="Arial"/>
                <w:b/>
                <w:bCs/>
                <w:sz w:val="20"/>
                <w:szCs w:val="20"/>
              </w:rPr>
              <w:t>Main findings</w:t>
            </w:r>
          </w:p>
        </w:tc>
        <w:tc>
          <w:tcPr>
            <w:tcW w:w="0" w:type="auto"/>
            <w:hideMark/>
          </w:tcPr>
          <w:p w14:paraId="19331E38" w14:textId="77777777" w:rsidR="005045C9" w:rsidRPr="005045C9" w:rsidRDefault="005045C9" w:rsidP="005045C9">
            <w:pPr>
              <w:spacing w:after="160"/>
              <w:rPr>
                <w:rFonts w:ascii="Arial" w:hAnsi="Arial" w:cs="Arial"/>
                <w:b/>
                <w:bCs/>
                <w:sz w:val="20"/>
                <w:szCs w:val="20"/>
              </w:rPr>
            </w:pPr>
            <w:r w:rsidRPr="005045C9">
              <w:rPr>
                <w:rFonts w:ascii="Arial" w:hAnsi="Arial" w:cs="Arial"/>
                <w:b/>
                <w:bCs/>
                <w:sz w:val="20"/>
                <w:szCs w:val="20"/>
              </w:rPr>
              <w:t>Main limitations</w:t>
            </w:r>
          </w:p>
        </w:tc>
        <w:tc>
          <w:tcPr>
            <w:tcW w:w="0" w:type="auto"/>
            <w:hideMark/>
          </w:tcPr>
          <w:p w14:paraId="591B0071" w14:textId="77777777" w:rsidR="005045C9" w:rsidRPr="005045C9" w:rsidRDefault="005045C9" w:rsidP="005045C9">
            <w:pPr>
              <w:spacing w:after="160"/>
              <w:rPr>
                <w:rFonts w:ascii="Arial" w:hAnsi="Arial" w:cs="Arial"/>
                <w:b/>
                <w:bCs/>
                <w:sz w:val="20"/>
                <w:szCs w:val="20"/>
              </w:rPr>
            </w:pPr>
            <w:r w:rsidRPr="005045C9">
              <w:rPr>
                <w:rFonts w:ascii="Arial" w:hAnsi="Arial" w:cs="Arial"/>
                <w:b/>
                <w:bCs/>
                <w:sz w:val="20"/>
                <w:szCs w:val="20"/>
              </w:rPr>
              <w:t>How to improve it</w:t>
            </w:r>
          </w:p>
        </w:tc>
      </w:tr>
      <w:tr w:rsidR="00F10184" w:rsidRPr="00796172" w14:paraId="2D296A50" w14:textId="77777777" w:rsidTr="000C18C4">
        <w:trPr>
          <w:cantSplit/>
        </w:trPr>
        <w:tc>
          <w:tcPr>
            <w:tcW w:w="0" w:type="auto"/>
            <w:hideMark/>
          </w:tcPr>
          <w:p w14:paraId="46B85AEE" w14:textId="77777777" w:rsidR="005045C9" w:rsidRPr="00F818E4" w:rsidRDefault="005045C9" w:rsidP="005045C9">
            <w:pPr>
              <w:spacing w:after="160"/>
              <w:rPr>
                <w:rFonts w:ascii="Arial" w:hAnsi="Arial" w:cs="Arial"/>
                <w:b/>
                <w:bCs/>
                <w:sz w:val="20"/>
                <w:szCs w:val="20"/>
              </w:rPr>
            </w:pPr>
            <w:r w:rsidRPr="00F818E4">
              <w:rPr>
                <w:rFonts w:ascii="Arial" w:hAnsi="Arial" w:cs="Arial"/>
                <w:b/>
                <w:bCs/>
                <w:sz w:val="20"/>
                <w:szCs w:val="20"/>
              </w:rPr>
              <w:t>NCT02910583</w:t>
            </w:r>
          </w:p>
        </w:tc>
        <w:tc>
          <w:tcPr>
            <w:tcW w:w="0" w:type="auto"/>
            <w:hideMark/>
          </w:tcPr>
          <w:p w14:paraId="298537CD" w14:textId="77777777" w:rsidR="005045C9" w:rsidRPr="005045C9" w:rsidRDefault="005045C9" w:rsidP="005045C9">
            <w:pPr>
              <w:spacing w:after="160"/>
              <w:rPr>
                <w:rFonts w:ascii="Arial" w:hAnsi="Arial" w:cs="Arial"/>
                <w:sz w:val="20"/>
                <w:szCs w:val="20"/>
              </w:rPr>
            </w:pPr>
            <w:r w:rsidRPr="005045C9">
              <w:rPr>
                <w:rFonts w:ascii="Arial" w:hAnsi="Arial" w:cs="Arial"/>
                <w:sz w:val="20"/>
                <w:szCs w:val="20"/>
              </w:rPr>
              <w:t>CAPTIVATE FD</w:t>
            </w:r>
          </w:p>
        </w:tc>
        <w:tc>
          <w:tcPr>
            <w:tcW w:w="0" w:type="auto"/>
            <w:hideMark/>
          </w:tcPr>
          <w:p w14:paraId="174AE7E2"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Phase 2, international, open-label </w:t>
            </w:r>
          </w:p>
          <w:p w14:paraId="5480A4D7"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Single-arm study </w:t>
            </w:r>
          </w:p>
          <w:p w14:paraId="5C1944D5"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Younger, fit untreated CLL </w:t>
            </w:r>
          </w:p>
          <w:p w14:paraId="76BA770E" w14:textId="6FFFCC69" w:rsidR="005045C9" w:rsidRPr="005045C9" w:rsidRDefault="005045C9" w:rsidP="005045C9">
            <w:pPr>
              <w:spacing w:after="160"/>
              <w:rPr>
                <w:rFonts w:ascii="Arial" w:hAnsi="Arial" w:cs="Arial"/>
                <w:sz w:val="20"/>
                <w:szCs w:val="20"/>
              </w:rPr>
            </w:pPr>
            <w:r w:rsidRPr="005045C9">
              <w:rPr>
                <w:rFonts w:ascii="Arial" w:hAnsi="Arial" w:cs="Arial"/>
                <w:sz w:val="20"/>
                <w:szCs w:val="20"/>
              </w:rPr>
              <w:t xml:space="preserve">• </w:t>
            </w:r>
            <w:r w:rsidR="007973F0" w:rsidRPr="00796172">
              <w:rPr>
                <w:rFonts w:ascii="Arial" w:hAnsi="Arial" w:cs="Arial"/>
                <w:sz w:val="20"/>
                <w:szCs w:val="20"/>
              </w:rPr>
              <w:t>three</w:t>
            </w:r>
            <w:r w:rsidRPr="005045C9">
              <w:rPr>
                <w:rFonts w:ascii="Arial" w:hAnsi="Arial" w:cs="Arial"/>
                <w:sz w:val="20"/>
                <w:szCs w:val="20"/>
              </w:rPr>
              <w:t xml:space="preserve">-cycle ibrutinib lead-in + 12 cycles I+V </w:t>
            </w:r>
            <w:r w:rsidRPr="00796172">
              <w:rPr>
                <w:rFonts w:ascii="Arial" w:hAnsi="Arial" w:cs="Arial"/>
                <w:sz w:val="20"/>
                <w:szCs w:val="20"/>
              </w:rPr>
              <w:br/>
            </w:r>
            <w:r w:rsidRPr="005045C9">
              <w:rPr>
                <w:rFonts w:ascii="Arial" w:hAnsi="Arial" w:cs="Arial"/>
                <w:sz w:val="20"/>
                <w:szCs w:val="20"/>
              </w:rPr>
              <w:t>• Fixed duration</w:t>
            </w:r>
          </w:p>
        </w:tc>
        <w:tc>
          <w:tcPr>
            <w:tcW w:w="0" w:type="auto"/>
            <w:hideMark/>
          </w:tcPr>
          <w:p w14:paraId="471BBA93"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CR rate 55–56% </w:t>
            </w:r>
          </w:p>
          <w:p w14:paraId="52C06F33" w14:textId="77777777" w:rsidR="0054038F" w:rsidRPr="00796172" w:rsidRDefault="005045C9" w:rsidP="005045C9">
            <w:pPr>
              <w:rPr>
                <w:rFonts w:ascii="Arial" w:hAnsi="Arial" w:cs="Arial"/>
                <w:sz w:val="20"/>
                <w:szCs w:val="20"/>
              </w:rPr>
            </w:pPr>
            <w:r w:rsidRPr="005045C9">
              <w:rPr>
                <w:rFonts w:ascii="Arial" w:hAnsi="Arial" w:cs="Arial"/>
                <w:sz w:val="20"/>
                <w:szCs w:val="20"/>
              </w:rPr>
              <w:t xml:space="preserve">• PB uMRD 77%, BM uMRD 60% </w:t>
            </w:r>
          </w:p>
          <w:p w14:paraId="39D9C531" w14:textId="3C6A3D5A" w:rsidR="005045C9" w:rsidRPr="00796172" w:rsidRDefault="005045C9" w:rsidP="005045C9">
            <w:pPr>
              <w:rPr>
                <w:rFonts w:ascii="Arial" w:hAnsi="Arial" w:cs="Arial"/>
                <w:sz w:val="20"/>
                <w:szCs w:val="20"/>
              </w:rPr>
            </w:pPr>
            <w:r w:rsidRPr="005045C9">
              <w:rPr>
                <w:rFonts w:ascii="Arial" w:hAnsi="Arial" w:cs="Arial"/>
                <w:sz w:val="20"/>
                <w:szCs w:val="20"/>
              </w:rPr>
              <w:t xml:space="preserve">• 24-month PFS ~95% </w:t>
            </w:r>
          </w:p>
          <w:p w14:paraId="1E8F9ADB"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Lead-in reduces TLS risk from 21% to 1% </w:t>
            </w:r>
          </w:p>
          <w:p w14:paraId="6A764E24" w14:textId="726EC52F" w:rsidR="005045C9" w:rsidRPr="005045C9" w:rsidRDefault="005045C9" w:rsidP="005045C9">
            <w:pPr>
              <w:spacing w:after="160"/>
              <w:rPr>
                <w:rFonts w:ascii="Arial" w:hAnsi="Arial" w:cs="Arial"/>
                <w:sz w:val="20"/>
                <w:szCs w:val="20"/>
              </w:rPr>
            </w:pPr>
            <w:r w:rsidRPr="005045C9">
              <w:rPr>
                <w:rFonts w:ascii="Arial" w:hAnsi="Arial" w:cs="Arial"/>
                <w:sz w:val="20"/>
                <w:szCs w:val="20"/>
              </w:rPr>
              <w:t>• Feasible all-oral regimen</w:t>
            </w:r>
          </w:p>
        </w:tc>
        <w:tc>
          <w:tcPr>
            <w:tcW w:w="0" w:type="auto"/>
            <w:hideMark/>
          </w:tcPr>
          <w:p w14:paraId="31D6F16D"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No comparator arm </w:t>
            </w:r>
          </w:p>
          <w:p w14:paraId="6714CC61"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Cannot assess superiority </w:t>
            </w:r>
          </w:p>
          <w:p w14:paraId="05EC4E2E"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Shorter follow-up </w:t>
            </w:r>
          </w:p>
          <w:p w14:paraId="5961A846" w14:textId="77777777" w:rsidR="0054038F" w:rsidRPr="00796172" w:rsidRDefault="005045C9" w:rsidP="005045C9">
            <w:pPr>
              <w:rPr>
                <w:rFonts w:ascii="Arial" w:hAnsi="Arial" w:cs="Arial"/>
                <w:sz w:val="20"/>
                <w:szCs w:val="20"/>
              </w:rPr>
            </w:pPr>
            <w:r w:rsidRPr="005045C9">
              <w:rPr>
                <w:rFonts w:ascii="Arial" w:hAnsi="Arial" w:cs="Arial"/>
                <w:sz w:val="20"/>
                <w:szCs w:val="20"/>
              </w:rPr>
              <w:t xml:space="preserve">• Limited generalisability </w:t>
            </w:r>
          </w:p>
          <w:p w14:paraId="25B3D233" w14:textId="3B76D8A3" w:rsidR="005045C9" w:rsidRPr="00796172" w:rsidRDefault="005045C9" w:rsidP="005045C9">
            <w:pPr>
              <w:rPr>
                <w:rFonts w:ascii="Arial" w:hAnsi="Arial" w:cs="Arial"/>
                <w:sz w:val="20"/>
                <w:szCs w:val="20"/>
              </w:rPr>
            </w:pPr>
            <w:r w:rsidRPr="005045C9">
              <w:rPr>
                <w:rFonts w:ascii="Arial" w:hAnsi="Arial" w:cs="Arial"/>
                <w:sz w:val="20"/>
                <w:szCs w:val="20"/>
              </w:rPr>
              <w:t xml:space="preserve">• Uses ibrutinib </w:t>
            </w:r>
          </w:p>
          <w:p w14:paraId="57A0B73C" w14:textId="557FDFA6" w:rsidR="005045C9" w:rsidRPr="005045C9" w:rsidRDefault="005045C9" w:rsidP="005045C9">
            <w:pPr>
              <w:spacing w:after="160"/>
              <w:rPr>
                <w:rFonts w:ascii="Arial" w:hAnsi="Arial" w:cs="Arial"/>
                <w:sz w:val="20"/>
                <w:szCs w:val="20"/>
              </w:rPr>
            </w:pPr>
            <w:r w:rsidRPr="005045C9">
              <w:rPr>
                <w:rFonts w:ascii="Arial" w:hAnsi="Arial" w:cs="Arial"/>
                <w:sz w:val="20"/>
                <w:szCs w:val="20"/>
              </w:rPr>
              <w:t>• Not MRD-guided design</w:t>
            </w:r>
          </w:p>
        </w:tc>
        <w:tc>
          <w:tcPr>
            <w:tcW w:w="0" w:type="auto"/>
            <w:hideMark/>
          </w:tcPr>
          <w:p w14:paraId="057D9B34"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Add randomised comparator arm </w:t>
            </w:r>
          </w:p>
          <w:p w14:paraId="2EDDC356"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Compare fixed vs MRD-guided duration </w:t>
            </w:r>
          </w:p>
          <w:p w14:paraId="44A71CAB"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Use second-generation BTKi </w:t>
            </w:r>
          </w:p>
          <w:p w14:paraId="4BA251D0" w14:textId="0C9B80C1" w:rsidR="005045C9" w:rsidRPr="005045C9" w:rsidRDefault="005045C9" w:rsidP="005045C9">
            <w:pPr>
              <w:spacing w:after="160"/>
              <w:rPr>
                <w:rFonts w:ascii="Arial" w:hAnsi="Arial" w:cs="Arial"/>
                <w:sz w:val="20"/>
                <w:szCs w:val="20"/>
              </w:rPr>
            </w:pPr>
            <w:r w:rsidRPr="005045C9">
              <w:rPr>
                <w:rFonts w:ascii="Arial" w:hAnsi="Arial" w:cs="Arial"/>
                <w:sz w:val="20"/>
                <w:szCs w:val="20"/>
              </w:rPr>
              <w:t>• Extend follow-up for durability</w:t>
            </w:r>
          </w:p>
        </w:tc>
      </w:tr>
      <w:tr w:rsidR="00F10184" w:rsidRPr="00796172" w14:paraId="6087653C" w14:textId="77777777" w:rsidTr="000C18C4">
        <w:trPr>
          <w:cantSplit/>
        </w:trPr>
        <w:tc>
          <w:tcPr>
            <w:tcW w:w="0" w:type="auto"/>
            <w:hideMark/>
          </w:tcPr>
          <w:p w14:paraId="28E0390F" w14:textId="77777777" w:rsidR="005045C9" w:rsidRPr="00F818E4" w:rsidRDefault="005045C9" w:rsidP="005045C9">
            <w:pPr>
              <w:spacing w:after="160"/>
              <w:rPr>
                <w:rFonts w:ascii="Arial" w:hAnsi="Arial" w:cs="Arial"/>
                <w:b/>
                <w:bCs/>
                <w:sz w:val="20"/>
                <w:szCs w:val="20"/>
              </w:rPr>
            </w:pPr>
            <w:r w:rsidRPr="00F818E4">
              <w:rPr>
                <w:rFonts w:ascii="Arial" w:hAnsi="Arial" w:cs="Arial"/>
                <w:b/>
                <w:bCs/>
                <w:sz w:val="20"/>
                <w:szCs w:val="20"/>
              </w:rPr>
              <w:t>NCT03462719</w:t>
            </w:r>
          </w:p>
        </w:tc>
        <w:tc>
          <w:tcPr>
            <w:tcW w:w="0" w:type="auto"/>
            <w:hideMark/>
          </w:tcPr>
          <w:p w14:paraId="3CF9BE8E" w14:textId="77777777" w:rsidR="005045C9" w:rsidRPr="005045C9" w:rsidRDefault="005045C9" w:rsidP="005045C9">
            <w:pPr>
              <w:spacing w:after="160"/>
              <w:rPr>
                <w:rFonts w:ascii="Arial" w:hAnsi="Arial" w:cs="Arial"/>
                <w:sz w:val="20"/>
                <w:szCs w:val="20"/>
              </w:rPr>
            </w:pPr>
            <w:r w:rsidRPr="005045C9">
              <w:rPr>
                <w:rFonts w:ascii="Arial" w:hAnsi="Arial" w:cs="Arial"/>
                <w:sz w:val="20"/>
                <w:szCs w:val="20"/>
              </w:rPr>
              <w:t>GLOW</w:t>
            </w:r>
          </w:p>
        </w:tc>
        <w:tc>
          <w:tcPr>
            <w:tcW w:w="0" w:type="auto"/>
            <w:hideMark/>
          </w:tcPr>
          <w:p w14:paraId="154A388B"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Phase 3, randomised, open-label </w:t>
            </w:r>
          </w:p>
          <w:p w14:paraId="3A364E92"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Older or comorbid untreated CLL </w:t>
            </w:r>
          </w:p>
          <w:p w14:paraId="6E7F3F7D" w14:textId="77777777" w:rsidR="00F10184" w:rsidRPr="00796172" w:rsidRDefault="005045C9" w:rsidP="005045C9">
            <w:pPr>
              <w:rPr>
                <w:rFonts w:ascii="Arial" w:hAnsi="Arial" w:cs="Arial"/>
                <w:sz w:val="20"/>
                <w:szCs w:val="20"/>
              </w:rPr>
            </w:pPr>
            <w:r w:rsidRPr="005045C9">
              <w:rPr>
                <w:rFonts w:ascii="Arial" w:hAnsi="Arial" w:cs="Arial"/>
                <w:sz w:val="20"/>
                <w:szCs w:val="20"/>
              </w:rPr>
              <w:t xml:space="preserve">• Fixed duration I+V vs chlorambucil + obinutuzumab </w:t>
            </w:r>
          </w:p>
          <w:p w14:paraId="1BA744AA" w14:textId="002A36A6" w:rsidR="005045C9" w:rsidRPr="00796172" w:rsidRDefault="005045C9" w:rsidP="005045C9">
            <w:pPr>
              <w:rPr>
                <w:rFonts w:ascii="Arial" w:hAnsi="Arial" w:cs="Arial"/>
                <w:sz w:val="20"/>
                <w:szCs w:val="20"/>
              </w:rPr>
            </w:pPr>
            <w:r w:rsidRPr="005045C9">
              <w:rPr>
                <w:rFonts w:ascii="Arial" w:hAnsi="Arial" w:cs="Arial"/>
                <w:sz w:val="20"/>
                <w:szCs w:val="20"/>
              </w:rPr>
              <w:t xml:space="preserve">• Includes BTKi lead-in </w:t>
            </w:r>
          </w:p>
          <w:p w14:paraId="541019B6" w14:textId="50710A5C" w:rsidR="005045C9" w:rsidRPr="005045C9" w:rsidRDefault="005045C9" w:rsidP="005045C9">
            <w:pPr>
              <w:spacing w:after="160"/>
              <w:rPr>
                <w:rFonts w:ascii="Arial" w:hAnsi="Arial" w:cs="Arial"/>
                <w:sz w:val="20"/>
                <w:szCs w:val="20"/>
              </w:rPr>
            </w:pPr>
            <w:r w:rsidRPr="005045C9">
              <w:rPr>
                <w:rFonts w:ascii="Arial" w:hAnsi="Arial" w:cs="Arial"/>
                <w:sz w:val="20"/>
                <w:szCs w:val="20"/>
              </w:rPr>
              <w:t>• Median follow-up ~27.7 months</w:t>
            </w:r>
          </w:p>
        </w:tc>
        <w:tc>
          <w:tcPr>
            <w:tcW w:w="0" w:type="auto"/>
            <w:hideMark/>
          </w:tcPr>
          <w:p w14:paraId="2B77F016"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Strong PFS benefit: HR 0.216 </w:t>
            </w:r>
          </w:p>
          <w:p w14:paraId="113A3132"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24-month PFS: 84.4% </w:t>
            </w:r>
          </w:p>
          <w:p w14:paraId="7BF7F2BF"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Higher MRD negativity (BM uMRD 55.7% vs 21.0%) </w:t>
            </w:r>
          </w:p>
          <w:p w14:paraId="197534A9"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Demonstrates fixed-duration feasibility </w:t>
            </w:r>
          </w:p>
          <w:p w14:paraId="08B749F1" w14:textId="722891FB" w:rsidR="005045C9" w:rsidRPr="005045C9" w:rsidRDefault="005045C9" w:rsidP="005045C9">
            <w:pPr>
              <w:spacing w:after="160"/>
              <w:rPr>
                <w:rFonts w:ascii="Arial" w:hAnsi="Arial" w:cs="Arial"/>
                <w:sz w:val="20"/>
                <w:szCs w:val="20"/>
              </w:rPr>
            </w:pPr>
            <w:r w:rsidRPr="005045C9">
              <w:rPr>
                <w:rFonts w:ascii="Arial" w:hAnsi="Arial" w:cs="Arial"/>
                <w:sz w:val="20"/>
                <w:szCs w:val="20"/>
              </w:rPr>
              <w:t>• Lead-in reduces TLS risk</w:t>
            </w:r>
          </w:p>
        </w:tc>
        <w:tc>
          <w:tcPr>
            <w:tcW w:w="0" w:type="auto"/>
            <w:hideMark/>
          </w:tcPr>
          <w:p w14:paraId="1416165B" w14:textId="77777777" w:rsidR="005045C9" w:rsidRPr="00796172" w:rsidRDefault="005045C9" w:rsidP="00441D91">
            <w:pPr>
              <w:rPr>
                <w:rFonts w:ascii="Arial" w:hAnsi="Arial" w:cs="Arial"/>
                <w:sz w:val="20"/>
                <w:szCs w:val="20"/>
              </w:rPr>
            </w:pPr>
            <w:r w:rsidRPr="005045C9">
              <w:rPr>
                <w:rFonts w:ascii="Arial" w:hAnsi="Arial" w:cs="Arial"/>
                <w:sz w:val="20"/>
                <w:szCs w:val="20"/>
              </w:rPr>
              <w:t xml:space="preserve">• Older, less fit population </w:t>
            </w:r>
          </w:p>
          <w:p w14:paraId="5D9DF450" w14:textId="77777777" w:rsidR="005045C9" w:rsidRPr="00796172" w:rsidRDefault="005045C9" w:rsidP="00441D91">
            <w:pPr>
              <w:rPr>
                <w:rFonts w:ascii="Arial" w:hAnsi="Arial" w:cs="Arial"/>
                <w:sz w:val="20"/>
                <w:szCs w:val="20"/>
              </w:rPr>
            </w:pPr>
            <w:r w:rsidRPr="005045C9">
              <w:rPr>
                <w:rFonts w:ascii="Arial" w:hAnsi="Arial" w:cs="Arial"/>
                <w:sz w:val="20"/>
                <w:szCs w:val="20"/>
              </w:rPr>
              <w:t xml:space="preserve">• Weak comparator </w:t>
            </w:r>
          </w:p>
          <w:p w14:paraId="51E48AC1" w14:textId="77777777" w:rsidR="005045C9" w:rsidRPr="00796172" w:rsidRDefault="005045C9" w:rsidP="00441D91">
            <w:pPr>
              <w:rPr>
                <w:rFonts w:ascii="Arial" w:hAnsi="Arial" w:cs="Arial"/>
                <w:sz w:val="20"/>
                <w:szCs w:val="20"/>
              </w:rPr>
            </w:pPr>
            <w:r w:rsidRPr="005045C9">
              <w:rPr>
                <w:rFonts w:ascii="Arial" w:hAnsi="Arial" w:cs="Arial"/>
                <w:sz w:val="20"/>
                <w:szCs w:val="20"/>
              </w:rPr>
              <w:t xml:space="preserve">• Uses ibrutinib with higher cardiac toxicity </w:t>
            </w:r>
          </w:p>
          <w:p w14:paraId="54C1AE48" w14:textId="77777777" w:rsidR="00441D91" w:rsidRPr="00796172" w:rsidRDefault="005045C9" w:rsidP="00441D91">
            <w:pPr>
              <w:spacing w:after="160"/>
              <w:rPr>
                <w:rFonts w:ascii="Arial" w:hAnsi="Arial" w:cs="Arial"/>
                <w:sz w:val="20"/>
                <w:szCs w:val="20"/>
              </w:rPr>
            </w:pPr>
            <w:r w:rsidRPr="005045C9">
              <w:rPr>
                <w:rFonts w:ascii="Arial" w:hAnsi="Arial" w:cs="Arial"/>
                <w:sz w:val="20"/>
                <w:szCs w:val="20"/>
              </w:rPr>
              <w:t xml:space="preserve">• No clear OS benefit </w:t>
            </w:r>
          </w:p>
          <w:p w14:paraId="7A9C4876" w14:textId="63ADACC6" w:rsidR="005045C9" w:rsidRPr="005045C9" w:rsidRDefault="005045C9" w:rsidP="00441D91">
            <w:pPr>
              <w:spacing w:after="160"/>
              <w:rPr>
                <w:rFonts w:ascii="Arial" w:hAnsi="Arial" w:cs="Arial"/>
                <w:sz w:val="20"/>
                <w:szCs w:val="20"/>
              </w:rPr>
            </w:pPr>
            <w:r w:rsidRPr="005045C9">
              <w:rPr>
                <w:rFonts w:ascii="Arial" w:hAnsi="Arial" w:cs="Arial"/>
                <w:sz w:val="20"/>
                <w:szCs w:val="20"/>
              </w:rPr>
              <w:t>•</w:t>
            </w:r>
            <w:r w:rsidR="00441D91" w:rsidRPr="00796172">
              <w:rPr>
                <w:rFonts w:ascii="Arial" w:hAnsi="Arial" w:cs="Arial"/>
                <w:sz w:val="20"/>
                <w:szCs w:val="20"/>
              </w:rPr>
              <w:t xml:space="preserve"> </w:t>
            </w:r>
            <w:r w:rsidRPr="005045C9">
              <w:rPr>
                <w:rFonts w:ascii="Arial" w:hAnsi="Arial" w:cs="Arial"/>
                <w:sz w:val="20"/>
                <w:szCs w:val="20"/>
              </w:rPr>
              <w:t>Excludes high-risk</w:t>
            </w:r>
            <w:r w:rsidR="00441D91" w:rsidRPr="00796172">
              <w:rPr>
                <w:rFonts w:ascii="Arial" w:hAnsi="Arial" w:cs="Arial"/>
                <w:sz w:val="20"/>
                <w:szCs w:val="20"/>
              </w:rPr>
              <w:t xml:space="preserve"> </w:t>
            </w:r>
            <w:r w:rsidRPr="005045C9">
              <w:rPr>
                <w:rFonts w:ascii="Arial" w:hAnsi="Arial" w:cs="Arial"/>
                <w:sz w:val="20"/>
                <w:szCs w:val="20"/>
              </w:rPr>
              <w:t>genetics</w:t>
            </w:r>
          </w:p>
        </w:tc>
        <w:tc>
          <w:tcPr>
            <w:tcW w:w="0" w:type="auto"/>
            <w:hideMark/>
          </w:tcPr>
          <w:p w14:paraId="574DB3B2"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Compare with modern targeted regimens </w:t>
            </w:r>
          </w:p>
          <w:p w14:paraId="4E5A0A95"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Use acalabrutinib instead of ibrutinib </w:t>
            </w:r>
          </w:p>
          <w:p w14:paraId="271987F8"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Extend follow-up for OS </w:t>
            </w:r>
          </w:p>
          <w:p w14:paraId="5894D39F" w14:textId="6F54E672" w:rsidR="005045C9" w:rsidRPr="005045C9" w:rsidRDefault="005045C9" w:rsidP="005045C9">
            <w:pPr>
              <w:spacing w:after="160"/>
              <w:rPr>
                <w:rFonts w:ascii="Arial" w:hAnsi="Arial" w:cs="Arial"/>
                <w:sz w:val="20"/>
                <w:szCs w:val="20"/>
              </w:rPr>
            </w:pPr>
            <w:r w:rsidRPr="005045C9">
              <w:rPr>
                <w:rFonts w:ascii="Arial" w:hAnsi="Arial" w:cs="Arial"/>
                <w:sz w:val="20"/>
                <w:szCs w:val="20"/>
              </w:rPr>
              <w:t>• Include broader risk populations</w:t>
            </w:r>
          </w:p>
        </w:tc>
      </w:tr>
      <w:tr w:rsidR="00F10184" w:rsidRPr="00796172" w14:paraId="16BD98F9" w14:textId="77777777" w:rsidTr="000C18C4">
        <w:trPr>
          <w:cantSplit/>
        </w:trPr>
        <w:tc>
          <w:tcPr>
            <w:tcW w:w="0" w:type="auto"/>
            <w:hideMark/>
          </w:tcPr>
          <w:p w14:paraId="45438CE8" w14:textId="77777777" w:rsidR="005045C9" w:rsidRPr="00F818E4" w:rsidRDefault="005045C9" w:rsidP="005045C9">
            <w:pPr>
              <w:spacing w:after="160"/>
              <w:rPr>
                <w:rFonts w:ascii="Arial" w:hAnsi="Arial" w:cs="Arial"/>
                <w:b/>
                <w:bCs/>
                <w:sz w:val="20"/>
                <w:szCs w:val="20"/>
              </w:rPr>
            </w:pPr>
            <w:r w:rsidRPr="00F818E4">
              <w:rPr>
                <w:rFonts w:ascii="Arial" w:hAnsi="Arial" w:cs="Arial"/>
                <w:b/>
                <w:bCs/>
                <w:sz w:val="20"/>
                <w:szCs w:val="20"/>
              </w:rPr>
              <w:t>ISRCTN01844152</w:t>
            </w:r>
          </w:p>
        </w:tc>
        <w:tc>
          <w:tcPr>
            <w:tcW w:w="0" w:type="auto"/>
            <w:hideMark/>
          </w:tcPr>
          <w:p w14:paraId="4B817F84" w14:textId="77777777" w:rsidR="005045C9" w:rsidRPr="005045C9" w:rsidRDefault="005045C9" w:rsidP="005045C9">
            <w:pPr>
              <w:spacing w:after="160"/>
              <w:rPr>
                <w:rFonts w:ascii="Arial" w:hAnsi="Arial" w:cs="Arial"/>
                <w:sz w:val="20"/>
                <w:szCs w:val="20"/>
              </w:rPr>
            </w:pPr>
            <w:r w:rsidRPr="005045C9">
              <w:rPr>
                <w:rFonts w:ascii="Arial" w:hAnsi="Arial" w:cs="Arial"/>
                <w:sz w:val="20"/>
                <w:szCs w:val="20"/>
              </w:rPr>
              <w:t>FLAIR</w:t>
            </w:r>
          </w:p>
        </w:tc>
        <w:tc>
          <w:tcPr>
            <w:tcW w:w="0" w:type="auto"/>
            <w:hideMark/>
          </w:tcPr>
          <w:p w14:paraId="5F09F4BE"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Phase 3, multicentre, randomised, open-label </w:t>
            </w:r>
          </w:p>
          <w:p w14:paraId="20EC5B77"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Untreated, fit CLL </w:t>
            </w:r>
          </w:p>
          <w:p w14:paraId="3ECC82EA"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MRD-guided I+V vs FCR </w:t>
            </w:r>
          </w:p>
          <w:p w14:paraId="5E062B39"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Adaptive platform design </w:t>
            </w:r>
          </w:p>
          <w:p w14:paraId="4205BF9F" w14:textId="46C711E4" w:rsidR="005045C9" w:rsidRPr="005045C9" w:rsidRDefault="005045C9" w:rsidP="005045C9">
            <w:pPr>
              <w:spacing w:after="160"/>
              <w:rPr>
                <w:rFonts w:ascii="Arial" w:hAnsi="Arial" w:cs="Arial"/>
                <w:sz w:val="20"/>
                <w:szCs w:val="20"/>
              </w:rPr>
            </w:pPr>
            <w:r w:rsidRPr="005045C9">
              <w:rPr>
                <w:rFonts w:ascii="Arial" w:hAnsi="Arial" w:cs="Arial"/>
                <w:sz w:val="20"/>
                <w:szCs w:val="20"/>
              </w:rPr>
              <w:t>• Median follow-up 43.7 months</w:t>
            </w:r>
          </w:p>
        </w:tc>
        <w:tc>
          <w:tcPr>
            <w:tcW w:w="0" w:type="auto"/>
            <w:hideMark/>
          </w:tcPr>
          <w:p w14:paraId="75437AA0"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PFS HR 0.13 </w:t>
            </w:r>
          </w:p>
          <w:p w14:paraId="4D60274F" w14:textId="7CD0E739" w:rsidR="005045C9" w:rsidRPr="00796172" w:rsidRDefault="005045C9" w:rsidP="005045C9">
            <w:pPr>
              <w:rPr>
                <w:rFonts w:ascii="Arial" w:hAnsi="Arial" w:cs="Arial"/>
                <w:sz w:val="20"/>
                <w:szCs w:val="20"/>
              </w:rPr>
            </w:pPr>
            <w:r w:rsidRPr="005045C9">
              <w:rPr>
                <w:rFonts w:ascii="Arial" w:hAnsi="Arial" w:cs="Arial"/>
                <w:sz w:val="20"/>
                <w:szCs w:val="20"/>
              </w:rPr>
              <w:t xml:space="preserve">• 3-year PFS: 97.2% vs 76.8% </w:t>
            </w:r>
          </w:p>
          <w:p w14:paraId="4C912D1A" w14:textId="787C2339" w:rsidR="005045C9" w:rsidRPr="00796172" w:rsidRDefault="005045C9" w:rsidP="005045C9">
            <w:pPr>
              <w:rPr>
                <w:rFonts w:ascii="Arial" w:hAnsi="Arial" w:cs="Arial"/>
                <w:sz w:val="20"/>
                <w:szCs w:val="20"/>
              </w:rPr>
            </w:pPr>
            <w:r w:rsidRPr="005045C9">
              <w:rPr>
                <w:rFonts w:ascii="Arial" w:hAnsi="Arial" w:cs="Arial"/>
                <w:sz w:val="20"/>
                <w:szCs w:val="20"/>
              </w:rPr>
              <w:t xml:space="preserve">• 3-year OS: 98.0% vs 93.0% </w:t>
            </w:r>
          </w:p>
          <w:p w14:paraId="0BCE8770" w14:textId="0D2E842B" w:rsidR="005045C9" w:rsidRPr="00796172" w:rsidRDefault="005045C9" w:rsidP="005045C9">
            <w:pPr>
              <w:rPr>
                <w:rFonts w:ascii="Arial" w:hAnsi="Arial" w:cs="Arial"/>
                <w:sz w:val="20"/>
                <w:szCs w:val="20"/>
              </w:rPr>
            </w:pPr>
            <w:r w:rsidRPr="005045C9">
              <w:rPr>
                <w:rFonts w:ascii="Arial" w:hAnsi="Arial" w:cs="Arial"/>
                <w:sz w:val="20"/>
                <w:szCs w:val="20"/>
              </w:rPr>
              <w:t xml:space="preserve">• 58% stopped treatment via MRD </w:t>
            </w:r>
          </w:p>
          <w:p w14:paraId="0661CDB5" w14:textId="711D4AE1" w:rsidR="005045C9" w:rsidRPr="00796172" w:rsidRDefault="005045C9" w:rsidP="005045C9">
            <w:pPr>
              <w:rPr>
                <w:rFonts w:ascii="Arial" w:hAnsi="Arial" w:cs="Arial"/>
                <w:sz w:val="20"/>
                <w:szCs w:val="20"/>
              </w:rPr>
            </w:pPr>
            <w:r w:rsidRPr="005045C9">
              <w:rPr>
                <w:rFonts w:ascii="Arial" w:hAnsi="Arial" w:cs="Arial"/>
                <w:sz w:val="20"/>
                <w:szCs w:val="20"/>
              </w:rPr>
              <w:t xml:space="preserve">• Long-term MRD negativity ~92.7% </w:t>
            </w:r>
          </w:p>
          <w:p w14:paraId="71951A57" w14:textId="0AF8D075" w:rsidR="005045C9" w:rsidRPr="005045C9" w:rsidRDefault="005045C9" w:rsidP="005045C9">
            <w:pPr>
              <w:spacing w:after="160"/>
              <w:rPr>
                <w:rFonts w:ascii="Arial" w:hAnsi="Arial" w:cs="Arial"/>
                <w:sz w:val="20"/>
                <w:szCs w:val="20"/>
              </w:rPr>
            </w:pPr>
            <w:r w:rsidRPr="005045C9">
              <w:rPr>
                <w:rFonts w:ascii="Arial" w:hAnsi="Arial" w:cs="Arial"/>
                <w:sz w:val="20"/>
                <w:szCs w:val="20"/>
              </w:rPr>
              <w:t>• Strongest MRD-guided evidence</w:t>
            </w:r>
          </w:p>
        </w:tc>
        <w:tc>
          <w:tcPr>
            <w:tcW w:w="0" w:type="auto"/>
            <w:hideMark/>
          </w:tcPr>
          <w:p w14:paraId="582D843F"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Longer treatment duration </w:t>
            </w:r>
          </w:p>
          <w:p w14:paraId="139C352D"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Uses ibrutinib with cardiac toxicity </w:t>
            </w:r>
          </w:p>
          <w:p w14:paraId="1955C87B"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Comparator FCR less relevant </w:t>
            </w:r>
          </w:p>
          <w:p w14:paraId="29520FC2" w14:textId="77777777" w:rsidR="00566822" w:rsidRPr="00796172" w:rsidRDefault="005045C9" w:rsidP="005045C9">
            <w:pPr>
              <w:spacing w:after="160"/>
              <w:rPr>
                <w:rFonts w:ascii="Arial" w:hAnsi="Arial" w:cs="Arial"/>
                <w:sz w:val="20"/>
                <w:szCs w:val="20"/>
              </w:rPr>
            </w:pPr>
            <w:r w:rsidRPr="005045C9">
              <w:rPr>
                <w:rFonts w:ascii="Arial" w:hAnsi="Arial" w:cs="Arial"/>
                <w:sz w:val="20"/>
                <w:szCs w:val="20"/>
              </w:rPr>
              <w:t xml:space="preserve">• Complex MRD-guided design </w:t>
            </w:r>
          </w:p>
          <w:p w14:paraId="002064CF" w14:textId="5DAF4E0C" w:rsidR="005045C9" w:rsidRPr="005045C9" w:rsidRDefault="005045C9" w:rsidP="005045C9">
            <w:pPr>
              <w:spacing w:after="160"/>
              <w:rPr>
                <w:rFonts w:ascii="Arial" w:hAnsi="Arial" w:cs="Arial"/>
                <w:sz w:val="20"/>
                <w:szCs w:val="20"/>
              </w:rPr>
            </w:pPr>
            <w:r w:rsidRPr="005045C9">
              <w:rPr>
                <w:rFonts w:ascii="Arial" w:hAnsi="Arial" w:cs="Arial"/>
                <w:sz w:val="20"/>
                <w:szCs w:val="20"/>
              </w:rPr>
              <w:t>• Not directly testing AV</w:t>
            </w:r>
          </w:p>
        </w:tc>
        <w:tc>
          <w:tcPr>
            <w:tcW w:w="0" w:type="auto"/>
            <w:hideMark/>
          </w:tcPr>
          <w:p w14:paraId="2C2AC804"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Test acalabrutinib + venetoclax </w:t>
            </w:r>
          </w:p>
          <w:p w14:paraId="6899A5EF"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Compare MRD-guided vs fixed duration directly </w:t>
            </w:r>
          </w:p>
          <w:p w14:paraId="633DFDE1" w14:textId="77777777" w:rsidR="005045C9" w:rsidRPr="00796172" w:rsidRDefault="005045C9" w:rsidP="005045C9">
            <w:pPr>
              <w:rPr>
                <w:rFonts w:ascii="Arial" w:hAnsi="Arial" w:cs="Arial"/>
                <w:sz w:val="20"/>
                <w:szCs w:val="20"/>
              </w:rPr>
            </w:pPr>
            <w:r w:rsidRPr="005045C9">
              <w:rPr>
                <w:rFonts w:ascii="Arial" w:hAnsi="Arial" w:cs="Arial"/>
                <w:sz w:val="20"/>
                <w:szCs w:val="20"/>
              </w:rPr>
              <w:t>• Shorten treatment duration</w:t>
            </w:r>
          </w:p>
          <w:p w14:paraId="75C80D92" w14:textId="5EDF0A2C" w:rsidR="005045C9" w:rsidRPr="005045C9" w:rsidRDefault="005045C9" w:rsidP="005045C9">
            <w:pPr>
              <w:spacing w:after="160"/>
              <w:rPr>
                <w:rFonts w:ascii="Arial" w:hAnsi="Arial" w:cs="Arial"/>
                <w:sz w:val="20"/>
                <w:szCs w:val="20"/>
              </w:rPr>
            </w:pPr>
            <w:r w:rsidRPr="005045C9">
              <w:rPr>
                <w:rFonts w:ascii="Arial" w:hAnsi="Arial" w:cs="Arial"/>
                <w:sz w:val="20"/>
                <w:szCs w:val="20"/>
              </w:rPr>
              <w:t>• Use modern comparator</w:t>
            </w:r>
          </w:p>
        </w:tc>
      </w:tr>
      <w:tr w:rsidR="00F10184" w:rsidRPr="00796172" w14:paraId="7D673097" w14:textId="77777777" w:rsidTr="000C18C4">
        <w:trPr>
          <w:cantSplit/>
        </w:trPr>
        <w:tc>
          <w:tcPr>
            <w:tcW w:w="0" w:type="auto"/>
            <w:hideMark/>
          </w:tcPr>
          <w:p w14:paraId="02A23EC9" w14:textId="77777777" w:rsidR="005045C9" w:rsidRPr="00F818E4" w:rsidRDefault="005045C9" w:rsidP="005045C9">
            <w:pPr>
              <w:spacing w:after="160"/>
              <w:rPr>
                <w:rFonts w:ascii="Arial" w:hAnsi="Arial" w:cs="Arial"/>
                <w:b/>
                <w:bCs/>
                <w:sz w:val="20"/>
                <w:szCs w:val="20"/>
              </w:rPr>
            </w:pPr>
            <w:r w:rsidRPr="00F818E4">
              <w:rPr>
                <w:rFonts w:ascii="Arial" w:hAnsi="Arial" w:cs="Arial"/>
                <w:b/>
                <w:bCs/>
                <w:sz w:val="20"/>
                <w:szCs w:val="20"/>
              </w:rPr>
              <w:lastRenderedPageBreak/>
              <w:t>NCT03836261</w:t>
            </w:r>
          </w:p>
        </w:tc>
        <w:tc>
          <w:tcPr>
            <w:tcW w:w="0" w:type="auto"/>
            <w:hideMark/>
          </w:tcPr>
          <w:p w14:paraId="254F4C95" w14:textId="77777777" w:rsidR="005045C9" w:rsidRPr="005045C9" w:rsidRDefault="005045C9" w:rsidP="005045C9">
            <w:pPr>
              <w:spacing w:after="160"/>
              <w:rPr>
                <w:rFonts w:ascii="Arial" w:hAnsi="Arial" w:cs="Arial"/>
                <w:sz w:val="20"/>
                <w:szCs w:val="20"/>
              </w:rPr>
            </w:pPr>
            <w:r w:rsidRPr="005045C9">
              <w:rPr>
                <w:rFonts w:ascii="Arial" w:hAnsi="Arial" w:cs="Arial"/>
                <w:sz w:val="20"/>
                <w:szCs w:val="20"/>
              </w:rPr>
              <w:t>AMPLIFY</w:t>
            </w:r>
          </w:p>
        </w:tc>
        <w:tc>
          <w:tcPr>
            <w:tcW w:w="0" w:type="auto"/>
            <w:hideMark/>
          </w:tcPr>
          <w:p w14:paraId="40968451"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Phase 3, multicentre, randomised, open-label </w:t>
            </w:r>
          </w:p>
          <w:p w14:paraId="79E7948B"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Untreated, fit CLL without del(17p) or TP53 mutation </w:t>
            </w:r>
          </w:p>
          <w:p w14:paraId="18A489E5"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1:1:1 to AV, AVO, or chemo (FCR or BR) </w:t>
            </w:r>
          </w:p>
          <w:p w14:paraId="01F33698"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Fixed duration regimen </w:t>
            </w:r>
          </w:p>
          <w:p w14:paraId="6E39C65F" w14:textId="7B4ADC52" w:rsidR="005045C9" w:rsidRPr="005045C9" w:rsidRDefault="005045C9" w:rsidP="005045C9">
            <w:pPr>
              <w:spacing w:after="160"/>
              <w:rPr>
                <w:rFonts w:ascii="Arial" w:hAnsi="Arial" w:cs="Arial"/>
                <w:sz w:val="20"/>
                <w:szCs w:val="20"/>
              </w:rPr>
            </w:pPr>
            <w:r w:rsidRPr="005045C9">
              <w:rPr>
                <w:rFonts w:ascii="Arial" w:hAnsi="Arial" w:cs="Arial"/>
                <w:sz w:val="20"/>
                <w:szCs w:val="20"/>
              </w:rPr>
              <w:t>• Median follow-up 40.8 months</w:t>
            </w:r>
          </w:p>
        </w:tc>
        <w:tc>
          <w:tcPr>
            <w:tcW w:w="0" w:type="auto"/>
            <w:hideMark/>
          </w:tcPr>
          <w:p w14:paraId="6DF2F72E"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36-month PFS: AV 76.5%, AVO 83.1%, chemo 66.5% </w:t>
            </w:r>
          </w:p>
          <w:p w14:paraId="60FC35CA"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AV vs chemo: HR 0.65 </w:t>
            </w:r>
          </w:p>
          <w:p w14:paraId="4751BBEB"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36-month OS: AV 94.1% vs chemo 85.9% </w:t>
            </w:r>
          </w:p>
          <w:p w14:paraId="7971479B"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Highest MRD negativity in AVO </w:t>
            </w:r>
          </w:p>
          <w:p w14:paraId="49E87F71"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Lower grade ≥3 neutropenia with AV (32.3%) </w:t>
            </w:r>
          </w:p>
          <w:p w14:paraId="397C1DFA" w14:textId="09D4F5DB" w:rsidR="005045C9" w:rsidRPr="005045C9" w:rsidRDefault="005045C9" w:rsidP="005045C9">
            <w:pPr>
              <w:spacing w:after="160"/>
              <w:rPr>
                <w:rFonts w:ascii="Arial" w:hAnsi="Arial" w:cs="Arial"/>
                <w:sz w:val="20"/>
                <w:szCs w:val="20"/>
              </w:rPr>
            </w:pPr>
            <w:r w:rsidRPr="005045C9">
              <w:rPr>
                <w:rFonts w:ascii="Arial" w:hAnsi="Arial" w:cs="Arial"/>
                <w:sz w:val="20"/>
                <w:szCs w:val="20"/>
              </w:rPr>
              <w:t>• Low atrial fibrillation (0.7%)</w:t>
            </w:r>
          </w:p>
        </w:tc>
        <w:tc>
          <w:tcPr>
            <w:tcW w:w="0" w:type="auto"/>
            <w:hideMark/>
          </w:tcPr>
          <w:p w14:paraId="0B75261C" w14:textId="77777777" w:rsidR="0054038F" w:rsidRPr="00796172" w:rsidRDefault="005045C9" w:rsidP="005045C9">
            <w:pPr>
              <w:rPr>
                <w:rFonts w:ascii="Arial" w:hAnsi="Arial" w:cs="Arial"/>
                <w:sz w:val="20"/>
                <w:szCs w:val="20"/>
              </w:rPr>
            </w:pPr>
            <w:r w:rsidRPr="005045C9">
              <w:rPr>
                <w:rFonts w:ascii="Arial" w:hAnsi="Arial" w:cs="Arial"/>
                <w:sz w:val="20"/>
                <w:szCs w:val="20"/>
              </w:rPr>
              <w:t xml:space="preserve">• Comparator is chemo, not modern targeted therapy </w:t>
            </w:r>
          </w:p>
          <w:p w14:paraId="4DDD0890" w14:textId="12817513" w:rsidR="005045C9" w:rsidRPr="00796172" w:rsidRDefault="005045C9" w:rsidP="005045C9">
            <w:pPr>
              <w:rPr>
                <w:rFonts w:ascii="Arial" w:hAnsi="Arial" w:cs="Arial"/>
                <w:sz w:val="20"/>
                <w:szCs w:val="20"/>
              </w:rPr>
            </w:pPr>
            <w:r w:rsidRPr="005045C9">
              <w:rPr>
                <w:rFonts w:ascii="Arial" w:hAnsi="Arial" w:cs="Arial"/>
                <w:sz w:val="20"/>
                <w:szCs w:val="20"/>
              </w:rPr>
              <w:t xml:space="preserve">• Open-label design </w:t>
            </w:r>
          </w:p>
          <w:p w14:paraId="46C02AF4" w14:textId="77777777" w:rsidR="0054038F" w:rsidRPr="00796172" w:rsidRDefault="005045C9" w:rsidP="005045C9">
            <w:pPr>
              <w:rPr>
                <w:rFonts w:ascii="Arial" w:hAnsi="Arial" w:cs="Arial"/>
                <w:sz w:val="20"/>
                <w:szCs w:val="20"/>
              </w:rPr>
            </w:pPr>
            <w:r w:rsidRPr="005045C9">
              <w:rPr>
                <w:rFonts w:ascii="Arial" w:hAnsi="Arial" w:cs="Arial"/>
                <w:sz w:val="20"/>
                <w:szCs w:val="20"/>
              </w:rPr>
              <w:t xml:space="preserve">• Covid deaths confound OS </w:t>
            </w:r>
          </w:p>
          <w:p w14:paraId="5B703271" w14:textId="2843A93C" w:rsidR="005045C9" w:rsidRPr="00796172" w:rsidRDefault="005045C9" w:rsidP="005045C9">
            <w:pPr>
              <w:rPr>
                <w:rFonts w:ascii="Arial" w:hAnsi="Arial" w:cs="Arial"/>
                <w:sz w:val="20"/>
                <w:szCs w:val="20"/>
              </w:rPr>
            </w:pPr>
            <w:r w:rsidRPr="005045C9">
              <w:rPr>
                <w:rFonts w:ascii="Arial" w:hAnsi="Arial" w:cs="Arial"/>
                <w:sz w:val="20"/>
                <w:szCs w:val="20"/>
              </w:rPr>
              <w:t xml:space="preserve">• MRD measured before treatment completion </w:t>
            </w:r>
          </w:p>
          <w:p w14:paraId="6996D636" w14:textId="339E5002" w:rsidR="005045C9" w:rsidRPr="005045C9" w:rsidRDefault="005045C9" w:rsidP="005045C9">
            <w:pPr>
              <w:spacing w:after="160"/>
              <w:rPr>
                <w:rFonts w:ascii="Arial" w:hAnsi="Arial" w:cs="Arial"/>
                <w:sz w:val="20"/>
                <w:szCs w:val="20"/>
              </w:rPr>
            </w:pPr>
            <w:r w:rsidRPr="005045C9">
              <w:rPr>
                <w:rFonts w:ascii="Arial" w:hAnsi="Arial" w:cs="Arial"/>
                <w:sz w:val="20"/>
                <w:szCs w:val="20"/>
              </w:rPr>
              <w:t>• Not powered for AV vs AVO comparison</w:t>
            </w:r>
          </w:p>
        </w:tc>
        <w:tc>
          <w:tcPr>
            <w:tcW w:w="0" w:type="auto"/>
            <w:hideMark/>
          </w:tcPr>
          <w:p w14:paraId="597CFCB3" w14:textId="77777777" w:rsidR="00F10184" w:rsidRPr="00796172" w:rsidRDefault="005045C9" w:rsidP="005045C9">
            <w:pPr>
              <w:rPr>
                <w:rFonts w:ascii="Arial" w:hAnsi="Arial" w:cs="Arial"/>
                <w:sz w:val="20"/>
                <w:szCs w:val="20"/>
              </w:rPr>
            </w:pPr>
            <w:r w:rsidRPr="005045C9">
              <w:rPr>
                <w:rFonts w:ascii="Arial" w:hAnsi="Arial" w:cs="Arial"/>
                <w:sz w:val="20"/>
                <w:szCs w:val="20"/>
              </w:rPr>
              <w:t xml:space="preserve">• Compare AV vs venetoclax + obinutuzumab or MRD-guided AV </w:t>
            </w:r>
          </w:p>
          <w:p w14:paraId="5346B1BC" w14:textId="5C76ED5D" w:rsidR="005045C9" w:rsidRPr="00796172" w:rsidRDefault="005045C9" w:rsidP="005045C9">
            <w:pPr>
              <w:rPr>
                <w:rFonts w:ascii="Arial" w:hAnsi="Arial" w:cs="Arial"/>
                <w:sz w:val="20"/>
                <w:szCs w:val="20"/>
              </w:rPr>
            </w:pPr>
            <w:r w:rsidRPr="005045C9">
              <w:rPr>
                <w:rFonts w:ascii="Arial" w:hAnsi="Arial" w:cs="Arial"/>
                <w:sz w:val="20"/>
                <w:szCs w:val="20"/>
              </w:rPr>
              <w:t xml:space="preserve">• Harmonise MRD timing at end of treatment </w:t>
            </w:r>
          </w:p>
          <w:p w14:paraId="32FCAC86" w14:textId="77777777" w:rsidR="005045C9" w:rsidRPr="00796172" w:rsidRDefault="005045C9" w:rsidP="005045C9">
            <w:pPr>
              <w:rPr>
                <w:rFonts w:ascii="Arial" w:hAnsi="Arial" w:cs="Arial"/>
                <w:sz w:val="20"/>
                <w:szCs w:val="20"/>
              </w:rPr>
            </w:pPr>
            <w:r w:rsidRPr="005045C9">
              <w:rPr>
                <w:rFonts w:ascii="Arial" w:hAnsi="Arial" w:cs="Arial"/>
                <w:sz w:val="20"/>
                <w:szCs w:val="20"/>
              </w:rPr>
              <w:t xml:space="preserve">• Use modern targeted comparator </w:t>
            </w:r>
          </w:p>
          <w:p w14:paraId="5AA4C004" w14:textId="5A1D596E" w:rsidR="005045C9" w:rsidRPr="005045C9" w:rsidRDefault="005045C9" w:rsidP="005045C9">
            <w:pPr>
              <w:spacing w:after="160"/>
              <w:rPr>
                <w:rFonts w:ascii="Arial" w:hAnsi="Arial" w:cs="Arial"/>
                <w:sz w:val="20"/>
                <w:szCs w:val="20"/>
              </w:rPr>
            </w:pPr>
            <w:r w:rsidRPr="005045C9">
              <w:rPr>
                <w:rFonts w:ascii="Arial" w:hAnsi="Arial" w:cs="Arial"/>
                <w:sz w:val="20"/>
                <w:szCs w:val="20"/>
              </w:rPr>
              <w:t>• Power for doublet vs triplet comparison</w:t>
            </w:r>
          </w:p>
        </w:tc>
      </w:tr>
    </w:tbl>
    <w:p w14:paraId="547B8B99" w14:textId="5BCB7F3B" w:rsidR="00DC01E2" w:rsidRPr="00796172" w:rsidRDefault="00725815" w:rsidP="00DC01E2">
      <w:pPr>
        <w:spacing w:line="240" w:lineRule="auto"/>
        <w:jc w:val="both"/>
        <w:rPr>
          <w:rFonts w:ascii="Arial" w:hAnsi="Arial" w:cs="Arial"/>
          <w:sz w:val="20"/>
          <w:szCs w:val="20"/>
        </w:rPr>
      </w:pPr>
      <w:r w:rsidRPr="00796172">
        <w:rPr>
          <w:rFonts w:ascii="Arial" w:hAnsi="Arial" w:cs="Arial"/>
          <w:b/>
          <w:bCs/>
          <w:sz w:val="20"/>
          <w:szCs w:val="20"/>
        </w:rPr>
        <w:t>Abbreviations:</w:t>
      </w:r>
      <w:r w:rsidRPr="00796172">
        <w:rPr>
          <w:rFonts w:ascii="Arial" w:hAnsi="Arial" w:cs="Arial"/>
          <w:sz w:val="20"/>
          <w:szCs w:val="20"/>
        </w:rPr>
        <w:t xml:space="preserve"> CLL; chronic lymphocytic leukaemia, BTKi; Bruton’s tyrosine kinase inhibitor, BCL2; B</w:t>
      </w:r>
      <w:r w:rsidR="000A33F9" w:rsidRPr="00796172">
        <w:rPr>
          <w:rFonts w:ascii="Arial" w:hAnsi="Arial" w:cs="Arial"/>
          <w:sz w:val="20"/>
          <w:szCs w:val="20"/>
        </w:rPr>
        <w:t>-</w:t>
      </w:r>
      <w:r w:rsidRPr="00796172">
        <w:rPr>
          <w:rFonts w:ascii="Arial" w:hAnsi="Arial" w:cs="Arial"/>
          <w:sz w:val="20"/>
          <w:szCs w:val="20"/>
        </w:rPr>
        <w:t xml:space="preserve">cell lymphoma 2, I+V; ibrutinib plus venetoclax, AV; acalabrutinib plus venetoclax, AVO; acalabrutinib plus venetoclax plus obinutuzumab, FCR; fludarabine cyclophosphamide rituximab, BR; </w:t>
      </w:r>
      <w:proofErr w:type="spellStart"/>
      <w:r w:rsidRPr="00796172">
        <w:rPr>
          <w:rFonts w:ascii="Arial" w:hAnsi="Arial" w:cs="Arial"/>
          <w:sz w:val="20"/>
          <w:szCs w:val="20"/>
        </w:rPr>
        <w:t>bendamustine</w:t>
      </w:r>
      <w:proofErr w:type="spellEnd"/>
      <w:r w:rsidRPr="00796172">
        <w:rPr>
          <w:rFonts w:ascii="Arial" w:hAnsi="Arial" w:cs="Arial"/>
          <w:sz w:val="20"/>
          <w:szCs w:val="20"/>
        </w:rPr>
        <w:t xml:space="preserve"> rituximab, </w:t>
      </w:r>
      <w:r w:rsidR="00063E99" w:rsidRPr="00796172">
        <w:rPr>
          <w:rFonts w:ascii="Arial" w:hAnsi="Arial" w:cs="Arial"/>
          <w:sz w:val="20"/>
          <w:szCs w:val="20"/>
        </w:rPr>
        <w:t xml:space="preserve">O; obinutuzumab, </w:t>
      </w:r>
      <w:r w:rsidRPr="00796172">
        <w:rPr>
          <w:rFonts w:ascii="Arial" w:hAnsi="Arial" w:cs="Arial"/>
          <w:sz w:val="20"/>
          <w:szCs w:val="20"/>
        </w:rPr>
        <w:t>PB; peripheral blood, BM; bone marrow, uMRD; undetectable measurable residual disease, MRD; measurable residual disease, PFS; progression</w:t>
      </w:r>
      <w:r w:rsidR="007C1E19" w:rsidRPr="00796172">
        <w:rPr>
          <w:rFonts w:ascii="Arial" w:hAnsi="Arial" w:cs="Arial"/>
          <w:sz w:val="20"/>
          <w:szCs w:val="20"/>
        </w:rPr>
        <w:t>-</w:t>
      </w:r>
      <w:r w:rsidRPr="00796172">
        <w:rPr>
          <w:rFonts w:ascii="Arial" w:hAnsi="Arial" w:cs="Arial"/>
          <w:sz w:val="20"/>
          <w:szCs w:val="20"/>
        </w:rPr>
        <w:t>free survival, OS; overall survival, CR; complete response, TLS; tumour lysis syndrome, HR; hazard ratio.</w:t>
      </w:r>
    </w:p>
    <w:p w14:paraId="0750C2E2" w14:textId="77777777" w:rsidR="00DC01E2" w:rsidRPr="00796172" w:rsidRDefault="00DC01E2" w:rsidP="00DC01E2">
      <w:pPr>
        <w:spacing w:line="240" w:lineRule="auto"/>
        <w:jc w:val="both"/>
        <w:rPr>
          <w:rFonts w:ascii="Arial" w:hAnsi="Arial" w:cs="Arial"/>
          <w:sz w:val="20"/>
          <w:szCs w:val="20"/>
        </w:rPr>
      </w:pPr>
    </w:p>
    <w:p w14:paraId="00331E92" w14:textId="77777777" w:rsidR="00DC01E2" w:rsidRPr="00796172" w:rsidRDefault="00DC01E2" w:rsidP="00DC01E2">
      <w:pPr>
        <w:spacing w:line="240" w:lineRule="auto"/>
        <w:jc w:val="both"/>
        <w:rPr>
          <w:rFonts w:ascii="Arial" w:hAnsi="Arial" w:cs="Arial"/>
          <w:sz w:val="20"/>
          <w:szCs w:val="20"/>
        </w:rPr>
      </w:pPr>
    </w:p>
    <w:p w14:paraId="60F3C9AB" w14:textId="77777777" w:rsidR="00DC01E2" w:rsidRDefault="00DC01E2" w:rsidP="00DC01E2">
      <w:pPr>
        <w:spacing w:line="240" w:lineRule="auto"/>
        <w:jc w:val="both"/>
        <w:rPr>
          <w:rFonts w:ascii="Calibri" w:hAnsi="Calibri" w:cs="Calibri"/>
        </w:rPr>
        <w:sectPr w:rsidR="00DC01E2" w:rsidSect="00DD027C">
          <w:headerReference w:type="default" r:id="rId10"/>
          <w:pgSz w:w="16838" w:h="11906" w:orient="landscape"/>
          <w:pgMar w:top="1440" w:right="1440" w:bottom="1440" w:left="1440" w:header="708" w:footer="708" w:gutter="0"/>
          <w:cols w:space="708"/>
          <w:docGrid w:linePitch="360"/>
        </w:sectPr>
      </w:pPr>
    </w:p>
    <w:p w14:paraId="4F8C1AEA" w14:textId="389EA8A8" w:rsidR="00FE0818" w:rsidRDefault="00FE0818" w:rsidP="00C74467">
      <w:pPr>
        <w:rPr>
          <w:rFonts w:ascii="Arial" w:hAnsi="Arial" w:cs="Arial"/>
          <w:b/>
          <w:bCs/>
          <w:sz w:val="20"/>
          <w:szCs w:val="20"/>
        </w:rPr>
      </w:pPr>
      <w:r w:rsidRPr="00FE0818">
        <w:rPr>
          <w:rFonts w:ascii="Arial" w:hAnsi="Arial" w:cs="Arial"/>
          <w:b/>
          <w:bCs/>
          <w:sz w:val="20"/>
          <w:szCs w:val="20"/>
        </w:rPr>
        <w:lastRenderedPageBreak/>
        <w:t>Acknowledgements</w:t>
      </w:r>
      <w:r w:rsidRPr="00FE0818">
        <w:rPr>
          <w:rFonts w:ascii="Arial" w:hAnsi="Arial" w:cs="Arial"/>
          <w:b/>
          <w:bCs/>
          <w:sz w:val="20"/>
          <w:szCs w:val="20"/>
        </w:rPr>
        <w:br/>
      </w:r>
      <w:r w:rsidRPr="00FE0818">
        <w:rPr>
          <w:rFonts w:ascii="Arial" w:hAnsi="Arial" w:cs="Arial"/>
          <w:sz w:val="20"/>
          <w:szCs w:val="20"/>
        </w:rPr>
        <w:t xml:space="preserve">Figure 1 was created and edited using </w:t>
      </w:r>
      <w:r w:rsidRPr="00FE0818">
        <w:rPr>
          <w:rFonts w:ascii="Arial" w:hAnsi="Arial" w:cs="Arial"/>
          <w:i/>
          <w:iCs/>
          <w:sz w:val="20"/>
          <w:szCs w:val="20"/>
        </w:rPr>
        <w:t>BioRender.com</w:t>
      </w:r>
      <w:r w:rsidRPr="00FE0818">
        <w:rPr>
          <w:rFonts w:ascii="Arial" w:hAnsi="Arial" w:cs="Arial"/>
          <w:sz w:val="20"/>
          <w:szCs w:val="20"/>
        </w:rPr>
        <w:t>. General structural guidance was supported by ChatGPT.</w:t>
      </w:r>
    </w:p>
    <w:p w14:paraId="3E37628E" w14:textId="69A08E9D" w:rsidR="00C74467" w:rsidRPr="00BE3112" w:rsidRDefault="00C74467" w:rsidP="00C74467">
      <w:pPr>
        <w:rPr>
          <w:rFonts w:ascii="Arial" w:hAnsi="Arial" w:cs="Arial"/>
          <w:b/>
          <w:bCs/>
          <w:sz w:val="20"/>
          <w:szCs w:val="20"/>
        </w:rPr>
      </w:pPr>
      <w:r w:rsidRPr="00BE3112">
        <w:rPr>
          <w:rFonts w:ascii="Arial" w:hAnsi="Arial" w:cs="Arial"/>
          <w:b/>
          <w:bCs/>
          <w:sz w:val="20"/>
          <w:szCs w:val="20"/>
        </w:rPr>
        <w:t>References</w:t>
      </w:r>
    </w:p>
    <w:p w14:paraId="59A0544E" w14:textId="77777777" w:rsidR="00D11AA0" w:rsidRDefault="00D11AA0" w:rsidP="00D11AA0">
      <w:pPr>
        <w:pStyle w:val="ListParagraph"/>
        <w:numPr>
          <w:ilvl w:val="0"/>
          <w:numId w:val="2"/>
        </w:numPr>
        <w:rPr>
          <w:rFonts w:ascii="Arial" w:hAnsi="Arial" w:cs="Arial"/>
          <w:sz w:val="20"/>
          <w:szCs w:val="20"/>
        </w:rPr>
      </w:pPr>
      <w:r w:rsidRPr="00D11AA0">
        <w:rPr>
          <w:rFonts w:ascii="Arial" w:hAnsi="Arial" w:cs="Arial"/>
          <w:sz w:val="20"/>
          <w:szCs w:val="20"/>
        </w:rPr>
        <w:t>Walewska R, Eyre TA, Bloor A, Follows G, Iyengar S, Johnston R, et al. 2025 British Society for Haematology guideline for the treatment of chronic lymphocytic leukaemia. Br J Haematol. 2025;207(6):2296–2313. doi:10.1111/bjh.70100.</w:t>
      </w:r>
    </w:p>
    <w:p w14:paraId="016FCEC1" w14:textId="77777777" w:rsidR="00D11AA0" w:rsidRDefault="00D11AA0" w:rsidP="00D11AA0">
      <w:pPr>
        <w:pStyle w:val="ListParagraph"/>
        <w:numPr>
          <w:ilvl w:val="0"/>
          <w:numId w:val="2"/>
        </w:numPr>
        <w:rPr>
          <w:rFonts w:ascii="Arial" w:hAnsi="Arial" w:cs="Arial"/>
          <w:sz w:val="20"/>
          <w:szCs w:val="20"/>
        </w:rPr>
      </w:pPr>
      <w:r w:rsidRPr="00D11AA0">
        <w:rPr>
          <w:rFonts w:ascii="Arial" w:hAnsi="Arial" w:cs="Arial"/>
          <w:sz w:val="20"/>
          <w:szCs w:val="20"/>
        </w:rPr>
        <w:t>Tam CS, Allan JN, Siddiqi T, Kipps TJ, Jacobs R, Opat S, et al. Fixed-duration ibrutinib plus venetoclax for first-line treatment of CLL: primary analysis of the CAPTIVATE FD cohort. Blood. 2022;139(22):3278–3289. doi:10.1182/blood.2021014488.</w:t>
      </w:r>
    </w:p>
    <w:p w14:paraId="7FBB26EF" w14:textId="77777777" w:rsidR="00D11AA0" w:rsidRDefault="00D11AA0" w:rsidP="00D11AA0">
      <w:pPr>
        <w:pStyle w:val="ListParagraph"/>
        <w:numPr>
          <w:ilvl w:val="0"/>
          <w:numId w:val="2"/>
        </w:numPr>
        <w:rPr>
          <w:rFonts w:ascii="Arial" w:hAnsi="Arial" w:cs="Arial"/>
          <w:sz w:val="20"/>
          <w:szCs w:val="20"/>
        </w:rPr>
      </w:pPr>
      <w:r w:rsidRPr="00D11AA0">
        <w:rPr>
          <w:rFonts w:ascii="Arial" w:hAnsi="Arial" w:cs="Arial"/>
          <w:sz w:val="20"/>
          <w:szCs w:val="20"/>
        </w:rPr>
        <w:t xml:space="preserve">Kater AP, Owen C, Moreno C, Follows G, Munir T, Levin MD, et al. Fixed-duration ibrutinib-venetoclax in patients with chronic lymphocytic </w:t>
      </w:r>
      <w:proofErr w:type="spellStart"/>
      <w:r w:rsidRPr="00D11AA0">
        <w:rPr>
          <w:rFonts w:ascii="Arial" w:hAnsi="Arial" w:cs="Arial"/>
          <w:sz w:val="20"/>
          <w:szCs w:val="20"/>
        </w:rPr>
        <w:t>leukemia</w:t>
      </w:r>
      <w:proofErr w:type="spellEnd"/>
      <w:r w:rsidRPr="00D11AA0">
        <w:rPr>
          <w:rFonts w:ascii="Arial" w:hAnsi="Arial" w:cs="Arial"/>
          <w:sz w:val="20"/>
          <w:szCs w:val="20"/>
        </w:rPr>
        <w:t xml:space="preserve"> and comorbidities. NEJM Evid. 2022;1(7):EVIDoa2200006. doi:10.1056/EVIDoa2200006.</w:t>
      </w:r>
    </w:p>
    <w:p w14:paraId="372CDD6D" w14:textId="77777777" w:rsidR="00D11AA0" w:rsidRDefault="00D11AA0" w:rsidP="00D11AA0">
      <w:pPr>
        <w:pStyle w:val="ListParagraph"/>
        <w:numPr>
          <w:ilvl w:val="0"/>
          <w:numId w:val="2"/>
        </w:numPr>
        <w:rPr>
          <w:rFonts w:ascii="Arial" w:hAnsi="Arial" w:cs="Arial"/>
          <w:sz w:val="20"/>
          <w:szCs w:val="20"/>
        </w:rPr>
      </w:pPr>
      <w:r w:rsidRPr="00D11AA0">
        <w:rPr>
          <w:rFonts w:ascii="Arial" w:hAnsi="Arial" w:cs="Arial"/>
          <w:sz w:val="20"/>
          <w:szCs w:val="20"/>
        </w:rPr>
        <w:t>Munir T, Girvan S, Cairns DA, Bloor A, Allsup D, Varghese AM, et al. Measurable residual disease–guided therapy in chronic lymphocytic leukaemia. N Engl J Med. 2025;393(12):1177–1190. doi:10.1056/NEJMoa2504341.</w:t>
      </w:r>
    </w:p>
    <w:p w14:paraId="6D953A7E" w14:textId="0919A072" w:rsidR="00D11AA0" w:rsidRPr="00D11AA0" w:rsidRDefault="00D11AA0" w:rsidP="00D11AA0">
      <w:pPr>
        <w:pStyle w:val="ListParagraph"/>
        <w:numPr>
          <w:ilvl w:val="0"/>
          <w:numId w:val="2"/>
        </w:numPr>
        <w:rPr>
          <w:rFonts w:ascii="Arial" w:hAnsi="Arial" w:cs="Arial"/>
          <w:sz w:val="20"/>
          <w:szCs w:val="20"/>
        </w:rPr>
      </w:pPr>
      <w:r w:rsidRPr="00D11AA0">
        <w:rPr>
          <w:rFonts w:ascii="Arial" w:hAnsi="Arial" w:cs="Arial"/>
          <w:sz w:val="20"/>
          <w:szCs w:val="20"/>
        </w:rPr>
        <w:t>Brown JR, Seymour JF, Jurczak W, Aw A, Wach M, Illes A, et al. Fixed-duration acalabrutinib combinations in untreated chronic lymphocytic leukaemia (AMPLIFY). N Engl J Med. 2025;392(8):748–762. doi:10.1056/NEJMoa2409804.</w:t>
      </w:r>
    </w:p>
    <w:p w14:paraId="7F626356" w14:textId="77777777" w:rsidR="00766B4A" w:rsidRDefault="00766B4A">
      <w:pPr>
        <w:rPr>
          <w:rFonts w:ascii="Calibri" w:hAnsi="Calibri" w:cs="Calibri"/>
          <w:b/>
          <w:bCs/>
        </w:rPr>
      </w:pPr>
    </w:p>
    <w:sectPr w:rsidR="00766B4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0711C" w14:textId="77777777" w:rsidR="00B509C8" w:rsidRDefault="00B509C8" w:rsidP="00766B4A">
      <w:pPr>
        <w:spacing w:after="0" w:line="240" w:lineRule="auto"/>
      </w:pPr>
      <w:r>
        <w:separator/>
      </w:r>
    </w:p>
  </w:endnote>
  <w:endnote w:type="continuationSeparator" w:id="0">
    <w:p w14:paraId="4FAB9D11" w14:textId="77777777" w:rsidR="00B509C8" w:rsidRDefault="00B509C8" w:rsidP="00766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28ECB" w14:textId="77777777" w:rsidR="00B509C8" w:rsidRDefault="00B509C8" w:rsidP="00766B4A">
      <w:pPr>
        <w:spacing w:after="0" w:line="240" w:lineRule="auto"/>
      </w:pPr>
      <w:r>
        <w:separator/>
      </w:r>
    </w:p>
  </w:footnote>
  <w:footnote w:type="continuationSeparator" w:id="0">
    <w:p w14:paraId="7B210AEC" w14:textId="77777777" w:rsidR="00B509C8" w:rsidRDefault="00B509C8" w:rsidP="00766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09CE" w14:textId="6E8BB40B" w:rsidR="00DC01E2" w:rsidRPr="00C74467" w:rsidRDefault="00C74467">
    <w:pPr>
      <w:pStyle w:val="Header"/>
      <w:rPr>
        <w:rFonts w:ascii="Arial" w:hAnsi="Arial" w:cs="Arial"/>
        <w:sz w:val="20"/>
        <w:szCs w:val="20"/>
      </w:rPr>
    </w:pPr>
    <w:r w:rsidRPr="00C74467">
      <w:rPr>
        <w:rFonts w:ascii="Arial" w:hAnsi="Arial" w:cs="Arial"/>
        <w:sz w:val="20"/>
        <w:szCs w:val="20"/>
      </w:rPr>
      <w:t xml:space="preserve">Cancer Prevention and Screening </w:t>
    </w:r>
    <w:r w:rsidRPr="00C74467">
      <w:rPr>
        <w:rFonts w:ascii="Arial" w:hAnsi="Arial" w:cs="Arial"/>
        <w:sz w:val="20"/>
        <w:szCs w:val="20"/>
      </w:rPr>
      <w:tab/>
    </w:r>
    <w:r w:rsidRPr="00C74467">
      <w:rPr>
        <w:rFonts w:ascii="Arial" w:hAnsi="Arial" w:cs="Arial"/>
        <w:sz w:val="20"/>
        <w:szCs w:val="20"/>
      </w:rPr>
      <w:tab/>
      <w:t>220097611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448E" w14:textId="77777777" w:rsidR="00DD027C" w:rsidRPr="00C74467" w:rsidRDefault="00DD027C">
    <w:pPr>
      <w:pStyle w:val="Header"/>
      <w:rPr>
        <w:rFonts w:ascii="Arial" w:hAnsi="Arial" w:cs="Arial"/>
        <w:sz w:val="20"/>
        <w:szCs w:val="20"/>
      </w:rPr>
    </w:pPr>
    <w:r w:rsidRPr="00C74467">
      <w:rPr>
        <w:rFonts w:ascii="Arial" w:hAnsi="Arial" w:cs="Arial"/>
        <w:sz w:val="20"/>
        <w:szCs w:val="20"/>
      </w:rPr>
      <w:t xml:space="preserve">Cancer Prevention and Screening </w:t>
    </w:r>
    <w:r w:rsidRPr="00C74467">
      <w:rPr>
        <w:rFonts w:ascii="Arial" w:hAnsi="Arial" w:cs="Arial"/>
        <w:sz w:val="20"/>
        <w:szCs w:val="20"/>
      </w:rPr>
      <w:tab/>
    </w:r>
    <w:r w:rsidRPr="00C74467">
      <w:rPr>
        <w:rFonts w:ascii="Arial" w:hAnsi="Arial" w:cs="Arial"/>
        <w:sz w:val="20"/>
        <w:szCs w:val="20"/>
      </w:rPr>
      <w:tab/>
    </w:r>
    <w:r w:rsidRPr="00C74467">
      <w:rPr>
        <w:rFonts w:ascii="Arial" w:hAnsi="Arial" w:cs="Arial"/>
        <w:sz w:val="20"/>
        <w:szCs w:val="20"/>
      </w:rPr>
      <w:tab/>
    </w:r>
    <w:r w:rsidRPr="00C74467">
      <w:rPr>
        <w:rFonts w:ascii="Arial" w:hAnsi="Arial" w:cs="Arial"/>
        <w:sz w:val="20"/>
        <w:szCs w:val="20"/>
      </w:rPr>
      <w:tab/>
    </w:r>
    <w:r w:rsidRPr="00C74467">
      <w:rPr>
        <w:rFonts w:ascii="Arial" w:hAnsi="Arial" w:cs="Arial"/>
        <w:sz w:val="20"/>
        <w:szCs w:val="20"/>
      </w:rPr>
      <w:tab/>
    </w:r>
    <w:r w:rsidRPr="00C74467">
      <w:rPr>
        <w:rFonts w:ascii="Arial" w:hAnsi="Arial" w:cs="Arial"/>
        <w:sz w:val="20"/>
        <w:szCs w:val="20"/>
      </w:rPr>
      <w:tab/>
    </w:r>
    <w:r w:rsidRPr="00C74467">
      <w:rPr>
        <w:rFonts w:ascii="Arial" w:hAnsi="Arial" w:cs="Arial"/>
        <w:sz w:val="20"/>
        <w:szCs w:val="20"/>
      </w:rPr>
      <w:tab/>
      <w:t>220097611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6979" w14:textId="7209FA56" w:rsidR="00766B4A" w:rsidRPr="008B284D" w:rsidRDefault="008B284D">
    <w:pPr>
      <w:pStyle w:val="Header"/>
      <w:rPr>
        <w:rFonts w:ascii="Arial" w:hAnsi="Arial" w:cs="Arial"/>
        <w:sz w:val="20"/>
        <w:szCs w:val="20"/>
      </w:rPr>
    </w:pPr>
    <w:r w:rsidRPr="008B284D">
      <w:rPr>
        <w:rFonts w:ascii="Arial" w:hAnsi="Arial" w:cs="Arial"/>
        <w:sz w:val="20"/>
        <w:szCs w:val="20"/>
      </w:rPr>
      <w:t xml:space="preserve">Cancer Prevention and Screening </w:t>
    </w:r>
    <w:r w:rsidRPr="008B284D">
      <w:rPr>
        <w:rFonts w:ascii="Arial" w:hAnsi="Arial" w:cs="Arial"/>
        <w:sz w:val="20"/>
        <w:szCs w:val="20"/>
      </w:rPr>
      <w:tab/>
    </w:r>
    <w:r w:rsidRPr="008B284D">
      <w:rPr>
        <w:rFonts w:ascii="Arial" w:hAnsi="Arial" w:cs="Arial"/>
        <w:sz w:val="20"/>
        <w:szCs w:val="20"/>
      </w:rPr>
      <w:tab/>
      <w:t>220097611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137F3"/>
    <w:multiLevelType w:val="hybridMultilevel"/>
    <w:tmpl w:val="4C6053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D80D74"/>
    <w:multiLevelType w:val="hybridMultilevel"/>
    <w:tmpl w:val="9CB444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644928">
    <w:abstractNumId w:val="0"/>
  </w:num>
  <w:num w:numId="2" w16cid:durableId="957875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BE"/>
    <w:rsid w:val="00063E99"/>
    <w:rsid w:val="00087303"/>
    <w:rsid w:val="000A33F9"/>
    <w:rsid w:val="000B2B41"/>
    <w:rsid w:val="000B6A4D"/>
    <w:rsid w:val="000C142B"/>
    <w:rsid w:val="000C18C4"/>
    <w:rsid w:val="000E64C8"/>
    <w:rsid w:val="000E6BAD"/>
    <w:rsid w:val="000F5252"/>
    <w:rsid w:val="001019AD"/>
    <w:rsid w:val="00114131"/>
    <w:rsid w:val="00116B02"/>
    <w:rsid w:val="00142B29"/>
    <w:rsid w:val="00152D36"/>
    <w:rsid w:val="00155A68"/>
    <w:rsid w:val="00155D29"/>
    <w:rsid w:val="0017728C"/>
    <w:rsid w:val="00191C75"/>
    <w:rsid w:val="001A1EB4"/>
    <w:rsid w:val="001B41AB"/>
    <w:rsid w:val="00245AB2"/>
    <w:rsid w:val="00255380"/>
    <w:rsid w:val="002579D6"/>
    <w:rsid w:val="002725BC"/>
    <w:rsid w:val="00273928"/>
    <w:rsid w:val="002B2B23"/>
    <w:rsid w:val="002B3370"/>
    <w:rsid w:val="002C1165"/>
    <w:rsid w:val="002E05B3"/>
    <w:rsid w:val="002E08F9"/>
    <w:rsid w:val="002F2993"/>
    <w:rsid w:val="00315F43"/>
    <w:rsid w:val="00316572"/>
    <w:rsid w:val="00337239"/>
    <w:rsid w:val="00344555"/>
    <w:rsid w:val="00347C03"/>
    <w:rsid w:val="00354269"/>
    <w:rsid w:val="00355898"/>
    <w:rsid w:val="003575BC"/>
    <w:rsid w:val="00365D7A"/>
    <w:rsid w:val="003C3EA9"/>
    <w:rsid w:val="003F521F"/>
    <w:rsid w:val="00441D91"/>
    <w:rsid w:val="00475115"/>
    <w:rsid w:val="00480EE9"/>
    <w:rsid w:val="0049195B"/>
    <w:rsid w:val="004B5FCD"/>
    <w:rsid w:val="004E4E3A"/>
    <w:rsid w:val="00503D0E"/>
    <w:rsid w:val="005045C9"/>
    <w:rsid w:val="00523A57"/>
    <w:rsid w:val="005362E5"/>
    <w:rsid w:val="0054038F"/>
    <w:rsid w:val="00545CAD"/>
    <w:rsid w:val="00557DFF"/>
    <w:rsid w:val="00566822"/>
    <w:rsid w:val="005816CD"/>
    <w:rsid w:val="00586C5E"/>
    <w:rsid w:val="005C3164"/>
    <w:rsid w:val="005D484C"/>
    <w:rsid w:val="005D707C"/>
    <w:rsid w:val="005E3EF8"/>
    <w:rsid w:val="005E4BF0"/>
    <w:rsid w:val="00622783"/>
    <w:rsid w:val="0064301F"/>
    <w:rsid w:val="00644B01"/>
    <w:rsid w:val="006560B1"/>
    <w:rsid w:val="00667FE9"/>
    <w:rsid w:val="0068255B"/>
    <w:rsid w:val="006954FE"/>
    <w:rsid w:val="006C2ADD"/>
    <w:rsid w:val="006E2282"/>
    <w:rsid w:val="0070797B"/>
    <w:rsid w:val="00715263"/>
    <w:rsid w:val="00715EDD"/>
    <w:rsid w:val="00725815"/>
    <w:rsid w:val="00764CF5"/>
    <w:rsid w:val="00766B4A"/>
    <w:rsid w:val="00770614"/>
    <w:rsid w:val="0078305E"/>
    <w:rsid w:val="00796172"/>
    <w:rsid w:val="007973F0"/>
    <w:rsid w:val="007C1214"/>
    <w:rsid w:val="007C1E19"/>
    <w:rsid w:val="007D3D2F"/>
    <w:rsid w:val="007D42CC"/>
    <w:rsid w:val="0081501E"/>
    <w:rsid w:val="008445FA"/>
    <w:rsid w:val="008762A3"/>
    <w:rsid w:val="00881E9A"/>
    <w:rsid w:val="008B284D"/>
    <w:rsid w:val="008B3D00"/>
    <w:rsid w:val="008E5B47"/>
    <w:rsid w:val="009059EE"/>
    <w:rsid w:val="00911AE0"/>
    <w:rsid w:val="0092015E"/>
    <w:rsid w:val="00941A69"/>
    <w:rsid w:val="009566C7"/>
    <w:rsid w:val="009574A8"/>
    <w:rsid w:val="009626CC"/>
    <w:rsid w:val="009A51CB"/>
    <w:rsid w:val="009B4680"/>
    <w:rsid w:val="009C5C02"/>
    <w:rsid w:val="009C726C"/>
    <w:rsid w:val="009D34E1"/>
    <w:rsid w:val="009E1085"/>
    <w:rsid w:val="00A01861"/>
    <w:rsid w:val="00A07F68"/>
    <w:rsid w:val="00A26120"/>
    <w:rsid w:val="00A33FFE"/>
    <w:rsid w:val="00A93A42"/>
    <w:rsid w:val="00A9768A"/>
    <w:rsid w:val="00AA1A5E"/>
    <w:rsid w:val="00AB7A8E"/>
    <w:rsid w:val="00AD42BE"/>
    <w:rsid w:val="00AD78C0"/>
    <w:rsid w:val="00AE5C59"/>
    <w:rsid w:val="00AE6B3B"/>
    <w:rsid w:val="00AF3CD8"/>
    <w:rsid w:val="00B235E0"/>
    <w:rsid w:val="00B23CCD"/>
    <w:rsid w:val="00B509C8"/>
    <w:rsid w:val="00B52434"/>
    <w:rsid w:val="00B77741"/>
    <w:rsid w:val="00B80B1B"/>
    <w:rsid w:val="00B8332B"/>
    <w:rsid w:val="00BD2408"/>
    <w:rsid w:val="00BE3112"/>
    <w:rsid w:val="00BF38A0"/>
    <w:rsid w:val="00C70B0B"/>
    <w:rsid w:val="00C74467"/>
    <w:rsid w:val="00C75AA9"/>
    <w:rsid w:val="00C862D4"/>
    <w:rsid w:val="00CF1097"/>
    <w:rsid w:val="00D11AA0"/>
    <w:rsid w:val="00D35DF3"/>
    <w:rsid w:val="00D35FAE"/>
    <w:rsid w:val="00D66388"/>
    <w:rsid w:val="00D82796"/>
    <w:rsid w:val="00DC01E2"/>
    <w:rsid w:val="00DD027C"/>
    <w:rsid w:val="00DE7E49"/>
    <w:rsid w:val="00E068D7"/>
    <w:rsid w:val="00E473BB"/>
    <w:rsid w:val="00E54E0D"/>
    <w:rsid w:val="00E930E6"/>
    <w:rsid w:val="00EB032F"/>
    <w:rsid w:val="00EB3DC1"/>
    <w:rsid w:val="00ED350C"/>
    <w:rsid w:val="00ED7C0D"/>
    <w:rsid w:val="00EE0C83"/>
    <w:rsid w:val="00EE1F06"/>
    <w:rsid w:val="00F07478"/>
    <w:rsid w:val="00F10184"/>
    <w:rsid w:val="00F17462"/>
    <w:rsid w:val="00F32711"/>
    <w:rsid w:val="00F421DA"/>
    <w:rsid w:val="00F4325B"/>
    <w:rsid w:val="00F54102"/>
    <w:rsid w:val="00F56C3B"/>
    <w:rsid w:val="00F74F28"/>
    <w:rsid w:val="00F818E4"/>
    <w:rsid w:val="00F83850"/>
    <w:rsid w:val="00FD0274"/>
    <w:rsid w:val="00FE0818"/>
    <w:rsid w:val="00FE0B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9B4CD"/>
  <w15:chartTrackingRefBased/>
  <w15:docId w15:val="{43534AEC-4180-4151-9B89-B92DAA34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BE"/>
    <w:rPr>
      <w:rFonts w:eastAsiaTheme="majorEastAsia" w:cstheme="majorBidi"/>
      <w:color w:val="272727" w:themeColor="text1" w:themeTint="D8"/>
    </w:rPr>
  </w:style>
  <w:style w:type="paragraph" w:styleId="Title">
    <w:name w:val="Title"/>
    <w:basedOn w:val="Normal"/>
    <w:next w:val="Normal"/>
    <w:link w:val="TitleChar"/>
    <w:uiPriority w:val="10"/>
    <w:qFormat/>
    <w:rsid w:val="00AD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BE"/>
    <w:pPr>
      <w:spacing w:before="160"/>
      <w:jc w:val="center"/>
    </w:pPr>
    <w:rPr>
      <w:i/>
      <w:iCs/>
      <w:color w:val="404040" w:themeColor="text1" w:themeTint="BF"/>
    </w:rPr>
  </w:style>
  <w:style w:type="character" w:customStyle="1" w:styleId="QuoteChar">
    <w:name w:val="Quote Char"/>
    <w:basedOn w:val="DefaultParagraphFont"/>
    <w:link w:val="Quote"/>
    <w:uiPriority w:val="29"/>
    <w:rsid w:val="00AD42BE"/>
    <w:rPr>
      <w:i/>
      <w:iCs/>
      <w:color w:val="404040" w:themeColor="text1" w:themeTint="BF"/>
    </w:rPr>
  </w:style>
  <w:style w:type="paragraph" w:styleId="ListParagraph">
    <w:name w:val="List Paragraph"/>
    <w:basedOn w:val="Normal"/>
    <w:uiPriority w:val="34"/>
    <w:qFormat/>
    <w:rsid w:val="00AD42BE"/>
    <w:pPr>
      <w:ind w:left="720"/>
      <w:contextualSpacing/>
    </w:pPr>
  </w:style>
  <w:style w:type="character" w:styleId="IntenseEmphasis">
    <w:name w:val="Intense Emphasis"/>
    <w:basedOn w:val="DefaultParagraphFont"/>
    <w:uiPriority w:val="21"/>
    <w:qFormat/>
    <w:rsid w:val="00AD42BE"/>
    <w:rPr>
      <w:i/>
      <w:iCs/>
      <w:color w:val="0F4761" w:themeColor="accent1" w:themeShade="BF"/>
    </w:rPr>
  </w:style>
  <w:style w:type="paragraph" w:styleId="IntenseQuote">
    <w:name w:val="Intense Quote"/>
    <w:basedOn w:val="Normal"/>
    <w:next w:val="Normal"/>
    <w:link w:val="IntenseQuoteChar"/>
    <w:uiPriority w:val="30"/>
    <w:qFormat/>
    <w:rsid w:val="00AD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2BE"/>
    <w:rPr>
      <w:i/>
      <w:iCs/>
      <w:color w:val="0F4761" w:themeColor="accent1" w:themeShade="BF"/>
    </w:rPr>
  </w:style>
  <w:style w:type="character" w:styleId="IntenseReference">
    <w:name w:val="Intense Reference"/>
    <w:basedOn w:val="DefaultParagraphFont"/>
    <w:uiPriority w:val="32"/>
    <w:qFormat/>
    <w:rsid w:val="00AD42BE"/>
    <w:rPr>
      <w:b/>
      <w:bCs/>
      <w:smallCaps/>
      <w:color w:val="0F4761" w:themeColor="accent1" w:themeShade="BF"/>
      <w:spacing w:val="5"/>
    </w:rPr>
  </w:style>
  <w:style w:type="table" w:styleId="TableGrid">
    <w:name w:val="Table Grid"/>
    <w:basedOn w:val="TableNormal"/>
    <w:uiPriority w:val="39"/>
    <w:rsid w:val="000F5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6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6B4A"/>
  </w:style>
  <w:style w:type="paragraph" w:styleId="Footer">
    <w:name w:val="footer"/>
    <w:basedOn w:val="Normal"/>
    <w:link w:val="FooterChar"/>
    <w:uiPriority w:val="99"/>
    <w:unhideWhenUsed/>
    <w:rsid w:val="00766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6B4A"/>
  </w:style>
  <w:style w:type="paragraph" w:styleId="NormalWeb">
    <w:name w:val="Normal (Web)"/>
    <w:basedOn w:val="Normal"/>
    <w:uiPriority w:val="99"/>
    <w:semiHidden/>
    <w:unhideWhenUsed/>
    <w:rsid w:val="00155D29"/>
    <w:rPr>
      <w:rFonts w:ascii="Times New Roman" w:hAnsi="Times New Roman" w:cs="Times New Roman"/>
      <w:sz w:val="24"/>
      <w:szCs w:val="24"/>
    </w:rPr>
  </w:style>
  <w:style w:type="character" w:styleId="Hyperlink">
    <w:name w:val="Hyperlink"/>
    <w:basedOn w:val="DefaultParagraphFont"/>
    <w:uiPriority w:val="99"/>
    <w:unhideWhenUsed/>
    <w:rsid w:val="00D11AA0"/>
    <w:rPr>
      <w:color w:val="467886" w:themeColor="hyperlink"/>
      <w:u w:val="single"/>
    </w:rPr>
  </w:style>
  <w:style w:type="character" w:styleId="UnresolvedMention">
    <w:name w:val="Unresolved Mention"/>
    <w:basedOn w:val="DefaultParagraphFont"/>
    <w:uiPriority w:val="99"/>
    <w:semiHidden/>
    <w:unhideWhenUsed/>
    <w:rsid w:val="00D11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00B93F-0F16-4425-95BE-BC063F794FC4}">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76363595132"/>
    <we:property name="MENDELEY_CITATIONS" valu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3A607-3B65-4D58-B6D5-FD1AA83D4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6</Pages>
  <Words>2107</Words>
  <Characters>12014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Eylul Turkay</dc:creator>
  <cp:keywords/>
  <dc:description/>
  <cp:lastModifiedBy>Eylul Turkay</cp:lastModifiedBy>
  <cp:revision>210</cp:revision>
  <dcterms:created xsi:type="dcterms:W3CDTF">2026-04-16T15:18:00Z</dcterms:created>
  <dcterms:modified xsi:type="dcterms:W3CDTF">2026-04-20T09:35:00Z</dcterms:modified>
</cp:coreProperties>
</file>