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94120292" w:displacedByCustomXml="next"/>
    <w:bookmarkStart w:id="1" w:name="_Toc194180663" w:displacedByCustomXml="next"/>
    <w:sdt>
      <w:sdtPr>
        <w:id w:val="-1003894710"/>
        <w:docPartObj>
          <w:docPartGallery w:val="Cover Pages"/>
          <w:docPartUnique/>
        </w:docPartObj>
      </w:sdtPr>
      <w:sdtEndPr/>
      <w:sdtContent>
        <w:p w14:paraId="7DACAD12" w14:textId="4D7379D2" w:rsidR="00855767" w:rsidRDefault="00855767" w:rsidP="003941E5">
          <w:pPr>
            <w:jc w:val="both"/>
          </w:pPr>
          <w:r>
            <w:rPr>
              <w:noProof/>
            </w:rPr>
            <mc:AlternateContent>
              <mc:Choice Requires="wpg">
                <w:drawing>
                  <wp:anchor distT="0" distB="0" distL="114300" distR="114300" simplePos="0" relativeHeight="251662336" behindDoc="0" locked="0" layoutInCell="1" allowOverlap="1" wp14:anchorId="64787FD3" wp14:editId="155A5076">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27940" b="2095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280F26B"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" strokecolor="#0e2841 [3215]"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32ABC670" wp14:editId="02E8963A">
                    <wp:simplePos x="0" y="0"/>
                    <wp:positionH relativeFrom="page">
                      <wp:align>center</wp:align>
                    </wp:positionH>
                    <mc:AlternateContent>
                      <mc:Choice Requires="wp14">
                        <wp:positionV relativeFrom="page">
                          <wp14:pctPosVOffset>81800</wp14:pctPosVOffset>
                        </wp:positionV>
                      </mc:Choice>
                      <mc:Fallback>
                        <wp:positionV relativeFrom="page">
                          <wp:posOffset>8743950</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54B77F3A" w14:textId="2EC331C1" w:rsidR="00855767" w:rsidRDefault="00855767">
                                    <w:pPr>
                                      <w:pStyle w:val="NoSpacing"/>
                                      <w:jc w:val="right"/>
                                      <w:rPr>
                                        <w:color w:val="595959" w:themeColor="text1" w:themeTint="A6"/>
                                        <w:sz w:val="28"/>
                                        <w:szCs w:val="28"/>
                                      </w:rPr>
                                    </w:pPr>
                                    <w:r>
                                      <w:rPr>
                                        <w:color w:val="595959" w:themeColor="text1" w:themeTint="A6"/>
                                        <w:sz w:val="28"/>
                                        <w:szCs w:val="28"/>
                                      </w:rPr>
                                      <w:t>Eylul Turkay</w:t>
                                    </w:r>
                                  </w:p>
                                </w:sdtContent>
                              </w:sdt>
                              <w:p w14:paraId="1E98C271" w14:textId="2679A7A6" w:rsidR="00855767" w:rsidRDefault="00A8482B">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A86787">
                                      <w:rPr>
                                        <w:color w:val="595959" w:themeColor="text1" w:themeTint="A6"/>
                                        <w:sz w:val="18"/>
                                        <w:szCs w:val="18"/>
                                      </w:rPr>
                                      <w:t>3975 words</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32ABC670" id="_x0000_t202" coordsize="21600,21600" o:spt="202" path="m,l,21600r21600,l21600,xe">
                    <v:stroke joinstyle="miter"/>
                    <v:path gradientshapeok="t" o:connecttype="rect"/>
                  </v:shapetype>
                  <v:shape id="Text Box 159" o:spid="_x0000_s1026" type="#_x0000_t202" style="position:absolute;left:0;text-align:left;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54B77F3A" w14:textId="2EC331C1" w:rsidR="00855767" w:rsidRDefault="00855767">
                              <w:pPr>
                                <w:pStyle w:val="NoSpacing"/>
                                <w:jc w:val="right"/>
                                <w:rPr>
                                  <w:color w:val="595959" w:themeColor="text1" w:themeTint="A6"/>
                                  <w:sz w:val="28"/>
                                  <w:szCs w:val="28"/>
                                </w:rPr>
                              </w:pPr>
                              <w:r>
                                <w:rPr>
                                  <w:color w:val="595959" w:themeColor="text1" w:themeTint="A6"/>
                                  <w:sz w:val="28"/>
                                  <w:szCs w:val="28"/>
                                </w:rPr>
                                <w:t>Eylul Turkay</w:t>
                              </w:r>
                            </w:p>
                          </w:sdtContent>
                        </w:sdt>
                        <w:p w14:paraId="1E98C271" w14:textId="2679A7A6" w:rsidR="00855767" w:rsidRDefault="00A8482B">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A86787">
                                <w:rPr>
                                  <w:color w:val="595959" w:themeColor="text1" w:themeTint="A6"/>
                                  <w:sz w:val="18"/>
                                  <w:szCs w:val="18"/>
                                </w:rPr>
                                <w:t>3975 words</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2FD7D2E3" wp14:editId="05C22191">
                    <wp:simplePos x="0" y="0"/>
                    <wp:positionH relativeFrom="page">
                      <wp:align>center</wp:align>
                    </wp:positionH>
                    <mc:AlternateContent>
                      <mc:Choice Requires="wp14">
                        <wp:positionV relativeFrom="page">
                          <wp14:pctPosVOffset>70000</wp14:pctPosVOffset>
                        </wp:positionV>
                      </mc:Choice>
                      <mc:Fallback>
                        <wp:positionV relativeFrom="page">
                          <wp:posOffset>7482205</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EndPr/>
                                <w:sdtContent>
                                  <w:p w14:paraId="01BF80B7" w14:textId="48D2E3CC" w:rsidR="00855767" w:rsidRDefault="00855767">
                                    <w:pPr>
                                      <w:pStyle w:val="NoSpacing"/>
                                      <w:jc w:val="right"/>
                                      <w:rPr>
                                        <w:color w:val="595959" w:themeColor="text1" w:themeTint="A6"/>
                                        <w:sz w:val="20"/>
                                        <w:szCs w:val="20"/>
                                      </w:rPr>
                                    </w:pPr>
                                    <w:r>
                                      <w:rPr>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2FD7D2E3" id="Text Box 161" o:spid="_x0000_s1027" type="#_x0000_t202" style="position:absolute;left:0;text-align:left;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EndPr/>
                          <w:sdtContent>
                            <w:p w14:paraId="01BF80B7" w14:textId="48D2E3CC" w:rsidR="00855767" w:rsidRDefault="00855767">
                              <w:pPr>
                                <w:pStyle w:val="NoSpacing"/>
                                <w:jc w:val="right"/>
                                <w:rPr>
                                  <w:color w:val="595959" w:themeColor="text1" w:themeTint="A6"/>
                                  <w:sz w:val="20"/>
                                  <w:szCs w:val="20"/>
                                </w:rPr>
                              </w:pPr>
                              <w:r>
                                <w:rPr>
                                  <w:color w:val="595959" w:themeColor="text1" w:themeTint="A6"/>
                                  <w:sz w:val="20"/>
                                  <w:szCs w:val="20"/>
                                </w:rPr>
                                <w:t xml:space="preserve">     </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038E6CA7" wp14:editId="09EB0642">
                    <wp:simplePos x="0" y="0"/>
                    <wp:positionH relativeFrom="page">
                      <wp:align>center</wp:align>
                    </wp:positionH>
                    <mc:AlternateContent>
                      <mc:Choice Requires="wp14">
                        <wp:positionV relativeFrom="page">
                          <wp14:pctPosVOffset>30000</wp14:pctPosVOffset>
                        </wp:positionV>
                      </mc:Choice>
                      <mc:Fallback>
                        <wp:positionV relativeFrom="page">
                          <wp:posOffset>3206750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3DAE15" w14:textId="048493B5" w:rsidR="00855767" w:rsidRPr="00855767" w:rsidRDefault="00A8482B">
                                <w:pPr>
                                  <w:jc w:val="right"/>
                                  <w:rPr>
                                    <w:b/>
                                    <w:bCs/>
                                    <w:sz w:val="64"/>
                                    <w:szCs w:val="64"/>
                                  </w:rPr>
                                </w:pPr>
                                <w:sdt>
                                  <w:sdtPr>
                                    <w:rPr>
                                      <w:b/>
                                      <w:bCs/>
                                      <w:caps/>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855767" w:rsidRPr="00855767">
                                      <w:rPr>
                                        <w:b/>
                                        <w:bCs/>
                                        <w:caps/>
                                        <w:sz w:val="64"/>
                                        <w:szCs w:val="64"/>
                                      </w:rPr>
                                      <w:t>BIO 604 DISSERTATION</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784C1552" w14:textId="7F0BBDDB" w:rsidR="00855767" w:rsidRDefault="00855767">
                                    <w:pPr>
                                      <w:jc w:val="right"/>
                                      <w:rPr>
                                        <w:color w:val="404040" w:themeColor="text1" w:themeTint="BF"/>
                                        <w:sz w:val="36"/>
                                        <w:szCs w:val="36"/>
                                      </w:rPr>
                                    </w:pPr>
                                    <w:r>
                                      <w:rPr>
                                        <w:color w:val="404040" w:themeColor="text1" w:themeTint="BF"/>
                                        <w:sz w:val="36"/>
                                        <w:szCs w:val="36"/>
                                      </w:rPr>
                                      <w:t>Supervisor: Tania Maffucci</w:t>
                                    </w:r>
                                  </w:p>
                                </w:sdtContent>
                              </w:sdt>
                              <w:p w14:paraId="37196B34" w14:textId="50648AF6" w:rsidR="00855767" w:rsidRDefault="00855767">
                                <w:pPr>
                                  <w:jc w:val="right"/>
                                  <w:rPr>
                                    <w:color w:val="404040" w:themeColor="text1" w:themeTint="BF"/>
                                    <w:sz w:val="36"/>
                                    <w:szCs w:val="36"/>
                                  </w:rPr>
                                </w:pPr>
                                <w:r>
                                  <w:rPr>
                                    <w:color w:val="404040" w:themeColor="text1" w:themeTint="BF"/>
                                    <w:sz w:val="36"/>
                                    <w:szCs w:val="36"/>
                                  </w:rPr>
                                  <w:t>Eylul Turkay</w:t>
                                </w:r>
                              </w:p>
                              <w:p w14:paraId="2F1A55A8" w14:textId="33B3D334" w:rsidR="00855767" w:rsidRDefault="00855767">
                                <w:pPr>
                                  <w:jc w:val="right"/>
                                  <w:rPr>
                                    <w:smallCaps/>
                                    <w:color w:val="404040" w:themeColor="text1" w:themeTint="BF"/>
                                    <w:sz w:val="36"/>
                                    <w:szCs w:val="36"/>
                                  </w:rPr>
                                </w:pPr>
                                <w:r>
                                  <w:rPr>
                                    <w:color w:val="404040" w:themeColor="text1" w:themeTint="BF"/>
                                    <w:sz w:val="36"/>
                                    <w:szCs w:val="36"/>
                                  </w:rPr>
                                  <w:t>220097611</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038E6CA7" id="Text Box 163" o:spid="_x0000_s1028" type="#_x0000_t202" style="position:absolute;left:0;text-align:left;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2B3DAE15" w14:textId="048493B5" w:rsidR="00855767" w:rsidRPr="00855767" w:rsidRDefault="00A8482B">
                          <w:pPr>
                            <w:jc w:val="right"/>
                            <w:rPr>
                              <w:b/>
                              <w:bCs/>
                              <w:sz w:val="64"/>
                              <w:szCs w:val="64"/>
                            </w:rPr>
                          </w:pPr>
                          <w:sdt>
                            <w:sdtPr>
                              <w:rPr>
                                <w:b/>
                                <w:bCs/>
                                <w:caps/>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855767" w:rsidRPr="00855767">
                                <w:rPr>
                                  <w:b/>
                                  <w:bCs/>
                                  <w:caps/>
                                  <w:sz w:val="64"/>
                                  <w:szCs w:val="64"/>
                                </w:rPr>
                                <w:t>BIO 604 DISSERTATION</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784C1552" w14:textId="7F0BBDDB" w:rsidR="00855767" w:rsidRDefault="00855767">
                              <w:pPr>
                                <w:jc w:val="right"/>
                                <w:rPr>
                                  <w:color w:val="404040" w:themeColor="text1" w:themeTint="BF"/>
                                  <w:sz w:val="36"/>
                                  <w:szCs w:val="36"/>
                                </w:rPr>
                              </w:pPr>
                              <w:r>
                                <w:rPr>
                                  <w:color w:val="404040" w:themeColor="text1" w:themeTint="BF"/>
                                  <w:sz w:val="36"/>
                                  <w:szCs w:val="36"/>
                                </w:rPr>
                                <w:t>Supervisor: Tania Maffucci</w:t>
                              </w:r>
                            </w:p>
                          </w:sdtContent>
                        </w:sdt>
                        <w:p w14:paraId="37196B34" w14:textId="50648AF6" w:rsidR="00855767" w:rsidRDefault="00855767">
                          <w:pPr>
                            <w:jc w:val="right"/>
                            <w:rPr>
                              <w:color w:val="404040" w:themeColor="text1" w:themeTint="BF"/>
                              <w:sz w:val="36"/>
                              <w:szCs w:val="36"/>
                            </w:rPr>
                          </w:pPr>
                          <w:r>
                            <w:rPr>
                              <w:color w:val="404040" w:themeColor="text1" w:themeTint="BF"/>
                              <w:sz w:val="36"/>
                              <w:szCs w:val="36"/>
                            </w:rPr>
                            <w:t>Eylul Turkay</w:t>
                          </w:r>
                        </w:p>
                        <w:p w14:paraId="2F1A55A8" w14:textId="33B3D334" w:rsidR="00855767" w:rsidRDefault="00855767">
                          <w:pPr>
                            <w:jc w:val="right"/>
                            <w:rPr>
                              <w:smallCaps/>
                              <w:color w:val="404040" w:themeColor="text1" w:themeTint="BF"/>
                              <w:sz w:val="36"/>
                              <w:szCs w:val="36"/>
                            </w:rPr>
                          </w:pPr>
                          <w:r>
                            <w:rPr>
                              <w:color w:val="404040" w:themeColor="text1" w:themeTint="BF"/>
                              <w:sz w:val="36"/>
                              <w:szCs w:val="36"/>
                            </w:rPr>
                            <w:t>220097611</w:t>
                          </w:r>
                        </w:p>
                      </w:txbxContent>
                    </v:textbox>
                    <w10:wrap type="square" anchorx="page" anchory="page"/>
                  </v:shape>
                </w:pict>
              </mc:Fallback>
            </mc:AlternateContent>
          </w:r>
        </w:p>
        <w:p w14:paraId="22A793AE" w14:textId="3A6B9D04" w:rsidR="00855767" w:rsidRDefault="00855767" w:rsidP="003941E5">
          <w:pPr>
            <w:spacing w:after="160" w:line="259" w:lineRule="auto"/>
            <w:jc w:val="both"/>
            <w:rPr>
              <w:rFonts w:eastAsiaTheme="majorEastAsia" w:cstheme="majorBidi"/>
              <w:color w:val="000000" w:themeColor="text1"/>
              <w:sz w:val="32"/>
              <w:szCs w:val="32"/>
            </w:rPr>
          </w:pPr>
          <w:r>
            <w:br w:type="page"/>
          </w:r>
        </w:p>
      </w:sdtContent>
    </w:sdt>
    <w:sdt>
      <w:sdtPr>
        <w:rPr>
          <w:rFonts w:eastAsia="Arial" w:cs="Arial"/>
          <w:color w:val="auto"/>
          <w:sz w:val="22"/>
          <w:szCs w:val="22"/>
        </w:rPr>
        <w:id w:val="1863320140"/>
        <w:docPartObj>
          <w:docPartGallery w:val="Table of Contents"/>
          <w:docPartUnique/>
        </w:docPartObj>
      </w:sdtPr>
      <w:sdtEndPr>
        <w:rPr>
          <w:b/>
          <w:bCs/>
        </w:rPr>
      </w:sdtEndPr>
      <w:sdtContent>
        <w:p w14:paraId="0187FAC6" w14:textId="1FDDFFB5" w:rsidR="00855767" w:rsidRPr="00855767" w:rsidRDefault="00855767" w:rsidP="003941E5">
          <w:pPr>
            <w:pStyle w:val="TOCHeading"/>
            <w:jc w:val="both"/>
            <w:rPr>
              <w:rFonts w:cs="Arial"/>
            </w:rPr>
          </w:pPr>
          <w:r w:rsidRPr="00855767">
            <w:rPr>
              <w:rFonts w:cs="Arial"/>
            </w:rPr>
            <w:t>Table of Contents</w:t>
          </w:r>
        </w:p>
        <w:p w14:paraId="042D59EC" w14:textId="29FF2EB8" w:rsidR="00855767" w:rsidRPr="00855767" w:rsidRDefault="00855767" w:rsidP="003941E5">
          <w:pPr>
            <w:pStyle w:val="TOC1"/>
            <w:tabs>
              <w:tab w:val="right" w:leader="dot" w:pos="9019"/>
            </w:tabs>
            <w:jc w:val="both"/>
            <w:rPr>
              <w:rFonts w:eastAsiaTheme="minorEastAsia"/>
              <w:noProof/>
              <w:kern w:val="2"/>
              <w:sz w:val="24"/>
              <w:szCs w:val="24"/>
              <w14:ligatures w14:val="standardContextual"/>
            </w:rPr>
          </w:pPr>
          <w:r w:rsidRPr="00855767">
            <w:fldChar w:fldCharType="begin"/>
          </w:r>
          <w:r w:rsidRPr="00855767">
            <w:instrText xml:space="preserve"> TOC \o "1-3" \h \z \u </w:instrText>
          </w:r>
          <w:r w:rsidRPr="00855767">
            <w:fldChar w:fldCharType="separate"/>
          </w:r>
          <w:hyperlink w:anchor="_Toc194182181" w:history="1">
            <w:r w:rsidRPr="00855767">
              <w:rPr>
                <w:rStyle w:val="Hyperlink"/>
                <w:noProof/>
              </w:rPr>
              <w:t>Targeting Metabolic Plasticity in PDAC: A Dual Approach Using Glycolytic Inhibitors and CRISPR-Cas9-Mediated OXPHOS Disruption to Overcome Therapeutic Resistance</w:t>
            </w:r>
            <w:r w:rsidRPr="00855767">
              <w:rPr>
                <w:noProof/>
                <w:webHidden/>
              </w:rPr>
              <w:tab/>
            </w:r>
            <w:r w:rsidRPr="00855767">
              <w:rPr>
                <w:noProof/>
                <w:webHidden/>
              </w:rPr>
              <w:fldChar w:fldCharType="begin"/>
            </w:r>
            <w:r w:rsidRPr="00855767">
              <w:rPr>
                <w:noProof/>
                <w:webHidden/>
              </w:rPr>
              <w:instrText xml:space="preserve"> PAGEREF _Toc194182181 \h </w:instrText>
            </w:r>
            <w:r w:rsidRPr="00855767">
              <w:rPr>
                <w:noProof/>
                <w:webHidden/>
              </w:rPr>
            </w:r>
            <w:r w:rsidRPr="00855767">
              <w:rPr>
                <w:noProof/>
                <w:webHidden/>
              </w:rPr>
              <w:fldChar w:fldCharType="separate"/>
            </w:r>
            <w:r w:rsidRPr="00855767">
              <w:rPr>
                <w:noProof/>
                <w:webHidden/>
              </w:rPr>
              <w:t>1</w:t>
            </w:r>
            <w:r w:rsidRPr="00855767">
              <w:rPr>
                <w:noProof/>
                <w:webHidden/>
              </w:rPr>
              <w:fldChar w:fldCharType="end"/>
            </w:r>
          </w:hyperlink>
        </w:p>
        <w:p w14:paraId="5ADF57D3" w14:textId="38A60CD7" w:rsidR="00855767" w:rsidRPr="00855767" w:rsidRDefault="00855767" w:rsidP="003941E5">
          <w:pPr>
            <w:pStyle w:val="TOC2"/>
            <w:tabs>
              <w:tab w:val="right" w:leader="dot" w:pos="9019"/>
            </w:tabs>
            <w:jc w:val="both"/>
            <w:rPr>
              <w:rFonts w:ascii="Arial" w:hAnsi="Arial" w:cs="Arial"/>
              <w:noProof/>
              <w:kern w:val="2"/>
              <w:sz w:val="24"/>
              <w:szCs w:val="24"/>
              <w14:ligatures w14:val="standardContextual"/>
            </w:rPr>
          </w:pPr>
          <w:hyperlink w:anchor="_Toc194182182" w:history="1">
            <w:r w:rsidRPr="00855767">
              <w:rPr>
                <w:rStyle w:val="Hyperlink"/>
                <w:rFonts w:ascii="Arial" w:hAnsi="Arial" w:cs="Arial"/>
                <w:noProof/>
              </w:rPr>
              <w:t>1. Introduction</w:t>
            </w:r>
            <w:r w:rsidRPr="00855767">
              <w:rPr>
                <w:rFonts w:ascii="Arial" w:hAnsi="Arial" w:cs="Arial"/>
                <w:noProof/>
                <w:webHidden/>
              </w:rPr>
              <w:tab/>
            </w:r>
            <w:r w:rsidRPr="00855767">
              <w:rPr>
                <w:rFonts w:ascii="Arial" w:hAnsi="Arial" w:cs="Arial"/>
                <w:noProof/>
                <w:webHidden/>
              </w:rPr>
              <w:fldChar w:fldCharType="begin"/>
            </w:r>
            <w:r w:rsidRPr="00855767">
              <w:rPr>
                <w:rFonts w:ascii="Arial" w:hAnsi="Arial" w:cs="Arial"/>
                <w:noProof/>
                <w:webHidden/>
              </w:rPr>
              <w:instrText xml:space="preserve"> PAGEREF _Toc194182182 \h </w:instrText>
            </w:r>
            <w:r w:rsidRPr="00855767">
              <w:rPr>
                <w:rFonts w:ascii="Arial" w:hAnsi="Arial" w:cs="Arial"/>
                <w:noProof/>
                <w:webHidden/>
              </w:rPr>
            </w:r>
            <w:r w:rsidRPr="00855767">
              <w:rPr>
                <w:rFonts w:ascii="Arial" w:hAnsi="Arial" w:cs="Arial"/>
                <w:noProof/>
                <w:webHidden/>
              </w:rPr>
              <w:fldChar w:fldCharType="separate"/>
            </w:r>
            <w:r w:rsidRPr="00855767">
              <w:rPr>
                <w:rFonts w:ascii="Arial" w:hAnsi="Arial" w:cs="Arial"/>
                <w:noProof/>
                <w:webHidden/>
              </w:rPr>
              <w:t>1</w:t>
            </w:r>
            <w:r w:rsidRPr="00855767">
              <w:rPr>
                <w:rFonts w:ascii="Arial" w:hAnsi="Arial" w:cs="Arial"/>
                <w:noProof/>
                <w:webHidden/>
              </w:rPr>
              <w:fldChar w:fldCharType="end"/>
            </w:r>
          </w:hyperlink>
        </w:p>
        <w:p w14:paraId="4539101F" w14:textId="4F12E4B7" w:rsidR="00855767" w:rsidRPr="00855767" w:rsidRDefault="00855767" w:rsidP="003941E5">
          <w:pPr>
            <w:pStyle w:val="TOC2"/>
            <w:tabs>
              <w:tab w:val="right" w:leader="dot" w:pos="9019"/>
            </w:tabs>
            <w:jc w:val="both"/>
            <w:rPr>
              <w:rFonts w:ascii="Arial" w:hAnsi="Arial" w:cs="Arial"/>
              <w:noProof/>
              <w:kern w:val="2"/>
              <w:sz w:val="24"/>
              <w:szCs w:val="24"/>
              <w14:ligatures w14:val="standardContextual"/>
            </w:rPr>
          </w:pPr>
          <w:hyperlink w:anchor="_Toc194182183" w:history="1">
            <w:r w:rsidRPr="00855767">
              <w:rPr>
                <w:rStyle w:val="Hyperlink"/>
                <w:rFonts w:ascii="Arial" w:hAnsi="Arial" w:cs="Arial"/>
                <w:noProof/>
              </w:rPr>
              <w:t>2. Pathophysiology and Metabolic Adaptation in PDAC</w:t>
            </w:r>
            <w:r w:rsidRPr="00855767">
              <w:rPr>
                <w:rFonts w:ascii="Arial" w:hAnsi="Arial" w:cs="Arial"/>
                <w:noProof/>
                <w:webHidden/>
              </w:rPr>
              <w:tab/>
            </w:r>
            <w:r w:rsidRPr="00855767">
              <w:rPr>
                <w:rFonts w:ascii="Arial" w:hAnsi="Arial" w:cs="Arial"/>
                <w:noProof/>
                <w:webHidden/>
              </w:rPr>
              <w:fldChar w:fldCharType="begin"/>
            </w:r>
            <w:r w:rsidRPr="00855767">
              <w:rPr>
                <w:rFonts w:ascii="Arial" w:hAnsi="Arial" w:cs="Arial"/>
                <w:noProof/>
                <w:webHidden/>
              </w:rPr>
              <w:instrText xml:space="preserve"> PAGEREF _Toc194182183 \h </w:instrText>
            </w:r>
            <w:r w:rsidRPr="00855767">
              <w:rPr>
                <w:rFonts w:ascii="Arial" w:hAnsi="Arial" w:cs="Arial"/>
                <w:noProof/>
                <w:webHidden/>
              </w:rPr>
            </w:r>
            <w:r w:rsidRPr="00855767">
              <w:rPr>
                <w:rFonts w:ascii="Arial" w:hAnsi="Arial" w:cs="Arial"/>
                <w:noProof/>
                <w:webHidden/>
              </w:rPr>
              <w:fldChar w:fldCharType="separate"/>
            </w:r>
            <w:r w:rsidRPr="00855767">
              <w:rPr>
                <w:rFonts w:ascii="Arial" w:hAnsi="Arial" w:cs="Arial"/>
                <w:noProof/>
                <w:webHidden/>
              </w:rPr>
              <w:t>2</w:t>
            </w:r>
            <w:r w:rsidRPr="00855767">
              <w:rPr>
                <w:rFonts w:ascii="Arial" w:hAnsi="Arial" w:cs="Arial"/>
                <w:noProof/>
                <w:webHidden/>
              </w:rPr>
              <w:fldChar w:fldCharType="end"/>
            </w:r>
          </w:hyperlink>
        </w:p>
        <w:p w14:paraId="392C4044" w14:textId="3110C26E" w:rsidR="00855767" w:rsidRPr="00855767" w:rsidRDefault="00855767" w:rsidP="003941E5">
          <w:pPr>
            <w:pStyle w:val="TOC3"/>
            <w:tabs>
              <w:tab w:val="right" w:leader="dot" w:pos="9019"/>
            </w:tabs>
            <w:jc w:val="both"/>
            <w:rPr>
              <w:rFonts w:eastAsiaTheme="minorEastAsia"/>
              <w:noProof/>
              <w:kern w:val="2"/>
              <w:sz w:val="24"/>
              <w:szCs w:val="24"/>
              <w14:ligatures w14:val="standardContextual"/>
            </w:rPr>
          </w:pPr>
          <w:hyperlink w:anchor="_Toc194182184" w:history="1">
            <w:r w:rsidRPr="00855767">
              <w:rPr>
                <w:rStyle w:val="Hyperlink"/>
                <w:noProof/>
              </w:rPr>
              <w:t>2.1 Genetic and Molecular Landscape</w:t>
            </w:r>
            <w:r w:rsidRPr="00855767">
              <w:rPr>
                <w:noProof/>
                <w:webHidden/>
              </w:rPr>
              <w:tab/>
            </w:r>
            <w:r w:rsidRPr="00855767">
              <w:rPr>
                <w:noProof/>
                <w:webHidden/>
              </w:rPr>
              <w:fldChar w:fldCharType="begin"/>
            </w:r>
            <w:r w:rsidRPr="00855767">
              <w:rPr>
                <w:noProof/>
                <w:webHidden/>
              </w:rPr>
              <w:instrText xml:space="preserve"> PAGEREF _Toc194182184 \h </w:instrText>
            </w:r>
            <w:r w:rsidRPr="00855767">
              <w:rPr>
                <w:noProof/>
                <w:webHidden/>
              </w:rPr>
            </w:r>
            <w:r w:rsidRPr="00855767">
              <w:rPr>
                <w:noProof/>
                <w:webHidden/>
              </w:rPr>
              <w:fldChar w:fldCharType="separate"/>
            </w:r>
            <w:r w:rsidRPr="00855767">
              <w:rPr>
                <w:noProof/>
                <w:webHidden/>
              </w:rPr>
              <w:t>2</w:t>
            </w:r>
            <w:r w:rsidRPr="00855767">
              <w:rPr>
                <w:noProof/>
                <w:webHidden/>
              </w:rPr>
              <w:fldChar w:fldCharType="end"/>
            </w:r>
          </w:hyperlink>
        </w:p>
        <w:p w14:paraId="71AA43B9" w14:textId="0587F6C9" w:rsidR="00855767" w:rsidRPr="00855767" w:rsidRDefault="00855767" w:rsidP="003941E5">
          <w:pPr>
            <w:pStyle w:val="TOC3"/>
            <w:tabs>
              <w:tab w:val="right" w:leader="dot" w:pos="9019"/>
            </w:tabs>
            <w:jc w:val="both"/>
            <w:rPr>
              <w:rFonts w:eastAsiaTheme="minorEastAsia"/>
              <w:noProof/>
              <w:kern w:val="2"/>
              <w:sz w:val="24"/>
              <w:szCs w:val="24"/>
              <w14:ligatures w14:val="standardContextual"/>
            </w:rPr>
          </w:pPr>
          <w:hyperlink w:anchor="_Toc194182185" w:history="1">
            <w:r w:rsidRPr="00855767">
              <w:rPr>
                <w:rStyle w:val="Hyperlink"/>
                <w:noProof/>
              </w:rPr>
              <w:t>2.2 Tumour Microenvironment and Crosstalk</w:t>
            </w:r>
            <w:r w:rsidRPr="00855767">
              <w:rPr>
                <w:noProof/>
                <w:webHidden/>
              </w:rPr>
              <w:tab/>
            </w:r>
            <w:r w:rsidRPr="00855767">
              <w:rPr>
                <w:noProof/>
                <w:webHidden/>
              </w:rPr>
              <w:fldChar w:fldCharType="begin"/>
            </w:r>
            <w:r w:rsidRPr="00855767">
              <w:rPr>
                <w:noProof/>
                <w:webHidden/>
              </w:rPr>
              <w:instrText xml:space="preserve"> PAGEREF _Toc194182185 \h </w:instrText>
            </w:r>
            <w:r w:rsidRPr="00855767">
              <w:rPr>
                <w:noProof/>
                <w:webHidden/>
              </w:rPr>
            </w:r>
            <w:r w:rsidRPr="00855767">
              <w:rPr>
                <w:noProof/>
                <w:webHidden/>
              </w:rPr>
              <w:fldChar w:fldCharType="separate"/>
            </w:r>
            <w:r w:rsidRPr="00855767">
              <w:rPr>
                <w:noProof/>
                <w:webHidden/>
              </w:rPr>
              <w:t>3</w:t>
            </w:r>
            <w:r w:rsidRPr="00855767">
              <w:rPr>
                <w:noProof/>
                <w:webHidden/>
              </w:rPr>
              <w:fldChar w:fldCharType="end"/>
            </w:r>
          </w:hyperlink>
        </w:p>
        <w:p w14:paraId="2BF4F3F0" w14:textId="30288428" w:rsidR="00855767" w:rsidRPr="00855767" w:rsidRDefault="00855767" w:rsidP="003941E5">
          <w:pPr>
            <w:pStyle w:val="TOC3"/>
            <w:tabs>
              <w:tab w:val="right" w:leader="dot" w:pos="9019"/>
            </w:tabs>
            <w:jc w:val="both"/>
            <w:rPr>
              <w:rFonts w:eastAsiaTheme="minorEastAsia"/>
              <w:noProof/>
              <w:kern w:val="2"/>
              <w:sz w:val="24"/>
              <w:szCs w:val="24"/>
              <w14:ligatures w14:val="standardContextual"/>
            </w:rPr>
          </w:pPr>
          <w:hyperlink w:anchor="_Toc194182186" w:history="1">
            <w:r w:rsidRPr="00855767">
              <w:rPr>
                <w:rStyle w:val="Hyperlink"/>
                <w:noProof/>
              </w:rPr>
              <w:t>2.3 Metabolic Plasticity in Context</w:t>
            </w:r>
            <w:r w:rsidRPr="00855767">
              <w:rPr>
                <w:noProof/>
                <w:webHidden/>
              </w:rPr>
              <w:tab/>
            </w:r>
            <w:r w:rsidRPr="00855767">
              <w:rPr>
                <w:noProof/>
                <w:webHidden/>
              </w:rPr>
              <w:fldChar w:fldCharType="begin"/>
            </w:r>
            <w:r w:rsidRPr="00855767">
              <w:rPr>
                <w:noProof/>
                <w:webHidden/>
              </w:rPr>
              <w:instrText xml:space="preserve"> PAGEREF _Toc194182186 \h </w:instrText>
            </w:r>
            <w:r w:rsidRPr="00855767">
              <w:rPr>
                <w:noProof/>
                <w:webHidden/>
              </w:rPr>
            </w:r>
            <w:r w:rsidRPr="00855767">
              <w:rPr>
                <w:noProof/>
                <w:webHidden/>
              </w:rPr>
              <w:fldChar w:fldCharType="separate"/>
            </w:r>
            <w:r w:rsidRPr="00855767">
              <w:rPr>
                <w:noProof/>
                <w:webHidden/>
              </w:rPr>
              <w:t>5</w:t>
            </w:r>
            <w:r w:rsidRPr="00855767">
              <w:rPr>
                <w:noProof/>
                <w:webHidden/>
              </w:rPr>
              <w:fldChar w:fldCharType="end"/>
            </w:r>
          </w:hyperlink>
        </w:p>
        <w:p w14:paraId="6F3F0F08" w14:textId="5338E437" w:rsidR="00855767" w:rsidRPr="00855767" w:rsidRDefault="00855767" w:rsidP="003941E5">
          <w:pPr>
            <w:pStyle w:val="TOC2"/>
            <w:tabs>
              <w:tab w:val="right" w:leader="dot" w:pos="9019"/>
            </w:tabs>
            <w:jc w:val="both"/>
            <w:rPr>
              <w:rFonts w:ascii="Arial" w:hAnsi="Arial" w:cs="Arial"/>
              <w:noProof/>
              <w:kern w:val="2"/>
              <w:sz w:val="24"/>
              <w:szCs w:val="24"/>
              <w14:ligatures w14:val="standardContextual"/>
            </w:rPr>
          </w:pPr>
          <w:hyperlink w:anchor="_Toc194182187" w:history="1">
            <w:r w:rsidRPr="00855767">
              <w:rPr>
                <w:rStyle w:val="Hyperlink"/>
                <w:rFonts w:ascii="Arial" w:hAnsi="Arial" w:cs="Arial"/>
                <w:noProof/>
              </w:rPr>
              <w:t>3. Metabolic Reprogramming in PDAC</w:t>
            </w:r>
            <w:r w:rsidRPr="00855767">
              <w:rPr>
                <w:rFonts w:ascii="Arial" w:hAnsi="Arial" w:cs="Arial"/>
                <w:noProof/>
                <w:webHidden/>
              </w:rPr>
              <w:tab/>
            </w:r>
            <w:r w:rsidRPr="00855767">
              <w:rPr>
                <w:rFonts w:ascii="Arial" w:hAnsi="Arial" w:cs="Arial"/>
                <w:noProof/>
                <w:webHidden/>
              </w:rPr>
              <w:fldChar w:fldCharType="begin"/>
            </w:r>
            <w:r w:rsidRPr="00855767">
              <w:rPr>
                <w:rFonts w:ascii="Arial" w:hAnsi="Arial" w:cs="Arial"/>
                <w:noProof/>
                <w:webHidden/>
              </w:rPr>
              <w:instrText xml:space="preserve"> PAGEREF _Toc194182187 \h </w:instrText>
            </w:r>
            <w:r w:rsidRPr="00855767">
              <w:rPr>
                <w:rFonts w:ascii="Arial" w:hAnsi="Arial" w:cs="Arial"/>
                <w:noProof/>
                <w:webHidden/>
              </w:rPr>
            </w:r>
            <w:r w:rsidRPr="00855767">
              <w:rPr>
                <w:rFonts w:ascii="Arial" w:hAnsi="Arial" w:cs="Arial"/>
                <w:noProof/>
                <w:webHidden/>
              </w:rPr>
              <w:fldChar w:fldCharType="separate"/>
            </w:r>
            <w:r w:rsidRPr="00855767">
              <w:rPr>
                <w:rFonts w:ascii="Arial" w:hAnsi="Arial" w:cs="Arial"/>
                <w:noProof/>
                <w:webHidden/>
              </w:rPr>
              <w:t>7</w:t>
            </w:r>
            <w:r w:rsidRPr="00855767">
              <w:rPr>
                <w:rFonts w:ascii="Arial" w:hAnsi="Arial" w:cs="Arial"/>
                <w:noProof/>
                <w:webHidden/>
              </w:rPr>
              <w:fldChar w:fldCharType="end"/>
            </w:r>
          </w:hyperlink>
        </w:p>
        <w:p w14:paraId="6130A5BB" w14:textId="09684A55" w:rsidR="00855767" w:rsidRPr="00855767" w:rsidRDefault="00855767" w:rsidP="003941E5">
          <w:pPr>
            <w:pStyle w:val="TOC3"/>
            <w:tabs>
              <w:tab w:val="right" w:leader="dot" w:pos="9019"/>
            </w:tabs>
            <w:jc w:val="both"/>
            <w:rPr>
              <w:rFonts w:eastAsiaTheme="minorEastAsia"/>
              <w:noProof/>
              <w:kern w:val="2"/>
              <w:sz w:val="24"/>
              <w:szCs w:val="24"/>
              <w14:ligatures w14:val="standardContextual"/>
            </w:rPr>
          </w:pPr>
          <w:hyperlink w:anchor="_Toc194182188" w:history="1">
            <w:r w:rsidRPr="00855767">
              <w:rPr>
                <w:rStyle w:val="Hyperlink"/>
                <w:noProof/>
              </w:rPr>
              <w:t>3.1 Glycolysis &amp; the Warburg Effect</w:t>
            </w:r>
            <w:r w:rsidRPr="00855767">
              <w:rPr>
                <w:noProof/>
                <w:webHidden/>
              </w:rPr>
              <w:tab/>
            </w:r>
            <w:r w:rsidRPr="00855767">
              <w:rPr>
                <w:noProof/>
                <w:webHidden/>
              </w:rPr>
              <w:fldChar w:fldCharType="begin"/>
            </w:r>
            <w:r w:rsidRPr="00855767">
              <w:rPr>
                <w:noProof/>
                <w:webHidden/>
              </w:rPr>
              <w:instrText xml:space="preserve"> PAGEREF _Toc194182188 \h </w:instrText>
            </w:r>
            <w:r w:rsidRPr="00855767">
              <w:rPr>
                <w:noProof/>
                <w:webHidden/>
              </w:rPr>
            </w:r>
            <w:r w:rsidRPr="00855767">
              <w:rPr>
                <w:noProof/>
                <w:webHidden/>
              </w:rPr>
              <w:fldChar w:fldCharType="separate"/>
            </w:r>
            <w:r w:rsidRPr="00855767">
              <w:rPr>
                <w:noProof/>
                <w:webHidden/>
              </w:rPr>
              <w:t>7</w:t>
            </w:r>
            <w:r w:rsidRPr="00855767">
              <w:rPr>
                <w:noProof/>
                <w:webHidden/>
              </w:rPr>
              <w:fldChar w:fldCharType="end"/>
            </w:r>
          </w:hyperlink>
        </w:p>
        <w:p w14:paraId="2252F2A4" w14:textId="45C77218" w:rsidR="00855767" w:rsidRPr="00855767" w:rsidRDefault="00855767" w:rsidP="003941E5">
          <w:pPr>
            <w:pStyle w:val="TOC3"/>
            <w:tabs>
              <w:tab w:val="right" w:leader="dot" w:pos="9019"/>
            </w:tabs>
            <w:jc w:val="both"/>
            <w:rPr>
              <w:rFonts w:eastAsiaTheme="minorEastAsia"/>
              <w:noProof/>
              <w:kern w:val="2"/>
              <w:sz w:val="24"/>
              <w:szCs w:val="24"/>
              <w14:ligatures w14:val="standardContextual"/>
            </w:rPr>
          </w:pPr>
          <w:hyperlink w:anchor="_Toc194182189" w:history="1">
            <w:r w:rsidRPr="00855767">
              <w:rPr>
                <w:rStyle w:val="Hyperlink"/>
                <w:noProof/>
              </w:rPr>
              <w:t>3.2 Key Glycolytic Enzymes</w:t>
            </w:r>
            <w:r w:rsidRPr="00855767">
              <w:rPr>
                <w:noProof/>
                <w:webHidden/>
              </w:rPr>
              <w:tab/>
            </w:r>
            <w:r w:rsidRPr="00855767">
              <w:rPr>
                <w:noProof/>
                <w:webHidden/>
              </w:rPr>
              <w:fldChar w:fldCharType="begin"/>
            </w:r>
            <w:r w:rsidRPr="00855767">
              <w:rPr>
                <w:noProof/>
                <w:webHidden/>
              </w:rPr>
              <w:instrText xml:space="preserve"> PAGEREF _Toc194182189 \h </w:instrText>
            </w:r>
            <w:r w:rsidRPr="00855767">
              <w:rPr>
                <w:noProof/>
                <w:webHidden/>
              </w:rPr>
            </w:r>
            <w:r w:rsidRPr="00855767">
              <w:rPr>
                <w:noProof/>
                <w:webHidden/>
              </w:rPr>
              <w:fldChar w:fldCharType="separate"/>
            </w:r>
            <w:r w:rsidRPr="00855767">
              <w:rPr>
                <w:noProof/>
                <w:webHidden/>
              </w:rPr>
              <w:t>8</w:t>
            </w:r>
            <w:r w:rsidRPr="00855767">
              <w:rPr>
                <w:noProof/>
                <w:webHidden/>
              </w:rPr>
              <w:fldChar w:fldCharType="end"/>
            </w:r>
          </w:hyperlink>
        </w:p>
        <w:p w14:paraId="63335325" w14:textId="54FFF033" w:rsidR="00855767" w:rsidRPr="00855767" w:rsidRDefault="00855767" w:rsidP="003941E5">
          <w:pPr>
            <w:pStyle w:val="TOC3"/>
            <w:tabs>
              <w:tab w:val="right" w:leader="dot" w:pos="9019"/>
            </w:tabs>
            <w:jc w:val="both"/>
            <w:rPr>
              <w:rFonts w:eastAsiaTheme="minorEastAsia"/>
              <w:noProof/>
              <w:kern w:val="2"/>
              <w:sz w:val="24"/>
              <w:szCs w:val="24"/>
              <w14:ligatures w14:val="standardContextual"/>
            </w:rPr>
          </w:pPr>
          <w:hyperlink w:anchor="_Toc194182190" w:history="1">
            <w:r w:rsidRPr="00855767">
              <w:rPr>
                <w:rStyle w:val="Hyperlink"/>
                <w:noProof/>
              </w:rPr>
              <w:t>3.3 Mitochondrial Metabolism &amp; OXPHOS</w:t>
            </w:r>
            <w:r w:rsidRPr="00855767">
              <w:rPr>
                <w:noProof/>
                <w:webHidden/>
              </w:rPr>
              <w:tab/>
            </w:r>
            <w:r w:rsidRPr="00855767">
              <w:rPr>
                <w:noProof/>
                <w:webHidden/>
              </w:rPr>
              <w:fldChar w:fldCharType="begin"/>
            </w:r>
            <w:r w:rsidRPr="00855767">
              <w:rPr>
                <w:noProof/>
                <w:webHidden/>
              </w:rPr>
              <w:instrText xml:space="preserve"> PAGEREF _Toc194182190 \h </w:instrText>
            </w:r>
            <w:r w:rsidRPr="00855767">
              <w:rPr>
                <w:noProof/>
                <w:webHidden/>
              </w:rPr>
            </w:r>
            <w:r w:rsidRPr="00855767">
              <w:rPr>
                <w:noProof/>
                <w:webHidden/>
              </w:rPr>
              <w:fldChar w:fldCharType="separate"/>
            </w:r>
            <w:r w:rsidRPr="00855767">
              <w:rPr>
                <w:noProof/>
                <w:webHidden/>
              </w:rPr>
              <w:t>11</w:t>
            </w:r>
            <w:r w:rsidRPr="00855767">
              <w:rPr>
                <w:noProof/>
                <w:webHidden/>
              </w:rPr>
              <w:fldChar w:fldCharType="end"/>
            </w:r>
          </w:hyperlink>
        </w:p>
        <w:p w14:paraId="43099CEA" w14:textId="7F5CF206" w:rsidR="00855767" w:rsidRPr="00855767" w:rsidRDefault="00855767" w:rsidP="003941E5">
          <w:pPr>
            <w:pStyle w:val="TOC2"/>
            <w:tabs>
              <w:tab w:val="right" w:leader="dot" w:pos="9019"/>
            </w:tabs>
            <w:jc w:val="both"/>
            <w:rPr>
              <w:rFonts w:ascii="Arial" w:hAnsi="Arial" w:cs="Arial"/>
              <w:noProof/>
              <w:kern w:val="2"/>
              <w:sz w:val="24"/>
              <w:szCs w:val="24"/>
              <w14:ligatures w14:val="standardContextual"/>
            </w:rPr>
          </w:pPr>
          <w:hyperlink w:anchor="_Toc194182191" w:history="1">
            <w:r w:rsidRPr="00855767">
              <w:rPr>
                <w:rStyle w:val="Hyperlink"/>
                <w:rFonts w:ascii="Arial" w:hAnsi="Arial" w:cs="Arial"/>
                <w:noProof/>
              </w:rPr>
              <w:t>4. Treatment Landscape and Limitations</w:t>
            </w:r>
            <w:r w:rsidRPr="00855767">
              <w:rPr>
                <w:rFonts w:ascii="Arial" w:hAnsi="Arial" w:cs="Arial"/>
                <w:noProof/>
                <w:webHidden/>
              </w:rPr>
              <w:tab/>
            </w:r>
            <w:r w:rsidRPr="00855767">
              <w:rPr>
                <w:rFonts w:ascii="Arial" w:hAnsi="Arial" w:cs="Arial"/>
                <w:noProof/>
                <w:webHidden/>
              </w:rPr>
              <w:fldChar w:fldCharType="begin"/>
            </w:r>
            <w:r w:rsidRPr="00855767">
              <w:rPr>
                <w:rFonts w:ascii="Arial" w:hAnsi="Arial" w:cs="Arial"/>
                <w:noProof/>
                <w:webHidden/>
              </w:rPr>
              <w:instrText xml:space="preserve"> PAGEREF _Toc194182191 \h </w:instrText>
            </w:r>
            <w:r w:rsidRPr="00855767">
              <w:rPr>
                <w:rFonts w:ascii="Arial" w:hAnsi="Arial" w:cs="Arial"/>
                <w:noProof/>
                <w:webHidden/>
              </w:rPr>
            </w:r>
            <w:r w:rsidRPr="00855767">
              <w:rPr>
                <w:rFonts w:ascii="Arial" w:hAnsi="Arial" w:cs="Arial"/>
                <w:noProof/>
                <w:webHidden/>
              </w:rPr>
              <w:fldChar w:fldCharType="separate"/>
            </w:r>
            <w:r w:rsidRPr="00855767">
              <w:rPr>
                <w:rFonts w:ascii="Arial" w:hAnsi="Arial" w:cs="Arial"/>
                <w:noProof/>
                <w:webHidden/>
              </w:rPr>
              <w:t>13</w:t>
            </w:r>
            <w:r w:rsidRPr="00855767">
              <w:rPr>
                <w:rFonts w:ascii="Arial" w:hAnsi="Arial" w:cs="Arial"/>
                <w:noProof/>
                <w:webHidden/>
              </w:rPr>
              <w:fldChar w:fldCharType="end"/>
            </w:r>
          </w:hyperlink>
        </w:p>
        <w:p w14:paraId="62D59B1E" w14:textId="0C79321C" w:rsidR="00855767" w:rsidRPr="00855767" w:rsidRDefault="00855767" w:rsidP="003941E5">
          <w:pPr>
            <w:pStyle w:val="TOC3"/>
            <w:tabs>
              <w:tab w:val="right" w:leader="dot" w:pos="9019"/>
            </w:tabs>
            <w:jc w:val="both"/>
            <w:rPr>
              <w:rFonts w:eastAsiaTheme="minorEastAsia"/>
              <w:noProof/>
              <w:kern w:val="2"/>
              <w:sz w:val="24"/>
              <w:szCs w:val="24"/>
              <w14:ligatures w14:val="standardContextual"/>
            </w:rPr>
          </w:pPr>
          <w:hyperlink w:anchor="_Toc194182192" w:history="1">
            <w:r w:rsidRPr="00855767">
              <w:rPr>
                <w:rStyle w:val="Hyperlink"/>
                <w:noProof/>
              </w:rPr>
              <w:t>4.1 Current Conventional Therapies</w:t>
            </w:r>
            <w:r w:rsidRPr="00855767">
              <w:rPr>
                <w:noProof/>
                <w:webHidden/>
              </w:rPr>
              <w:tab/>
            </w:r>
            <w:r w:rsidRPr="00855767">
              <w:rPr>
                <w:noProof/>
                <w:webHidden/>
              </w:rPr>
              <w:fldChar w:fldCharType="begin"/>
            </w:r>
            <w:r w:rsidRPr="00855767">
              <w:rPr>
                <w:noProof/>
                <w:webHidden/>
              </w:rPr>
              <w:instrText xml:space="preserve"> PAGEREF _Toc194182192 \h </w:instrText>
            </w:r>
            <w:r w:rsidRPr="00855767">
              <w:rPr>
                <w:noProof/>
                <w:webHidden/>
              </w:rPr>
            </w:r>
            <w:r w:rsidRPr="00855767">
              <w:rPr>
                <w:noProof/>
                <w:webHidden/>
              </w:rPr>
              <w:fldChar w:fldCharType="separate"/>
            </w:r>
            <w:r w:rsidRPr="00855767">
              <w:rPr>
                <w:noProof/>
                <w:webHidden/>
              </w:rPr>
              <w:t>13</w:t>
            </w:r>
            <w:r w:rsidRPr="00855767">
              <w:rPr>
                <w:noProof/>
                <w:webHidden/>
              </w:rPr>
              <w:fldChar w:fldCharType="end"/>
            </w:r>
          </w:hyperlink>
        </w:p>
        <w:p w14:paraId="37ACAD22" w14:textId="68FC37EF" w:rsidR="00855767" w:rsidRPr="00855767" w:rsidRDefault="00855767" w:rsidP="003941E5">
          <w:pPr>
            <w:pStyle w:val="TOC3"/>
            <w:tabs>
              <w:tab w:val="right" w:leader="dot" w:pos="9019"/>
            </w:tabs>
            <w:jc w:val="both"/>
            <w:rPr>
              <w:rFonts w:eastAsiaTheme="minorEastAsia"/>
              <w:noProof/>
              <w:kern w:val="2"/>
              <w:sz w:val="24"/>
              <w:szCs w:val="24"/>
              <w14:ligatures w14:val="standardContextual"/>
            </w:rPr>
          </w:pPr>
          <w:hyperlink w:anchor="_Toc194182193" w:history="1">
            <w:r w:rsidRPr="00855767">
              <w:rPr>
                <w:rStyle w:val="Hyperlink"/>
                <w:noProof/>
              </w:rPr>
              <w:t>4.2 Chemotherapy-Induced Metabolic Shifts</w:t>
            </w:r>
            <w:r w:rsidRPr="00855767">
              <w:rPr>
                <w:noProof/>
                <w:webHidden/>
              </w:rPr>
              <w:tab/>
            </w:r>
            <w:r w:rsidRPr="00855767">
              <w:rPr>
                <w:noProof/>
                <w:webHidden/>
              </w:rPr>
              <w:fldChar w:fldCharType="begin"/>
            </w:r>
            <w:r w:rsidRPr="00855767">
              <w:rPr>
                <w:noProof/>
                <w:webHidden/>
              </w:rPr>
              <w:instrText xml:space="preserve"> PAGEREF _Toc194182193 \h </w:instrText>
            </w:r>
            <w:r w:rsidRPr="00855767">
              <w:rPr>
                <w:noProof/>
                <w:webHidden/>
              </w:rPr>
            </w:r>
            <w:r w:rsidRPr="00855767">
              <w:rPr>
                <w:noProof/>
                <w:webHidden/>
              </w:rPr>
              <w:fldChar w:fldCharType="separate"/>
            </w:r>
            <w:r w:rsidRPr="00855767">
              <w:rPr>
                <w:noProof/>
                <w:webHidden/>
              </w:rPr>
              <w:t>16</w:t>
            </w:r>
            <w:r w:rsidRPr="00855767">
              <w:rPr>
                <w:noProof/>
                <w:webHidden/>
              </w:rPr>
              <w:fldChar w:fldCharType="end"/>
            </w:r>
          </w:hyperlink>
        </w:p>
        <w:p w14:paraId="767AC604" w14:textId="049E5EEB" w:rsidR="00855767" w:rsidRPr="00855767" w:rsidRDefault="00855767" w:rsidP="003941E5">
          <w:pPr>
            <w:pStyle w:val="TOC2"/>
            <w:tabs>
              <w:tab w:val="right" w:leader="dot" w:pos="9019"/>
            </w:tabs>
            <w:jc w:val="both"/>
            <w:rPr>
              <w:rFonts w:ascii="Arial" w:hAnsi="Arial" w:cs="Arial"/>
              <w:noProof/>
              <w:kern w:val="2"/>
              <w:sz w:val="24"/>
              <w:szCs w:val="24"/>
              <w14:ligatures w14:val="standardContextual"/>
            </w:rPr>
          </w:pPr>
          <w:hyperlink w:anchor="_Toc194182194" w:history="1">
            <w:r w:rsidRPr="00855767">
              <w:rPr>
                <w:rStyle w:val="Hyperlink"/>
                <w:rFonts w:ascii="Arial" w:hAnsi="Arial" w:cs="Arial"/>
                <w:noProof/>
              </w:rPr>
              <w:t>5. Targeting Metabolism in PDAC: Current &amp; Emerging Approaches</w:t>
            </w:r>
            <w:r w:rsidRPr="00855767">
              <w:rPr>
                <w:rFonts w:ascii="Arial" w:hAnsi="Arial" w:cs="Arial"/>
                <w:noProof/>
                <w:webHidden/>
              </w:rPr>
              <w:tab/>
            </w:r>
            <w:r w:rsidRPr="00855767">
              <w:rPr>
                <w:rFonts w:ascii="Arial" w:hAnsi="Arial" w:cs="Arial"/>
                <w:noProof/>
                <w:webHidden/>
              </w:rPr>
              <w:fldChar w:fldCharType="begin"/>
            </w:r>
            <w:r w:rsidRPr="00855767">
              <w:rPr>
                <w:rFonts w:ascii="Arial" w:hAnsi="Arial" w:cs="Arial"/>
                <w:noProof/>
                <w:webHidden/>
              </w:rPr>
              <w:instrText xml:space="preserve"> PAGEREF _Toc194182194 \h </w:instrText>
            </w:r>
            <w:r w:rsidRPr="00855767">
              <w:rPr>
                <w:rFonts w:ascii="Arial" w:hAnsi="Arial" w:cs="Arial"/>
                <w:noProof/>
                <w:webHidden/>
              </w:rPr>
            </w:r>
            <w:r w:rsidRPr="00855767">
              <w:rPr>
                <w:rFonts w:ascii="Arial" w:hAnsi="Arial" w:cs="Arial"/>
                <w:noProof/>
                <w:webHidden/>
              </w:rPr>
              <w:fldChar w:fldCharType="separate"/>
            </w:r>
            <w:r w:rsidRPr="00855767">
              <w:rPr>
                <w:rFonts w:ascii="Arial" w:hAnsi="Arial" w:cs="Arial"/>
                <w:noProof/>
                <w:webHidden/>
              </w:rPr>
              <w:t>18</w:t>
            </w:r>
            <w:r w:rsidRPr="00855767">
              <w:rPr>
                <w:rFonts w:ascii="Arial" w:hAnsi="Arial" w:cs="Arial"/>
                <w:noProof/>
                <w:webHidden/>
              </w:rPr>
              <w:fldChar w:fldCharType="end"/>
            </w:r>
          </w:hyperlink>
        </w:p>
        <w:p w14:paraId="5F0B9165" w14:textId="7991F2F0" w:rsidR="00855767" w:rsidRPr="00855767" w:rsidRDefault="00855767" w:rsidP="003941E5">
          <w:pPr>
            <w:pStyle w:val="TOC3"/>
            <w:tabs>
              <w:tab w:val="right" w:leader="dot" w:pos="9019"/>
            </w:tabs>
            <w:jc w:val="both"/>
            <w:rPr>
              <w:rFonts w:eastAsiaTheme="minorEastAsia"/>
              <w:noProof/>
              <w:kern w:val="2"/>
              <w:sz w:val="24"/>
              <w:szCs w:val="24"/>
              <w14:ligatures w14:val="standardContextual"/>
            </w:rPr>
          </w:pPr>
          <w:hyperlink w:anchor="_Toc194182195" w:history="1">
            <w:r w:rsidRPr="00855767">
              <w:rPr>
                <w:rStyle w:val="Hyperlink"/>
                <w:noProof/>
              </w:rPr>
              <w:t>5.1 Pharmacological Inhibitors of Glycolysis and OXPHOS</w:t>
            </w:r>
            <w:r w:rsidRPr="00855767">
              <w:rPr>
                <w:noProof/>
                <w:webHidden/>
              </w:rPr>
              <w:tab/>
            </w:r>
            <w:r w:rsidRPr="00855767">
              <w:rPr>
                <w:noProof/>
                <w:webHidden/>
              </w:rPr>
              <w:fldChar w:fldCharType="begin"/>
            </w:r>
            <w:r w:rsidRPr="00855767">
              <w:rPr>
                <w:noProof/>
                <w:webHidden/>
              </w:rPr>
              <w:instrText xml:space="preserve"> PAGEREF _Toc194182195 \h </w:instrText>
            </w:r>
            <w:r w:rsidRPr="00855767">
              <w:rPr>
                <w:noProof/>
                <w:webHidden/>
              </w:rPr>
            </w:r>
            <w:r w:rsidRPr="00855767">
              <w:rPr>
                <w:noProof/>
                <w:webHidden/>
              </w:rPr>
              <w:fldChar w:fldCharType="separate"/>
            </w:r>
            <w:r w:rsidRPr="00855767">
              <w:rPr>
                <w:noProof/>
                <w:webHidden/>
              </w:rPr>
              <w:t>18</w:t>
            </w:r>
            <w:r w:rsidRPr="00855767">
              <w:rPr>
                <w:noProof/>
                <w:webHidden/>
              </w:rPr>
              <w:fldChar w:fldCharType="end"/>
            </w:r>
          </w:hyperlink>
        </w:p>
        <w:p w14:paraId="59D5B8F7" w14:textId="4C500CDA" w:rsidR="00855767" w:rsidRPr="00855767" w:rsidRDefault="00855767" w:rsidP="003941E5">
          <w:pPr>
            <w:pStyle w:val="TOC3"/>
            <w:tabs>
              <w:tab w:val="right" w:leader="dot" w:pos="9019"/>
            </w:tabs>
            <w:jc w:val="both"/>
            <w:rPr>
              <w:rFonts w:eastAsiaTheme="minorEastAsia"/>
              <w:noProof/>
              <w:kern w:val="2"/>
              <w:sz w:val="24"/>
              <w:szCs w:val="24"/>
              <w14:ligatures w14:val="standardContextual"/>
            </w:rPr>
          </w:pPr>
          <w:hyperlink w:anchor="_Toc194182196" w:history="1">
            <w:r w:rsidRPr="00855767">
              <w:rPr>
                <w:rStyle w:val="Hyperlink"/>
                <w:noProof/>
              </w:rPr>
              <w:t>5.2 CRISPR-Based Metabolic Gene Editing</w:t>
            </w:r>
            <w:r w:rsidRPr="00855767">
              <w:rPr>
                <w:noProof/>
                <w:webHidden/>
              </w:rPr>
              <w:tab/>
            </w:r>
            <w:r w:rsidRPr="00855767">
              <w:rPr>
                <w:noProof/>
                <w:webHidden/>
              </w:rPr>
              <w:fldChar w:fldCharType="begin"/>
            </w:r>
            <w:r w:rsidRPr="00855767">
              <w:rPr>
                <w:noProof/>
                <w:webHidden/>
              </w:rPr>
              <w:instrText xml:space="preserve"> PAGEREF _Toc194182196 \h </w:instrText>
            </w:r>
            <w:r w:rsidRPr="00855767">
              <w:rPr>
                <w:noProof/>
                <w:webHidden/>
              </w:rPr>
            </w:r>
            <w:r w:rsidRPr="00855767">
              <w:rPr>
                <w:noProof/>
                <w:webHidden/>
              </w:rPr>
              <w:fldChar w:fldCharType="separate"/>
            </w:r>
            <w:r w:rsidRPr="00855767">
              <w:rPr>
                <w:noProof/>
                <w:webHidden/>
              </w:rPr>
              <w:t>24</w:t>
            </w:r>
            <w:r w:rsidRPr="00855767">
              <w:rPr>
                <w:noProof/>
                <w:webHidden/>
              </w:rPr>
              <w:fldChar w:fldCharType="end"/>
            </w:r>
          </w:hyperlink>
        </w:p>
        <w:p w14:paraId="7725BD6F" w14:textId="5E4856E3" w:rsidR="00855767" w:rsidRPr="00855767" w:rsidRDefault="00855767" w:rsidP="003941E5">
          <w:pPr>
            <w:pStyle w:val="TOC2"/>
            <w:tabs>
              <w:tab w:val="right" w:leader="dot" w:pos="9019"/>
            </w:tabs>
            <w:jc w:val="both"/>
            <w:rPr>
              <w:rFonts w:ascii="Arial" w:hAnsi="Arial" w:cs="Arial"/>
              <w:noProof/>
              <w:kern w:val="2"/>
              <w:sz w:val="24"/>
              <w:szCs w:val="24"/>
              <w14:ligatures w14:val="standardContextual"/>
            </w:rPr>
          </w:pPr>
          <w:hyperlink w:anchor="_Toc194182197" w:history="1">
            <w:r w:rsidRPr="00855767">
              <w:rPr>
                <w:rStyle w:val="Hyperlink"/>
                <w:rFonts w:ascii="Arial" w:hAnsi="Arial" w:cs="Arial"/>
                <w:noProof/>
              </w:rPr>
              <w:t>6. Discussion</w:t>
            </w:r>
            <w:r w:rsidRPr="00855767">
              <w:rPr>
                <w:rFonts w:ascii="Arial" w:hAnsi="Arial" w:cs="Arial"/>
                <w:noProof/>
                <w:webHidden/>
              </w:rPr>
              <w:tab/>
            </w:r>
            <w:r w:rsidRPr="00855767">
              <w:rPr>
                <w:rFonts w:ascii="Arial" w:hAnsi="Arial" w:cs="Arial"/>
                <w:noProof/>
                <w:webHidden/>
              </w:rPr>
              <w:fldChar w:fldCharType="begin"/>
            </w:r>
            <w:r w:rsidRPr="00855767">
              <w:rPr>
                <w:rFonts w:ascii="Arial" w:hAnsi="Arial" w:cs="Arial"/>
                <w:noProof/>
                <w:webHidden/>
              </w:rPr>
              <w:instrText xml:space="preserve"> PAGEREF _Toc194182197 \h </w:instrText>
            </w:r>
            <w:r w:rsidRPr="00855767">
              <w:rPr>
                <w:rFonts w:ascii="Arial" w:hAnsi="Arial" w:cs="Arial"/>
                <w:noProof/>
                <w:webHidden/>
              </w:rPr>
            </w:r>
            <w:r w:rsidRPr="00855767">
              <w:rPr>
                <w:rFonts w:ascii="Arial" w:hAnsi="Arial" w:cs="Arial"/>
                <w:noProof/>
                <w:webHidden/>
              </w:rPr>
              <w:fldChar w:fldCharType="separate"/>
            </w:r>
            <w:r w:rsidRPr="00855767">
              <w:rPr>
                <w:rFonts w:ascii="Arial" w:hAnsi="Arial" w:cs="Arial"/>
                <w:noProof/>
                <w:webHidden/>
              </w:rPr>
              <w:t>28</w:t>
            </w:r>
            <w:r w:rsidRPr="00855767">
              <w:rPr>
                <w:rFonts w:ascii="Arial" w:hAnsi="Arial" w:cs="Arial"/>
                <w:noProof/>
                <w:webHidden/>
              </w:rPr>
              <w:fldChar w:fldCharType="end"/>
            </w:r>
          </w:hyperlink>
        </w:p>
        <w:p w14:paraId="7DE14621" w14:textId="47061522" w:rsidR="00855767" w:rsidRPr="00855767" w:rsidRDefault="00855767" w:rsidP="003941E5">
          <w:pPr>
            <w:pStyle w:val="TOC2"/>
            <w:tabs>
              <w:tab w:val="right" w:leader="dot" w:pos="9019"/>
            </w:tabs>
            <w:jc w:val="both"/>
            <w:rPr>
              <w:rFonts w:ascii="Arial" w:hAnsi="Arial" w:cs="Arial"/>
              <w:noProof/>
              <w:kern w:val="2"/>
              <w:sz w:val="24"/>
              <w:szCs w:val="24"/>
              <w14:ligatures w14:val="standardContextual"/>
            </w:rPr>
          </w:pPr>
          <w:hyperlink w:anchor="_Toc194182198" w:history="1">
            <w:r w:rsidRPr="00855767">
              <w:rPr>
                <w:rStyle w:val="Hyperlink"/>
                <w:rFonts w:ascii="Arial" w:hAnsi="Arial" w:cs="Arial"/>
                <w:noProof/>
              </w:rPr>
              <w:t>7. Conclusion</w:t>
            </w:r>
            <w:r w:rsidRPr="00855767">
              <w:rPr>
                <w:rFonts w:ascii="Arial" w:hAnsi="Arial" w:cs="Arial"/>
                <w:noProof/>
                <w:webHidden/>
              </w:rPr>
              <w:tab/>
            </w:r>
            <w:r w:rsidRPr="00855767">
              <w:rPr>
                <w:rFonts w:ascii="Arial" w:hAnsi="Arial" w:cs="Arial"/>
                <w:noProof/>
                <w:webHidden/>
              </w:rPr>
              <w:fldChar w:fldCharType="begin"/>
            </w:r>
            <w:r w:rsidRPr="00855767">
              <w:rPr>
                <w:rFonts w:ascii="Arial" w:hAnsi="Arial" w:cs="Arial"/>
                <w:noProof/>
                <w:webHidden/>
              </w:rPr>
              <w:instrText xml:space="preserve"> PAGEREF _Toc194182198 \h </w:instrText>
            </w:r>
            <w:r w:rsidRPr="00855767">
              <w:rPr>
                <w:rFonts w:ascii="Arial" w:hAnsi="Arial" w:cs="Arial"/>
                <w:noProof/>
                <w:webHidden/>
              </w:rPr>
            </w:r>
            <w:r w:rsidRPr="00855767">
              <w:rPr>
                <w:rFonts w:ascii="Arial" w:hAnsi="Arial" w:cs="Arial"/>
                <w:noProof/>
                <w:webHidden/>
              </w:rPr>
              <w:fldChar w:fldCharType="separate"/>
            </w:r>
            <w:r w:rsidRPr="00855767">
              <w:rPr>
                <w:rFonts w:ascii="Arial" w:hAnsi="Arial" w:cs="Arial"/>
                <w:noProof/>
                <w:webHidden/>
              </w:rPr>
              <w:t>29</w:t>
            </w:r>
            <w:r w:rsidRPr="00855767">
              <w:rPr>
                <w:rFonts w:ascii="Arial" w:hAnsi="Arial" w:cs="Arial"/>
                <w:noProof/>
                <w:webHidden/>
              </w:rPr>
              <w:fldChar w:fldCharType="end"/>
            </w:r>
          </w:hyperlink>
        </w:p>
        <w:p w14:paraId="464C551A" w14:textId="0E8DCB60" w:rsidR="00855767" w:rsidRPr="00855767" w:rsidRDefault="00855767" w:rsidP="003941E5">
          <w:pPr>
            <w:pStyle w:val="TOC2"/>
            <w:tabs>
              <w:tab w:val="right" w:leader="dot" w:pos="9019"/>
            </w:tabs>
            <w:jc w:val="both"/>
            <w:rPr>
              <w:rFonts w:ascii="Arial" w:hAnsi="Arial" w:cs="Arial"/>
              <w:noProof/>
              <w:kern w:val="2"/>
              <w:sz w:val="24"/>
              <w:szCs w:val="24"/>
              <w14:ligatures w14:val="standardContextual"/>
            </w:rPr>
          </w:pPr>
          <w:hyperlink w:anchor="_Toc194182199" w:history="1">
            <w:r w:rsidRPr="00855767">
              <w:rPr>
                <w:rStyle w:val="Hyperlink"/>
                <w:rFonts w:ascii="Arial" w:hAnsi="Arial" w:cs="Arial"/>
                <w:noProof/>
              </w:rPr>
              <w:t>8. Acknowledgements</w:t>
            </w:r>
            <w:r w:rsidRPr="00855767">
              <w:rPr>
                <w:rFonts w:ascii="Arial" w:hAnsi="Arial" w:cs="Arial"/>
                <w:noProof/>
                <w:webHidden/>
              </w:rPr>
              <w:tab/>
            </w:r>
            <w:r w:rsidRPr="00855767">
              <w:rPr>
                <w:rFonts w:ascii="Arial" w:hAnsi="Arial" w:cs="Arial"/>
                <w:noProof/>
                <w:webHidden/>
              </w:rPr>
              <w:fldChar w:fldCharType="begin"/>
            </w:r>
            <w:r w:rsidRPr="00855767">
              <w:rPr>
                <w:rFonts w:ascii="Arial" w:hAnsi="Arial" w:cs="Arial"/>
                <w:noProof/>
                <w:webHidden/>
              </w:rPr>
              <w:instrText xml:space="preserve"> PAGEREF _Toc194182199 \h </w:instrText>
            </w:r>
            <w:r w:rsidRPr="00855767">
              <w:rPr>
                <w:rFonts w:ascii="Arial" w:hAnsi="Arial" w:cs="Arial"/>
                <w:noProof/>
                <w:webHidden/>
              </w:rPr>
            </w:r>
            <w:r w:rsidRPr="00855767">
              <w:rPr>
                <w:rFonts w:ascii="Arial" w:hAnsi="Arial" w:cs="Arial"/>
                <w:noProof/>
                <w:webHidden/>
              </w:rPr>
              <w:fldChar w:fldCharType="separate"/>
            </w:r>
            <w:r w:rsidRPr="00855767">
              <w:rPr>
                <w:rFonts w:ascii="Arial" w:hAnsi="Arial" w:cs="Arial"/>
                <w:noProof/>
                <w:webHidden/>
              </w:rPr>
              <w:t>29</w:t>
            </w:r>
            <w:r w:rsidRPr="00855767">
              <w:rPr>
                <w:rFonts w:ascii="Arial" w:hAnsi="Arial" w:cs="Arial"/>
                <w:noProof/>
                <w:webHidden/>
              </w:rPr>
              <w:fldChar w:fldCharType="end"/>
            </w:r>
          </w:hyperlink>
        </w:p>
        <w:p w14:paraId="79699CAF" w14:textId="56DA75BC" w:rsidR="00855767" w:rsidRPr="00855767" w:rsidRDefault="00855767" w:rsidP="003941E5">
          <w:pPr>
            <w:pStyle w:val="TOC2"/>
            <w:tabs>
              <w:tab w:val="right" w:leader="dot" w:pos="9019"/>
            </w:tabs>
            <w:jc w:val="both"/>
            <w:rPr>
              <w:rFonts w:ascii="Arial" w:hAnsi="Arial" w:cs="Arial"/>
              <w:noProof/>
              <w:kern w:val="2"/>
              <w:sz w:val="24"/>
              <w:szCs w:val="24"/>
              <w14:ligatures w14:val="standardContextual"/>
            </w:rPr>
          </w:pPr>
          <w:hyperlink w:anchor="_Toc194182200" w:history="1">
            <w:r w:rsidRPr="00855767">
              <w:rPr>
                <w:rStyle w:val="Hyperlink"/>
                <w:rFonts w:ascii="Arial" w:hAnsi="Arial" w:cs="Arial"/>
                <w:noProof/>
              </w:rPr>
              <w:t>9. References</w:t>
            </w:r>
            <w:r w:rsidRPr="00855767">
              <w:rPr>
                <w:rFonts w:ascii="Arial" w:hAnsi="Arial" w:cs="Arial"/>
                <w:noProof/>
                <w:webHidden/>
              </w:rPr>
              <w:tab/>
            </w:r>
            <w:r w:rsidRPr="00855767">
              <w:rPr>
                <w:rFonts w:ascii="Arial" w:hAnsi="Arial" w:cs="Arial"/>
                <w:noProof/>
                <w:webHidden/>
              </w:rPr>
              <w:fldChar w:fldCharType="begin"/>
            </w:r>
            <w:r w:rsidRPr="00855767">
              <w:rPr>
                <w:rFonts w:ascii="Arial" w:hAnsi="Arial" w:cs="Arial"/>
                <w:noProof/>
                <w:webHidden/>
              </w:rPr>
              <w:instrText xml:space="preserve"> PAGEREF _Toc194182200 \h </w:instrText>
            </w:r>
            <w:r w:rsidRPr="00855767">
              <w:rPr>
                <w:rFonts w:ascii="Arial" w:hAnsi="Arial" w:cs="Arial"/>
                <w:noProof/>
                <w:webHidden/>
              </w:rPr>
            </w:r>
            <w:r w:rsidRPr="00855767">
              <w:rPr>
                <w:rFonts w:ascii="Arial" w:hAnsi="Arial" w:cs="Arial"/>
                <w:noProof/>
                <w:webHidden/>
              </w:rPr>
              <w:fldChar w:fldCharType="separate"/>
            </w:r>
            <w:r w:rsidRPr="00855767">
              <w:rPr>
                <w:rFonts w:ascii="Arial" w:hAnsi="Arial" w:cs="Arial"/>
                <w:noProof/>
                <w:webHidden/>
              </w:rPr>
              <w:t>30</w:t>
            </w:r>
            <w:r w:rsidRPr="00855767">
              <w:rPr>
                <w:rFonts w:ascii="Arial" w:hAnsi="Arial" w:cs="Arial"/>
                <w:noProof/>
                <w:webHidden/>
              </w:rPr>
              <w:fldChar w:fldCharType="end"/>
            </w:r>
          </w:hyperlink>
        </w:p>
        <w:p w14:paraId="2FD8E37C" w14:textId="77777777" w:rsidR="00855767" w:rsidRDefault="00855767" w:rsidP="003941E5">
          <w:pPr>
            <w:jc w:val="both"/>
            <w:rPr>
              <w:b/>
              <w:bCs/>
            </w:rPr>
            <w:sectPr w:rsidR="00855767" w:rsidSect="00855767">
              <w:footerReference w:type="first" r:id="rId11"/>
              <w:pgSz w:w="11909" w:h="16834"/>
              <w:pgMar w:top="1440" w:right="1440" w:bottom="1440" w:left="1440" w:header="720" w:footer="720" w:gutter="0"/>
              <w:pgNumType w:start="0"/>
              <w:cols w:space="720"/>
              <w:titlePg/>
              <w:docGrid w:linePitch="299"/>
            </w:sectPr>
          </w:pPr>
          <w:r w:rsidRPr="00855767">
            <w:rPr>
              <w:b/>
              <w:bCs/>
            </w:rPr>
            <w:fldChar w:fldCharType="end"/>
          </w:r>
        </w:p>
        <w:p w14:paraId="58AC3D51" w14:textId="15E386EA" w:rsidR="00855767" w:rsidRDefault="00A8482B" w:rsidP="003941E5">
          <w:pPr>
            <w:jc w:val="both"/>
          </w:pPr>
        </w:p>
      </w:sdtContent>
    </w:sdt>
    <w:p w14:paraId="2ABC2A4B" w14:textId="4EF1D4E9" w:rsidR="00855767" w:rsidRPr="00855767" w:rsidRDefault="00855767" w:rsidP="003941E5">
      <w:pPr>
        <w:pStyle w:val="Heading1"/>
        <w:spacing w:line="360" w:lineRule="auto"/>
        <w:jc w:val="both"/>
        <w:rPr>
          <w:rFonts w:cs="Arial"/>
          <w:sz w:val="22"/>
          <w:szCs w:val="22"/>
        </w:rPr>
      </w:pPr>
      <w:bookmarkStart w:id="2" w:name="_Toc194182181"/>
      <w:r w:rsidRPr="00855767">
        <w:rPr>
          <w:rFonts w:cs="Arial"/>
          <w:sz w:val="22"/>
          <w:szCs w:val="22"/>
        </w:rPr>
        <w:t>Targeting Metabolic Plasticity in PDAC: A Dual Approach Using Glycolytic Inhibitors and CRISPR-Cas9-Mediated OXPHOS Disruption to Overcome Therapeutic Resistance</w:t>
      </w:r>
      <w:bookmarkEnd w:id="1"/>
      <w:bookmarkEnd w:id="0"/>
      <w:bookmarkEnd w:id="2"/>
    </w:p>
    <w:p w14:paraId="0FAF521F" w14:textId="77777777" w:rsidR="00855767" w:rsidRPr="00855767" w:rsidRDefault="00855767" w:rsidP="003941E5">
      <w:pPr>
        <w:spacing w:line="360" w:lineRule="auto"/>
        <w:jc w:val="both"/>
      </w:pPr>
    </w:p>
    <w:p w14:paraId="53EE1EB1" w14:textId="3D64736A" w:rsidR="00855767" w:rsidRPr="00855767" w:rsidRDefault="00855767" w:rsidP="003941E5">
      <w:pPr>
        <w:pStyle w:val="Heading2"/>
        <w:spacing w:line="360" w:lineRule="auto"/>
        <w:jc w:val="both"/>
        <w:rPr>
          <w:rFonts w:ascii="Arial" w:hAnsi="Arial" w:cs="Arial"/>
          <w:sz w:val="22"/>
          <w:szCs w:val="22"/>
        </w:rPr>
      </w:pPr>
      <w:bookmarkStart w:id="3" w:name="_d80toxmw7ut3" w:colFirst="0" w:colLast="0"/>
      <w:bookmarkStart w:id="4" w:name="_Toc194120293"/>
      <w:bookmarkStart w:id="5" w:name="_Toc194180664"/>
      <w:bookmarkStart w:id="6" w:name="_Toc194182182"/>
      <w:bookmarkEnd w:id="3"/>
      <w:r w:rsidRPr="00855767">
        <w:rPr>
          <w:rFonts w:ascii="Arial" w:hAnsi="Arial" w:cs="Arial"/>
          <w:sz w:val="22"/>
          <w:szCs w:val="22"/>
        </w:rPr>
        <w:t xml:space="preserve">1. </w:t>
      </w:r>
      <w:bookmarkEnd w:id="4"/>
      <w:bookmarkEnd w:id="5"/>
      <w:bookmarkEnd w:id="6"/>
      <w:r w:rsidR="00E36595" w:rsidRPr="00855767">
        <w:rPr>
          <w:rFonts w:ascii="Arial" w:hAnsi="Arial" w:cs="Arial"/>
          <w:sz w:val="22"/>
          <w:szCs w:val="22"/>
        </w:rPr>
        <w:t>Intr</w:t>
      </w:r>
      <w:r w:rsidR="00E36595" w:rsidRPr="00855767">
        <w:rPr>
          <w:rStyle w:val="Style1Char"/>
          <w:rFonts w:eastAsiaTheme="majorEastAsia"/>
          <w:b/>
          <w:color w:val="auto"/>
          <w:sz w:val="22"/>
          <w:szCs w:val="22"/>
        </w:rPr>
        <w:t>oduction</w:t>
      </w:r>
      <w:r w:rsidR="00E36595">
        <w:rPr>
          <w:rStyle w:val="Style1Char"/>
          <w:rFonts w:eastAsiaTheme="majorEastAsia"/>
          <w:b/>
          <w:color w:val="auto"/>
          <w:sz w:val="22"/>
          <w:szCs w:val="22"/>
        </w:rPr>
        <w:t xml:space="preserve"> (</w:t>
      </w:r>
      <w:r w:rsidR="002142BA">
        <w:rPr>
          <w:rStyle w:val="Style1Char"/>
          <w:rFonts w:eastAsiaTheme="majorEastAsia"/>
          <w:b/>
          <w:color w:val="auto"/>
          <w:sz w:val="22"/>
          <w:szCs w:val="22"/>
        </w:rPr>
        <w:t>323)</w:t>
      </w:r>
    </w:p>
    <w:p w14:paraId="711C4550" w14:textId="5B80494C" w:rsidR="00855767" w:rsidRDefault="00855767" w:rsidP="003941E5">
      <w:pPr>
        <w:spacing w:line="360" w:lineRule="auto"/>
        <w:jc w:val="both"/>
      </w:pPr>
      <w:bookmarkStart w:id="7" w:name="_Hlk194339346"/>
      <w:r w:rsidRPr="00855767">
        <w:t xml:space="preserve">Pancreatic </w:t>
      </w:r>
      <w:r w:rsidR="00BD1805" w:rsidRPr="00855767">
        <w:t xml:space="preserve">cancer </w:t>
      </w:r>
      <w:r w:rsidR="00BD1805">
        <w:t xml:space="preserve">encompasses </w:t>
      </w:r>
      <w:r w:rsidRPr="00855767">
        <w:t xml:space="preserve">a group of malignancies that </w:t>
      </w:r>
      <w:r w:rsidR="003E62FA">
        <w:t xml:space="preserve">originate within the </w:t>
      </w:r>
      <w:r w:rsidRPr="00855767">
        <w:t>pancreas</w:t>
      </w:r>
      <w:r w:rsidR="00BD1805">
        <w:t>, an organ critical for both digestive enzyme production and glucose regulation. Among these, pancreatic ductal adenocarcinoma (PDAC) stands out as the most aggressive and prevalent subtype, accounting for 90</w:t>
      </w:r>
      <w:r w:rsidR="00D4759A">
        <w:t xml:space="preserve">% of all cases. </w:t>
      </w:r>
      <w:r w:rsidRPr="00855767">
        <w:t>Tumours in this organ often remain asymptomatic until they reach advanced stages,</w:t>
      </w:r>
      <w:r w:rsidR="00D4759A">
        <w:t xml:space="preserve"> resulting in diagnosis at an advanced stage where curative options are limited</w:t>
      </w:r>
      <w:r w:rsidRPr="00855767">
        <w:t xml:space="preserve">. </w:t>
      </w:r>
      <w:r w:rsidR="00C406E5">
        <w:t>Consequently, PDAC has one of the poorest prognos</w:t>
      </w:r>
      <w:r w:rsidR="00F71CC2">
        <w:t>e</w:t>
      </w:r>
      <w:r w:rsidR="00C406E5">
        <w:t xml:space="preserve">s with a </w:t>
      </w:r>
      <w:r w:rsidR="002142BA">
        <w:t>five-year</w:t>
      </w:r>
      <w:r w:rsidR="00C406E5">
        <w:t xml:space="preserve"> survival rate below 10% and </w:t>
      </w:r>
      <w:r w:rsidR="009D7E01">
        <w:t xml:space="preserve">projections estimating it will become </w:t>
      </w:r>
      <w:r w:rsidRPr="00855767">
        <w:t>the second leading cause of cancer-related deaths by 2030</w:t>
      </w:r>
      <w:r w:rsidR="009D7E01">
        <w:t xml:space="preserve"> </w:t>
      </w:r>
      <w:bookmarkEnd w:id="7"/>
      <w:r w:rsidRPr="00855767">
        <w:t>(</w:t>
      </w:r>
      <w:r w:rsidR="009D7E01" w:rsidRPr="00855767">
        <w:t>Vasseur et al.,</w:t>
      </w:r>
      <w:r w:rsidR="009D7E01">
        <w:t xml:space="preserve"> </w:t>
      </w:r>
      <w:r w:rsidR="009D7E01" w:rsidRPr="00855767">
        <w:t>2010</w:t>
      </w:r>
      <w:r w:rsidR="009D7E01">
        <w:t xml:space="preserve">; </w:t>
      </w:r>
      <w:r w:rsidRPr="00855767">
        <w:t>Zhang et al., 2023).</w:t>
      </w:r>
    </w:p>
    <w:p w14:paraId="649C062C" w14:textId="04854B1B" w:rsidR="00855767" w:rsidRPr="00855767" w:rsidRDefault="0088767D" w:rsidP="003941E5">
      <w:pPr>
        <w:spacing w:line="360" w:lineRule="auto"/>
        <w:jc w:val="both"/>
      </w:pPr>
      <w:bookmarkStart w:id="8" w:name="_Hlk194339365"/>
      <w:r>
        <w:t xml:space="preserve">The adverse outcomes associated with PDAC stem not only from late detection and rapid metastasis </w:t>
      </w:r>
      <w:r w:rsidR="001064D2">
        <w:t xml:space="preserve">but also </w:t>
      </w:r>
      <w:r w:rsidR="00855767" w:rsidRPr="00855767">
        <w:t xml:space="preserve">tumour’s ability to </w:t>
      </w:r>
      <w:r w:rsidR="001064D2">
        <w:t xml:space="preserve">switch between metabolic pathways such as </w:t>
      </w:r>
      <w:r w:rsidR="001064D2" w:rsidRPr="00855767">
        <w:t>glycolysis and oxidative phosphorylation (OXPHOS)</w:t>
      </w:r>
      <w:r w:rsidR="001064D2">
        <w:t xml:space="preserve"> </w:t>
      </w:r>
      <w:r w:rsidR="00855767" w:rsidRPr="00855767">
        <w:t>in response to environmental and therapeutic stress</w:t>
      </w:r>
      <w:r w:rsidR="001064D2">
        <w:t xml:space="preserve">. </w:t>
      </w:r>
      <w:r w:rsidR="00855767" w:rsidRPr="00855767">
        <w:t xml:space="preserve">This </w:t>
      </w:r>
      <w:r w:rsidR="00A20A35">
        <w:t xml:space="preserve">metabolic flexibility enables tumour cells to maintain energy homeostasis under adverse conditions, including hypoxia </w:t>
      </w:r>
      <w:r w:rsidR="00674949">
        <w:t>or nutrient deprivation, thereby regulating survival and continued proliferation.</w:t>
      </w:r>
    </w:p>
    <w:p w14:paraId="50A5A66B" w14:textId="4FD3A562" w:rsidR="00855767" w:rsidRDefault="00855767" w:rsidP="003941E5">
      <w:pPr>
        <w:spacing w:line="360" w:lineRule="auto"/>
        <w:jc w:val="both"/>
      </w:pPr>
      <w:r w:rsidRPr="00855767">
        <w:t xml:space="preserve">Although standard treatments, such as chemotherapy, have improved short-term outcomes, </w:t>
      </w:r>
      <w:r w:rsidR="00C45498">
        <w:t>emergence of resistance limits their long-term efficacy</w:t>
      </w:r>
      <w:r w:rsidRPr="00855767">
        <w:t>, necessitating the development of alternative strategies</w:t>
      </w:r>
      <w:r w:rsidR="004331C0">
        <w:t xml:space="preserve">. This has led to increased interest in therapeutic strategies </w:t>
      </w:r>
      <w:r w:rsidR="00072715">
        <w:t xml:space="preserve">that </w:t>
      </w:r>
      <w:r w:rsidR="00AA5514">
        <w:t>co-target metabolic pathways to prevent compensation.</w:t>
      </w:r>
      <w:r w:rsidR="00072715">
        <w:t xml:space="preserve"> In this context, a promising approach includes the simultaneous inhibition of glycolysis and OXPHOS</w:t>
      </w:r>
      <w:r w:rsidR="00B35624">
        <w:t xml:space="preserve">. </w:t>
      </w:r>
    </w:p>
    <w:p w14:paraId="15749B94" w14:textId="2043C22A" w:rsidR="00B35624" w:rsidRPr="00855767" w:rsidRDefault="00B35624" w:rsidP="003941E5">
      <w:pPr>
        <w:spacing w:line="360" w:lineRule="auto"/>
        <w:jc w:val="both"/>
      </w:pPr>
      <w:r>
        <w:t>Recent advancement</w:t>
      </w:r>
      <w:r w:rsidR="00F71CC2">
        <w:t>s</w:t>
      </w:r>
      <w:r>
        <w:t xml:space="preserve"> in g</w:t>
      </w:r>
      <w:r w:rsidRPr="00855767">
        <w:t>ene editing technologies</w:t>
      </w:r>
      <w:r>
        <w:t xml:space="preserve"> particularly </w:t>
      </w:r>
      <w:r w:rsidR="00314838">
        <w:t>CRISPR</w:t>
      </w:r>
      <w:r w:rsidRPr="00855767">
        <w:t xml:space="preserve"> -Cas9, offer promising solutions for modulating key metabolic pathways</w:t>
      </w:r>
      <w:r w:rsidR="00E8500C">
        <w:t xml:space="preserve">, </w:t>
      </w:r>
      <w:r w:rsidR="00314838">
        <w:t xml:space="preserve">enabling a precise disruption of key components of OXPHOS pathways. By combining </w:t>
      </w:r>
      <w:r w:rsidR="005A7292">
        <w:t xml:space="preserve">inhibitors of glycolysis, researchers aim to target dual strategies </w:t>
      </w:r>
      <w:r w:rsidR="00D420ED">
        <w:t>simultaneously to attac</w:t>
      </w:r>
      <w:r w:rsidR="00FE3498">
        <w:t>k</w:t>
      </w:r>
      <w:r w:rsidR="00D420ED">
        <w:t xml:space="preserve"> on tumour metabolism.</w:t>
      </w:r>
    </w:p>
    <w:p w14:paraId="7DEE27F1" w14:textId="0F0DC3C3" w:rsidR="00855767" w:rsidRPr="00855767" w:rsidRDefault="00855767" w:rsidP="003941E5">
      <w:pPr>
        <w:spacing w:line="360" w:lineRule="auto"/>
        <w:jc w:val="both"/>
      </w:pPr>
      <w:r w:rsidRPr="00855767">
        <w:t>This dissertation explores a dual-targeting strategy that combines pharmacological inhibitors of glycolysis and CRISPR-Cas9-mediated disruption of mitochondrial metabolism. This study aims to evaluate whether this combined approach can effectively disrupt metabolic plasticity and enhance therapeutic outcomes. The following chapters will first provide an overview of PDAC biology, metabolic basis of resistance</w:t>
      </w:r>
      <w:r w:rsidR="00CE3960">
        <w:t xml:space="preserve"> and </w:t>
      </w:r>
      <w:r w:rsidR="00CE3960" w:rsidRPr="00855767">
        <w:t xml:space="preserve">current treatment limitations </w:t>
      </w:r>
      <w:r w:rsidRPr="00855767">
        <w:t>before exploring the therapeutic potential of this combined intervention.</w:t>
      </w:r>
    </w:p>
    <w:bookmarkEnd w:id="8"/>
    <w:p w14:paraId="347F36EC" w14:textId="77777777" w:rsidR="00855767" w:rsidRPr="00855767" w:rsidRDefault="00855767" w:rsidP="003941E5">
      <w:pPr>
        <w:spacing w:before="240" w:after="240" w:line="360" w:lineRule="auto"/>
        <w:jc w:val="both"/>
      </w:pPr>
    </w:p>
    <w:p w14:paraId="0F6AC4A5" w14:textId="77777777" w:rsidR="00855767" w:rsidRPr="00855767" w:rsidRDefault="00855767" w:rsidP="003941E5">
      <w:pPr>
        <w:pStyle w:val="Heading2"/>
        <w:spacing w:line="360" w:lineRule="auto"/>
        <w:jc w:val="both"/>
        <w:rPr>
          <w:rFonts w:ascii="Arial" w:hAnsi="Arial" w:cs="Arial"/>
          <w:sz w:val="22"/>
          <w:szCs w:val="22"/>
        </w:rPr>
      </w:pPr>
      <w:bookmarkStart w:id="9" w:name="_gf7331ci6s5s" w:colFirst="0" w:colLast="0"/>
      <w:bookmarkStart w:id="10" w:name="_Toc194180665"/>
      <w:bookmarkStart w:id="11" w:name="_Toc194182183"/>
      <w:bookmarkStart w:id="12" w:name="_Hlk194339385"/>
      <w:bookmarkEnd w:id="9"/>
      <w:r w:rsidRPr="00855767">
        <w:rPr>
          <w:rFonts w:ascii="Arial" w:hAnsi="Arial" w:cs="Arial"/>
          <w:sz w:val="22"/>
          <w:szCs w:val="22"/>
        </w:rPr>
        <w:t>2. Pathophysiology and Metabolic Adaptation in PDAC</w:t>
      </w:r>
      <w:bookmarkEnd w:id="10"/>
      <w:bookmarkEnd w:id="11"/>
    </w:p>
    <w:p w14:paraId="0E06974E" w14:textId="0262DC01" w:rsidR="00855767" w:rsidRPr="00855767" w:rsidRDefault="00855767" w:rsidP="003941E5">
      <w:pPr>
        <w:pStyle w:val="Heading3"/>
        <w:spacing w:line="360" w:lineRule="auto"/>
        <w:jc w:val="both"/>
        <w:rPr>
          <w:rFonts w:cs="Arial"/>
          <w:sz w:val="22"/>
          <w:szCs w:val="22"/>
        </w:rPr>
      </w:pPr>
      <w:bookmarkStart w:id="13" w:name="_t18yxk3yrtm" w:colFirst="0" w:colLast="0"/>
      <w:bookmarkStart w:id="14" w:name="_Toc194180666"/>
      <w:bookmarkStart w:id="15" w:name="_Toc194182184"/>
      <w:bookmarkEnd w:id="13"/>
      <w:r w:rsidRPr="00855767">
        <w:rPr>
          <w:rFonts w:cs="Arial"/>
          <w:sz w:val="22"/>
          <w:szCs w:val="22"/>
        </w:rPr>
        <w:t>2.1 Genetic and Molecular Landscape</w:t>
      </w:r>
      <w:bookmarkEnd w:id="14"/>
      <w:bookmarkEnd w:id="15"/>
      <w:r w:rsidR="002142BA">
        <w:rPr>
          <w:rFonts w:cs="Arial"/>
          <w:sz w:val="22"/>
          <w:szCs w:val="22"/>
        </w:rPr>
        <w:t xml:space="preserve"> 291</w:t>
      </w:r>
    </w:p>
    <w:p w14:paraId="2DE74901" w14:textId="0A9861A3" w:rsidR="00855767" w:rsidRPr="00855767" w:rsidRDefault="00855767" w:rsidP="003941E5">
      <w:pPr>
        <w:spacing w:line="360" w:lineRule="auto"/>
        <w:jc w:val="both"/>
      </w:pPr>
      <w:r w:rsidRPr="00855767">
        <w:t>PDAC</w:t>
      </w:r>
      <w:r w:rsidR="006C3332">
        <w:t xml:space="preserve"> </w:t>
      </w:r>
      <w:r w:rsidRPr="00855767">
        <w:t xml:space="preserve">is characterised </w:t>
      </w:r>
      <w:r w:rsidR="006C3332">
        <w:t xml:space="preserve">not only by its clinical aggressiveness </w:t>
      </w:r>
      <w:r w:rsidR="00E13C2D">
        <w:t>but also by a complex and heterogenous genetic profile that underscores its resistance to treatment</w:t>
      </w:r>
      <w:r w:rsidRPr="00855767">
        <w:t xml:space="preserve"> </w:t>
      </w:r>
    </w:p>
    <w:p w14:paraId="1CE871A6" w14:textId="3622B125" w:rsidR="00855767" w:rsidRPr="00855767" w:rsidRDefault="00E13C2D" w:rsidP="003941E5">
      <w:pPr>
        <w:spacing w:line="360" w:lineRule="auto"/>
        <w:jc w:val="both"/>
      </w:pPr>
      <w:r>
        <w:t>M</w:t>
      </w:r>
      <w:r w:rsidR="00855767" w:rsidRPr="00855767">
        <w:t xml:space="preserve">ore than 90% of PDAC tumours include activating mutations in the proto-oncogene </w:t>
      </w:r>
      <w:r w:rsidR="00855767" w:rsidRPr="00855767">
        <w:rPr>
          <w:i/>
          <w:iCs/>
        </w:rPr>
        <w:t>KRAS</w:t>
      </w:r>
      <w:r w:rsidR="00855767" w:rsidRPr="00855767">
        <w:t xml:space="preserve">, which leads to </w:t>
      </w:r>
      <w:r w:rsidR="00D32E22">
        <w:t xml:space="preserve">uncontrolled proliferation activates signalling pathways such as </w:t>
      </w:r>
      <w:r w:rsidR="00855767" w:rsidRPr="00855767">
        <w:t xml:space="preserve">PI3K/AKT, MAPK, and TGF-β </w:t>
      </w:r>
      <w:r w:rsidR="00D32E22" w:rsidRPr="00855767">
        <w:t>pathways.</w:t>
      </w:r>
      <w:r w:rsidR="00D32E22">
        <w:t xml:space="preserve"> These pathways do not function in isolation, instead they collectively contribute to tumour growth, rewiring and evasion of cell death (apoptosis).</w:t>
      </w:r>
      <w:r w:rsidR="00855767" w:rsidRPr="00855767">
        <w:t xml:space="preserve"> </w:t>
      </w:r>
      <w:r w:rsidR="00D32E22">
        <w:t xml:space="preserve">In parallel, the </w:t>
      </w:r>
      <w:r w:rsidR="00855767" w:rsidRPr="00855767">
        <w:t xml:space="preserve">inactivation of tumour suppressor genes such as </w:t>
      </w:r>
      <w:r w:rsidR="00855767" w:rsidRPr="00855767">
        <w:rPr>
          <w:i/>
          <w:iCs/>
        </w:rPr>
        <w:t>TP53</w:t>
      </w:r>
      <w:r w:rsidR="00855767" w:rsidRPr="00855767">
        <w:t xml:space="preserve">, </w:t>
      </w:r>
      <w:r w:rsidR="00855767" w:rsidRPr="00855767">
        <w:rPr>
          <w:i/>
          <w:iCs/>
        </w:rPr>
        <w:t>CDKN2A</w:t>
      </w:r>
      <w:r w:rsidR="00855767" w:rsidRPr="00855767">
        <w:t xml:space="preserve">, and </w:t>
      </w:r>
      <w:r w:rsidR="00855767" w:rsidRPr="00855767">
        <w:rPr>
          <w:i/>
          <w:iCs/>
        </w:rPr>
        <w:t>SMAD4</w:t>
      </w:r>
      <w:r w:rsidR="00855767" w:rsidRPr="00855767">
        <w:t xml:space="preserve">, </w:t>
      </w:r>
      <w:r w:rsidR="00D32E22">
        <w:t xml:space="preserve">disrupts cell cycle regulation and </w:t>
      </w:r>
      <w:r w:rsidR="00855767" w:rsidRPr="00855767">
        <w:t>enhance</w:t>
      </w:r>
      <w:r w:rsidR="00E80931">
        <w:t xml:space="preserve"> cellular survival under therapeutic pressure</w:t>
      </w:r>
      <w:r w:rsidR="00855767" w:rsidRPr="00855767">
        <w:t>. This</w:t>
      </w:r>
      <w:r w:rsidR="00E80931">
        <w:t xml:space="preserve"> combined effect of these mutations creates a tumour </w:t>
      </w:r>
      <w:r w:rsidR="001E5A3A">
        <w:t>microenvironment</w:t>
      </w:r>
      <w:r w:rsidR="00E80931">
        <w:t xml:space="preserve"> (TME)</w:t>
      </w:r>
      <w:r w:rsidR="00855767" w:rsidRPr="00855767">
        <w:t xml:space="preserve"> </w:t>
      </w:r>
      <w:r w:rsidR="00E80931">
        <w:t>that is biologically aggressive and highly adaptable</w:t>
      </w:r>
      <w:r w:rsidR="00AD4DC9">
        <w:t xml:space="preserve">, complicating </w:t>
      </w:r>
      <w:r w:rsidR="00855767" w:rsidRPr="00855767">
        <w:t>to identify a single dominant</w:t>
      </w:r>
      <w:r w:rsidR="00AD4DC9">
        <w:t xml:space="preserve"> mutation</w:t>
      </w:r>
      <w:r w:rsidR="00855767" w:rsidRPr="00855767">
        <w:t xml:space="preserve">. </w:t>
      </w:r>
      <w:r w:rsidR="00B55971">
        <w:t xml:space="preserve">PDAC’s </w:t>
      </w:r>
      <w:r w:rsidR="00AB1FF5">
        <w:t xml:space="preserve">mutational landscape leads to diverse oncogenic outputs across patient posing a challenge to personalised </w:t>
      </w:r>
      <w:r w:rsidR="00855767" w:rsidRPr="00855767">
        <w:t>t</w:t>
      </w:r>
      <w:r w:rsidR="00AB1FF5">
        <w:t>reatment s</w:t>
      </w:r>
      <w:r w:rsidR="002E0F59">
        <w:t xml:space="preserve">trategies </w:t>
      </w:r>
      <w:bookmarkEnd w:id="12"/>
      <w:r w:rsidR="00855767" w:rsidRPr="00855767">
        <w:t>(Sarantis et al., 2020).</w:t>
      </w:r>
    </w:p>
    <w:p w14:paraId="1C5CAF52" w14:textId="1B54C8DC" w:rsidR="00855767" w:rsidRPr="00855767" w:rsidRDefault="001B1C93" w:rsidP="003941E5">
      <w:pPr>
        <w:spacing w:line="360" w:lineRule="auto"/>
        <w:jc w:val="both"/>
      </w:pPr>
      <w:bookmarkStart w:id="16" w:name="_Hlk194339398"/>
      <w:r>
        <w:t xml:space="preserve">Clinically, this molecular complexity manifests in the tendency of PDAC </w:t>
      </w:r>
      <w:r w:rsidR="00855767" w:rsidRPr="00855767">
        <w:t xml:space="preserve">diagnosed at advanced stages (stages 3 and 4), </w:t>
      </w:r>
      <w:r w:rsidR="00FE4B41">
        <w:t xml:space="preserve">when tumours have already invaded major </w:t>
      </w:r>
      <w:r w:rsidR="00FE4B41" w:rsidRPr="00855767">
        <w:t>vascular structures o</w:t>
      </w:r>
      <w:r w:rsidR="00FE4B41">
        <w:t>r metast</w:t>
      </w:r>
      <w:r w:rsidR="00AF2C53">
        <w:t>asised to distant organs. As illustrated in Figure 1</w:t>
      </w:r>
      <w:r w:rsidR="00F908FC">
        <w:t>, early</w:t>
      </w:r>
      <w:r w:rsidR="002A4AD5">
        <w:t xml:space="preserve">-stage tumours may still be </w:t>
      </w:r>
      <w:proofErr w:type="gramStart"/>
      <w:r w:rsidR="002A4AD5">
        <w:t>resectable</w:t>
      </w:r>
      <w:proofErr w:type="gramEnd"/>
      <w:r w:rsidR="002A4AD5">
        <w:t xml:space="preserve"> </w:t>
      </w:r>
      <w:r w:rsidR="00952D91">
        <w:t xml:space="preserve">but most patients present with locally advanced or metastatic disease where surgical option is no longer feasible. </w:t>
      </w:r>
      <w:r w:rsidR="00C46F8B">
        <w:t xml:space="preserve">At this point, systemic chemotherapy </w:t>
      </w:r>
      <w:r w:rsidR="003A1272">
        <w:t>becomes</w:t>
      </w:r>
      <w:r w:rsidR="00C46F8B">
        <w:t xml:space="preserve"> the primary mode of treatment however, the efficacy of such therapies is undermined by tumour’s ability to resist apoptosis and adapt metabolically.</w:t>
      </w:r>
      <w:r w:rsidR="00EE7267">
        <w:t xml:space="preserve"> The resistance is not merely due to </w:t>
      </w:r>
      <w:proofErr w:type="gramStart"/>
      <w:r w:rsidR="00EE7267">
        <w:t>mutations,</w:t>
      </w:r>
      <w:proofErr w:type="gramEnd"/>
      <w:r w:rsidR="00EE7267">
        <w:t xml:space="preserve"> it is actively reinforced by tumour’s ability to </w:t>
      </w:r>
      <w:r w:rsidR="003D6D2A">
        <w:t>reprogram</w:t>
      </w:r>
      <w:r w:rsidR="00EE7267">
        <w:t xml:space="preserve"> its metabolism. </w:t>
      </w:r>
      <w:r w:rsidR="003D6D2A">
        <w:t xml:space="preserve">Mutant </w:t>
      </w:r>
      <w:r w:rsidR="003D6D2A" w:rsidRPr="003D6D2A">
        <w:rPr>
          <w:i/>
          <w:iCs/>
        </w:rPr>
        <w:t>KRAS</w:t>
      </w:r>
      <w:r w:rsidR="003D6D2A">
        <w:rPr>
          <w:i/>
          <w:iCs/>
        </w:rPr>
        <w:t xml:space="preserve">, </w:t>
      </w:r>
      <w:r w:rsidR="003D6D2A" w:rsidRPr="003D6D2A">
        <w:t>for example</w:t>
      </w:r>
      <w:r w:rsidR="003D6D2A">
        <w:t xml:space="preserve"> supports both proliferation and glycolysis helping cells survive under stress. These genetic changes also shape the TME, laying the foundation for the metabolic flexibility explored in the next sections.</w:t>
      </w:r>
    </w:p>
    <w:bookmarkEnd w:id="16"/>
    <w:p w14:paraId="2ABE913E" w14:textId="77777777" w:rsidR="00855767" w:rsidRPr="00855767" w:rsidRDefault="00855767" w:rsidP="003941E5">
      <w:pPr>
        <w:spacing w:line="360" w:lineRule="auto"/>
        <w:jc w:val="both"/>
      </w:pPr>
      <w:r w:rsidRPr="00855767">
        <w:rPr>
          <w:noProof/>
        </w:rPr>
        <w:lastRenderedPageBreak/>
        <w:drawing>
          <wp:inline distT="114300" distB="114300" distL="114300" distR="114300" wp14:anchorId="5D9C589A" wp14:editId="362B6F08">
            <wp:extent cx="5731200" cy="4013200"/>
            <wp:effectExtent l="0" t="0" r="0" b="0"/>
            <wp:docPr id="1" name="image5.png" descr="A diagram of the liver&#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5.png" descr="A diagram of the liver&#10;&#10;AI-generated content may be incorrect."/>
                    <pic:cNvPicPr preferRelativeResize="0"/>
                  </pic:nvPicPr>
                  <pic:blipFill>
                    <a:blip r:embed="rId12"/>
                    <a:srcRect/>
                    <a:stretch>
                      <a:fillRect/>
                    </a:stretch>
                  </pic:blipFill>
                  <pic:spPr>
                    <a:xfrm>
                      <a:off x="0" y="0"/>
                      <a:ext cx="5731200" cy="4013200"/>
                    </a:xfrm>
                    <a:prstGeom prst="rect">
                      <a:avLst/>
                    </a:prstGeom>
                    <a:ln/>
                  </pic:spPr>
                </pic:pic>
              </a:graphicData>
            </a:graphic>
          </wp:inline>
        </w:drawing>
      </w:r>
    </w:p>
    <w:p w14:paraId="12A421C1" w14:textId="3F705ED0" w:rsidR="00855767" w:rsidRDefault="00855767" w:rsidP="003941E5">
      <w:pPr>
        <w:spacing w:before="240" w:after="240" w:line="360" w:lineRule="auto"/>
        <w:ind w:left="720"/>
        <w:jc w:val="both"/>
      </w:pPr>
      <w:r w:rsidRPr="00855767">
        <w:rPr>
          <w:b/>
          <w:bCs/>
        </w:rPr>
        <w:t>Figure 1.</w:t>
      </w:r>
      <w:r w:rsidRPr="00855767">
        <w:t xml:space="preserve"> Clinical stages of pancreatic cancer and associated treatment strategies. The figure outlines four stages of pancreatic cancer, from localised disease to metastasis. In stage 1, the tumour is confined to the pancreas only and considered </w:t>
      </w:r>
      <w:r w:rsidR="00EB4243" w:rsidRPr="00855767">
        <w:t>res</w:t>
      </w:r>
      <w:r w:rsidR="00EB4243">
        <w:t>ectable</w:t>
      </w:r>
      <w:r w:rsidR="007F528B">
        <w:t>.</w:t>
      </w:r>
      <w:r w:rsidRPr="00855767">
        <w:t xml:space="preserve"> The Whipple procedure is the preferred option for treatment. Stage 2 involves invasion of lymph nodes and may still be operable. It is often treated with neoadjuvant therapy followed by surgery. Stage 3 includes invasion of nearby blood vessels, and this stage is considered locally advanced and considered unresectable, with chemotherapy or radiation as the only option for treatment. Stage 4 represents distant metastasis to organs like the liver or lungs and is managed with palliative care or radiotherapy. Due to silent progression and late onset, PDAC is often diagnosed at stage 3 or 4, when the therapeutic options are limited, and the tumour exhibits significant metabolic plasticity and resistance.  </w:t>
      </w:r>
      <w:r w:rsidRPr="00855767">
        <w:br/>
      </w:r>
      <w:bookmarkStart w:id="17" w:name="_Hlk194340204"/>
    </w:p>
    <w:p w14:paraId="5C558E9B" w14:textId="77777777" w:rsidR="00447F31" w:rsidRDefault="00447F31" w:rsidP="003941E5">
      <w:pPr>
        <w:spacing w:before="240" w:after="240" w:line="360" w:lineRule="auto"/>
        <w:ind w:left="720"/>
        <w:jc w:val="both"/>
      </w:pPr>
    </w:p>
    <w:p w14:paraId="71725412" w14:textId="77777777" w:rsidR="00447F31" w:rsidRDefault="00447F31" w:rsidP="003941E5">
      <w:pPr>
        <w:spacing w:before="240" w:after="240" w:line="360" w:lineRule="auto"/>
        <w:ind w:left="720"/>
        <w:jc w:val="both"/>
      </w:pPr>
    </w:p>
    <w:p w14:paraId="634D904C" w14:textId="77777777" w:rsidR="00447F31" w:rsidRPr="00855767" w:rsidRDefault="00447F31" w:rsidP="003941E5">
      <w:pPr>
        <w:spacing w:before="240" w:after="240" w:line="360" w:lineRule="auto"/>
        <w:ind w:left="720"/>
        <w:jc w:val="both"/>
      </w:pPr>
    </w:p>
    <w:p w14:paraId="3DAFAD86" w14:textId="7C1ADD4C" w:rsidR="00855767" w:rsidRPr="00855767" w:rsidRDefault="00855767" w:rsidP="003941E5">
      <w:pPr>
        <w:pStyle w:val="Heading3"/>
        <w:spacing w:line="360" w:lineRule="auto"/>
        <w:jc w:val="both"/>
        <w:rPr>
          <w:rFonts w:cs="Arial"/>
          <w:sz w:val="22"/>
          <w:szCs w:val="22"/>
        </w:rPr>
      </w:pPr>
      <w:bookmarkStart w:id="18" w:name="_uir0vg3fhbrc" w:colFirst="0" w:colLast="0"/>
      <w:bookmarkStart w:id="19" w:name="_Toc194180667"/>
      <w:bookmarkStart w:id="20" w:name="_Toc194182185"/>
      <w:bookmarkEnd w:id="18"/>
      <w:r w:rsidRPr="00855767">
        <w:rPr>
          <w:rFonts w:cs="Arial"/>
          <w:sz w:val="22"/>
          <w:szCs w:val="22"/>
        </w:rPr>
        <w:lastRenderedPageBreak/>
        <w:t>2.2 Tumour Microenvironment and Crosstalk</w:t>
      </w:r>
      <w:bookmarkEnd w:id="19"/>
      <w:bookmarkEnd w:id="20"/>
      <w:r w:rsidR="002142BA">
        <w:rPr>
          <w:rFonts w:cs="Arial"/>
          <w:sz w:val="22"/>
          <w:szCs w:val="22"/>
        </w:rPr>
        <w:t xml:space="preserve"> 311</w:t>
      </w:r>
    </w:p>
    <w:p w14:paraId="351B11A1" w14:textId="7F6A9B29" w:rsidR="00640370" w:rsidRDefault="00AA2281" w:rsidP="003941E5">
      <w:pPr>
        <w:spacing w:line="360" w:lineRule="auto"/>
        <w:jc w:val="both"/>
      </w:pPr>
      <w:bookmarkStart w:id="21" w:name="_Hlk194339417"/>
      <w:bookmarkEnd w:id="17"/>
      <w:r>
        <w:t xml:space="preserve">In addition to its complex mutational profile, </w:t>
      </w:r>
      <w:r w:rsidR="00855767" w:rsidRPr="00855767">
        <w:t>PDAC exhibits a</w:t>
      </w:r>
      <w:r w:rsidR="00ED4D01">
        <w:t xml:space="preserve"> highly specialised and </w:t>
      </w:r>
      <w:r w:rsidR="00F94EDE">
        <w:t xml:space="preserve">hostile </w:t>
      </w:r>
      <w:r w:rsidR="00F94EDE" w:rsidRPr="00855767">
        <w:t>TME</w:t>
      </w:r>
      <w:r w:rsidR="00855767" w:rsidRPr="00855767">
        <w:t>,</w:t>
      </w:r>
      <w:r w:rsidR="00ED4D01">
        <w:t xml:space="preserve"> playing a central role in therapeutic resistance. </w:t>
      </w:r>
      <w:r w:rsidR="008534CC">
        <w:t>PDAC</w:t>
      </w:r>
      <w:r w:rsidR="00855767" w:rsidRPr="00855767">
        <w:t xml:space="preserve"> </w:t>
      </w:r>
      <w:r w:rsidR="008534CC">
        <w:t xml:space="preserve">present extensive </w:t>
      </w:r>
      <w:r w:rsidR="00F94EDE">
        <w:t>desmoplasia,</w:t>
      </w:r>
      <w:r w:rsidR="008534CC">
        <w:t xml:space="preserve"> a fibrotic reaction characterised by </w:t>
      </w:r>
      <w:r w:rsidR="00855767" w:rsidRPr="00855767">
        <w:t xml:space="preserve">dense extracellular matrix (ECM), </w:t>
      </w:r>
      <w:r w:rsidR="00F94EDE">
        <w:t xml:space="preserve">abundant </w:t>
      </w:r>
      <w:r w:rsidR="00855767" w:rsidRPr="00855767">
        <w:t>cancer-associated fibroblasts (CAFs</w:t>
      </w:r>
      <w:r w:rsidR="00594E50" w:rsidRPr="00855767">
        <w:t>),</w:t>
      </w:r>
      <w:r w:rsidR="00594E50">
        <w:t xml:space="preserve"> and</w:t>
      </w:r>
      <w:r w:rsidR="00F94EDE">
        <w:t xml:space="preserve"> immune cell exclusion</w:t>
      </w:r>
      <w:r w:rsidR="00BB4032" w:rsidRPr="00BB4032">
        <w:t xml:space="preserve"> </w:t>
      </w:r>
      <w:r w:rsidR="00BB4032">
        <w:t>(</w:t>
      </w:r>
      <w:r w:rsidR="00BB4032" w:rsidRPr="00BB4032">
        <w:t>Fu et al., 2018</w:t>
      </w:r>
      <w:r w:rsidR="00BB4032">
        <w:t>)</w:t>
      </w:r>
      <w:r w:rsidR="00855767" w:rsidRPr="00855767">
        <w:t xml:space="preserve">. This environment impairs drug penetration and </w:t>
      </w:r>
      <w:proofErr w:type="gramStart"/>
      <w:r w:rsidR="00640370">
        <w:t>reduce</w:t>
      </w:r>
      <w:proofErr w:type="gramEnd"/>
      <w:r w:rsidR="00640370">
        <w:t xml:space="preserve"> immune surveillance, thereby enabling tumour survival and progression</w:t>
      </w:r>
      <w:r w:rsidR="00BB4032" w:rsidRPr="00BB4032">
        <w:t xml:space="preserve"> </w:t>
      </w:r>
      <w:r w:rsidR="00BB4032">
        <w:t>(</w:t>
      </w:r>
      <w:r w:rsidR="00BB4032" w:rsidRPr="00BB4032">
        <w:t>Zhang et al., 2023</w:t>
      </w:r>
      <w:r w:rsidR="00BB4032">
        <w:t>)</w:t>
      </w:r>
      <w:r w:rsidR="00640370">
        <w:t xml:space="preserve">. </w:t>
      </w:r>
    </w:p>
    <w:p w14:paraId="17A0C14D" w14:textId="3ADB0E35" w:rsidR="00855767" w:rsidRPr="00855767" w:rsidRDefault="005B69A8" w:rsidP="003941E5">
      <w:pPr>
        <w:spacing w:line="360" w:lineRule="auto"/>
        <w:jc w:val="both"/>
      </w:pPr>
      <w:r>
        <w:t xml:space="preserve">A major </w:t>
      </w:r>
      <w:r w:rsidR="00640370">
        <w:t xml:space="preserve">consequence of this desmoplastic environment is </w:t>
      </w:r>
      <w:r w:rsidR="00855767" w:rsidRPr="00855767">
        <w:t>hypoxi</w:t>
      </w:r>
      <w:r w:rsidR="00640370">
        <w:t>a, which emerges from poor vascularisation and high interstitial pressure.</w:t>
      </w:r>
      <w:r w:rsidR="00BB38C3">
        <w:t xml:space="preserve"> </w:t>
      </w:r>
      <w:r w:rsidR="00855767" w:rsidRPr="00855767">
        <w:t xml:space="preserve">In response, </w:t>
      </w:r>
      <w:r w:rsidR="00BB38C3">
        <w:t>tumour cells stabilise</w:t>
      </w:r>
      <w:r w:rsidR="00855767" w:rsidRPr="00855767">
        <w:t xml:space="preserve"> hypoxia-inducible factor-1α (HIF-1α)</w:t>
      </w:r>
      <w:r w:rsidR="0008500D">
        <w:t xml:space="preserve">, a key transcriptional factor that drives metabolic reprogramming and suppressed apoptosis. By upregulating genes </w:t>
      </w:r>
      <w:r w:rsidR="00220577">
        <w:t>involved in anaerobic metabolism, HIF-1</w:t>
      </w:r>
      <w:r w:rsidR="00220577" w:rsidRPr="00855767">
        <w:t>α</w:t>
      </w:r>
      <w:r w:rsidR="00AD37D8">
        <w:t xml:space="preserve"> enhances tumour’s ability to generate ATP and biosynthetic precursors </w:t>
      </w:r>
      <w:r w:rsidR="00CE0DA8">
        <w:t xml:space="preserve">in oxygen-deprived conditions, thus enforcing the metabolic plasticity of </w:t>
      </w:r>
      <w:r w:rsidR="00195B75">
        <w:t>PDA</w:t>
      </w:r>
      <w:bookmarkEnd w:id="21"/>
      <w:r w:rsidR="00195B75">
        <w:t>C</w:t>
      </w:r>
      <w:r w:rsidR="00195B75" w:rsidRPr="00855767">
        <w:t xml:space="preserve"> (</w:t>
      </w:r>
      <w:r w:rsidR="00855767" w:rsidRPr="00855767">
        <w:t xml:space="preserve">Vasseur et al., 2010; Dong et al., 2022). </w:t>
      </w:r>
    </w:p>
    <w:p w14:paraId="7B3E6858" w14:textId="110074AC" w:rsidR="000355FA" w:rsidRDefault="00035D37" w:rsidP="003941E5">
      <w:pPr>
        <w:spacing w:line="360" w:lineRule="auto"/>
        <w:jc w:val="both"/>
      </w:pPr>
      <w:bookmarkStart w:id="22" w:name="_Hlk194339438"/>
      <w:r>
        <w:t>Importantly, s</w:t>
      </w:r>
      <w:r w:rsidR="00855767" w:rsidRPr="00855767">
        <w:t xml:space="preserve">tromal cells, specifically CAFs and pancreatic stellate cells (PSCs), </w:t>
      </w:r>
      <w:r w:rsidR="00C72DD9">
        <w:t xml:space="preserve">also </w:t>
      </w:r>
      <w:r w:rsidR="00286A47">
        <w:t>shap</w:t>
      </w:r>
      <w:r w:rsidR="00C72DD9">
        <w:t>e</w:t>
      </w:r>
      <w:r w:rsidR="00855767" w:rsidRPr="00855767">
        <w:t xml:space="preserve"> metabolic </w:t>
      </w:r>
      <w:r w:rsidR="00286A47">
        <w:t>profile of PDAC</w:t>
      </w:r>
      <w:r w:rsidR="00BB4032">
        <w:t xml:space="preserve"> (</w:t>
      </w:r>
      <w:r w:rsidR="00BB4032" w:rsidRPr="00BB4032">
        <w:t>Fu et al., 2018</w:t>
      </w:r>
      <w:r w:rsidR="00BB4032">
        <w:t>)</w:t>
      </w:r>
      <w:r w:rsidR="00855767" w:rsidRPr="00855767">
        <w:t xml:space="preserve">. PSCs, quiescent in a healthy pancreas, become activated </w:t>
      </w:r>
      <w:r w:rsidR="00C72DD9">
        <w:t>by</w:t>
      </w:r>
      <w:r w:rsidR="00286A47">
        <w:t xml:space="preserve"> tumour-deprived signals and differentiate into CAFs</w:t>
      </w:r>
      <w:r w:rsidR="00855767" w:rsidRPr="00855767">
        <w:rPr>
          <w:rFonts w:eastAsia="Times New Roman"/>
        </w:rPr>
        <w:t xml:space="preserve"> </w:t>
      </w:r>
      <w:bookmarkEnd w:id="22"/>
      <w:r w:rsidR="00855767" w:rsidRPr="00855767">
        <w:t xml:space="preserve">(Fu et al., 2018). </w:t>
      </w:r>
      <w:bookmarkStart w:id="23" w:name="_Hlk194339451"/>
      <w:r w:rsidR="00EC452B">
        <w:t xml:space="preserve">These CAFs engage in metabolic crosstalk with tumour cells, </w:t>
      </w:r>
      <w:r w:rsidR="00F50705">
        <w:t>via</w:t>
      </w:r>
      <w:r w:rsidR="00F50705" w:rsidRPr="00F50705">
        <w:t xml:space="preserve"> </w:t>
      </w:r>
      <w:r w:rsidR="00F50705" w:rsidRPr="00855767">
        <w:t>monocarboxylate transporters (</w:t>
      </w:r>
      <w:r w:rsidR="00F50705" w:rsidRPr="00855767">
        <w:rPr>
          <w:i/>
          <w:iCs/>
        </w:rPr>
        <w:t>MCT4</w:t>
      </w:r>
      <w:r w:rsidR="00F50705" w:rsidRPr="00855767">
        <w:t xml:space="preserve"> in CAFs and </w:t>
      </w:r>
      <w:r w:rsidR="00F50705" w:rsidRPr="00855767">
        <w:rPr>
          <w:i/>
          <w:iCs/>
        </w:rPr>
        <w:t>MCT1</w:t>
      </w:r>
      <w:r w:rsidR="00F50705" w:rsidRPr="00855767">
        <w:t xml:space="preserve"> in tumour cells</w:t>
      </w:r>
      <w:r w:rsidR="00F50705">
        <w:t>), facilitating the transfer of metabolic byproducts such as lactate and pyruvate for OXPHOS usage</w:t>
      </w:r>
      <w:r w:rsidR="00BB4032" w:rsidRPr="00BB4032">
        <w:t xml:space="preserve"> </w:t>
      </w:r>
      <w:r w:rsidR="00BB4032">
        <w:t>(</w:t>
      </w:r>
      <w:r w:rsidR="00BB4032" w:rsidRPr="00BB4032">
        <w:t>Benjamin and Hall, 2022</w:t>
      </w:r>
      <w:r w:rsidR="00BB4032">
        <w:t>)</w:t>
      </w:r>
      <w:r w:rsidR="00F50705">
        <w:t>.</w:t>
      </w:r>
      <w:r w:rsidR="003C5C74">
        <w:t xml:space="preserve"> </w:t>
      </w:r>
      <w:r w:rsidR="00DE624C">
        <w:t xml:space="preserve">In addition to lactate, </w:t>
      </w:r>
      <w:r w:rsidR="00855767" w:rsidRPr="00855767">
        <w:t xml:space="preserve">CAFs </w:t>
      </w:r>
      <w:r w:rsidR="003D6C1A">
        <w:t xml:space="preserve">supply alternative fuel sources including </w:t>
      </w:r>
      <w:r w:rsidR="00855767" w:rsidRPr="00855767">
        <w:t>glutamine and branched-chain amino acids (BCAAs</w:t>
      </w:r>
      <w:r w:rsidR="000355FA" w:rsidRPr="00855767">
        <w:t>),</w:t>
      </w:r>
      <w:r w:rsidR="000355FA">
        <w:t xml:space="preserve"> which</w:t>
      </w:r>
      <w:r w:rsidR="003D6C1A">
        <w:t xml:space="preserve"> feed into biosynthetic and redox pathways </w:t>
      </w:r>
      <w:r w:rsidR="000355FA">
        <w:t xml:space="preserve">sustaining </w:t>
      </w:r>
      <w:r w:rsidR="000355FA" w:rsidRPr="00855767">
        <w:t>tumour</w:t>
      </w:r>
      <w:r w:rsidR="003D6C1A">
        <w:t xml:space="preserve"> proliferation</w:t>
      </w:r>
      <w:r w:rsidR="008C719D" w:rsidRPr="008C719D">
        <w:t xml:space="preserve"> </w:t>
      </w:r>
      <w:r w:rsidR="008C719D">
        <w:t>(</w:t>
      </w:r>
      <w:r w:rsidR="008C719D" w:rsidRPr="008C719D">
        <w:t>Li et al., 2023</w:t>
      </w:r>
      <w:r w:rsidR="008C719D">
        <w:t>)</w:t>
      </w:r>
      <w:r w:rsidR="00855767" w:rsidRPr="00855767">
        <w:t xml:space="preserve">. </w:t>
      </w:r>
      <w:r w:rsidR="000355FA">
        <w:t xml:space="preserve">This metabolic exchange allows PDAC cells to bypass the reliance on glucose and </w:t>
      </w:r>
      <w:r w:rsidR="000631DB">
        <w:t xml:space="preserve">maintain growth under therapeutic pressure or nutrient </w:t>
      </w:r>
      <w:r w:rsidR="00C5128E">
        <w:t>deprivation. These</w:t>
      </w:r>
      <w:r w:rsidR="000631DB">
        <w:t xml:space="preserve"> interactions support the tumour metabolism as well as </w:t>
      </w:r>
      <w:r w:rsidR="00C5128E">
        <w:t xml:space="preserve">sustains the tumour’s hostile environment and resistance to </w:t>
      </w:r>
      <w:r w:rsidR="008C719D">
        <w:t>treatment (</w:t>
      </w:r>
      <w:r w:rsidR="008C719D" w:rsidRPr="008C719D">
        <w:t>Li et al., 2023</w:t>
      </w:r>
      <w:r w:rsidR="008C719D">
        <w:t>)</w:t>
      </w:r>
      <w:r w:rsidR="008C719D" w:rsidRPr="00855767">
        <w:t>.</w:t>
      </w:r>
    </w:p>
    <w:p w14:paraId="0D2475BA" w14:textId="00FAAE88" w:rsidR="00855767" w:rsidRPr="00855767" w:rsidRDefault="006D44AA" w:rsidP="003941E5">
      <w:pPr>
        <w:spacing w:line="360" w:lineRule="auto"/>
        <w:jc w:val="both"/>
      </w:pPr>
      <w:r>
        <w:t>A</w:t>
      </w:r>
      <w:r w:rsidRPr="00855767">
        <w:t xml:space="preserve">s </w:t>
      </w:r>
      <w:r>
        <w:t xml:space="preserve">depicted </w:t>
      </w:r>
      <w:r w:rsidRPr="00855767">
        <w:t xml:space="preserve">in Figure </w:t>
      </w:r>
      <w:r w:rsidR="00133293" w:rsidRPr="00855767">
        <w:t>2,</w:t>
      </w:r>
      <w:r w:rsidR="00133293">
        <w:t xml:space="preserve"> </w:t>
      </w:r>
      <w:r w:rsidR="003C5C74">
        <w:t xml:space="preserve">CAFs are </w:t>
      </w:r>
      <w:r w:rsidR="0043516E">
        <w:t xml:space="preserve">heterogenous, comprising </w:t>
      </w:r>
      <w:r w:rsidR="00261D6E">
        <w:t xml:space="preserve">subpopulations </w:t>
      </w:r>
      <w:r w:rsidR="0043516E">
        <w:t>contribute to fibrosis, immune evasion and nutrient support, creating a TME that reinforces resistance</w:t>
      </w:r>
      <w:r w:rsidR="0043516E" w:rsidRPr="00855767">
        <w:t xml:space="preserve"> </w:t>
      </w:r>
      <w:bookmarkEnd w:id="23"/>
      <w:r w:rsidR="0043516E" w:rsidRPr="00855767">
        <w:t>(</w:t>
      </w:r>
      <w:r w:rsidR="00855767" w:rsidRPr="00855767">
        <w:t xml:space="preserve">Li et al., 2023). </w:t>
      </w:r>
    </w:p>
    <w:p w14:paraId="4AC51060" w14:textId="1903A1C2" w:rsidR="00855767" w:rsidRDefault="00855767" w:rsidP="003941E5">
      <w:pPr>
        <w:spacing w:line="360" w:lineRule="auto"/>
        <w:jc w:val="both"/>
      </w:pPr>
      <w:r w:rsidRPr="00855767">
        <w:t>Together, t</w:t>
      </w:r>
      <w:r w:rsidR="004C57E6">
        <w:t xml:space="preserve">umour-stroma interactions in PDAC create a metabolically flexible and treatment resistance niche. Targeting this metabolic </w:t>
      </w:r>
      <w:r w:rsidR="00701C34">
        <w:t xml:space="preserve">symbiosis represents a promising strategy that complements tumour-intrinsic metabolic targeting. </w:t>
      </w:r>
    </w:p>
    <w:p w14:paraId="14824168" w14:textId="77777777" w:rsidR="006C0E30" w:rsidRPr="006C0E30" w:rsidRDefault="006C0E30" w:rsidP="003941E5">
      <w:pPr>
        <w:spacing w:line="360" w:lineRule="auto"/>
        <w:jc w:val="both"/>
      </w:pPr>
    </w:p>
    <w:p w14:paraId="0512085F" w14:textId="77777777" w:rsidR="00855767" w:rsidRPr="00855767" w:rsidRDefault="00855767" w:rsidP="003941E5">
      <w:pPr>
        <w:spacing w:line="360" w:lineRule="auto"/>
        <w:jc w:val="both"/>
      </w:pPr>
      <w:r w:rsidRPr="00855767">
        <w:rPr>
          <w:noProof/>
        </w:rPr>
        <w:lastRenderedPageBreak/>
        <w:drawing>
          <wp:inline distT="0" distB="0" distL="0" distR="0" wp14:anchorId="613BE065" wp14:editId="511C7F99">
            <wp:extent cx="3945877" cy="4807701"/>
            <wp:effectExtent l="0" t="0" r="0" b="0"/>
            <wp:docPr id="2010507877" name="Picture 1" descr="A diagram of cells and cel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507877" name="Picture 1" descr="A diagram of cells and cells&#10;&#10;AI-generated content may be incorrect."/>
                    <pic:cNvPicPr/>
                  </pic:nvPicPr>
                  <pic:blipFill>
                    <a:blip r:embed="rId13"/>
                    <a:stretch>
                      <a:fillRect/>
                    </a:stretch>
                  </pic:blipFill>
                  <pic:spPr>
                    <a:xfrm>
                      <a:off x="0" y="0"/>
                      <a:ext cx="3955461" cy="4819378"/>
                    </a:xfrm>
                    <a:prstGeom prst="rect">
                      <a:avLst/>
                    </a:prstGeom>
                  </pic:spPr>
                </pic:pic>
              </a:graphicData>
            </a:graphic>
          </wp:inline>
        </w:drawing>
      </w:r>
    </w:p>
    <w:p w14:paraId="1FD7E1A8" w14:textId="147D33FF" w:rsidR="00855767" w:rsidRPr="00855767" w:rsidRDefault="00855767" w:rsidP="003941E5">
      <w:pPr>
        <w:spacing w:line="360" w:lineRule="auto"/>
        <w:ind w:left="720"/>
        <w:jc w:val="both"/>
      </w:pPr>
      <w:r w:rsidRPr="00855767">
        <w:rPr>
          <w:b/>
          <w:bCs/>
        </w:rPr>
        <w:t>Figure 2</w:t>
      </w:r>
      <w:r w:rsidR="00BB57B2">
        <w:t xml:space="preserve">. </w:t>
      </w:r>
      <w:r w:rsidRPr="00855767">
        <w:t xml:space="preserve">Shows CAFs exist in heterogeneous subtypes with distinct functions. </w:t>
      </w:r>
      <w:proofErr w:type="spellStart"/>
      <w:r w:rsidRPr="00855767">
        <w:t>Myofibroblastic</w:t>
      </w:r>
      <w:proofErr w:type="spellEnd"/>
      <w:r w:rsidRPr="00855767">
        <w:t xml:space="preserve"> CAFs (</w:t>
      </w:r>
      <w:proofErr w:type="spellStart"/>
      <w:r w:rsidRPr="00855767">
        <w:t>myCAFs</w:t>
      </w:r>
      <w:proofErr w:type="spellEnd"/>
      <w:r w:rsidRPr="00855767">
        <w:t>) promote extracellular matrix remodelling and fibrosis, whereas inflammatory CAFs (</w:t>
      </w:r>
      <w:proofErr w:type="spellStart"/>
      <w:r w:rsidRPr="00855767">
        <w:t>iCAFs</w:t>
      </w:r>
      <w:proofErr w:type="spellEnd"/>
      <w:r w:rsidRPr="00855767">
        <w:t>) secrete high levels of cytokines, including IL-6 and IL-11, that fuel tumour progression and immune modulation. Antigen-presenting CAFs (</w:t>
      </w:r>
      <w:proofErr w:type="spellStart"/>
      <w:r w:rsidRPr="00855767">
        <w:t>apCAFs</w:t>
      </w:r>
      <w:proofErr w:type="spellEnd"/>
      <w:r w:rsidRPr="00855767">
        <w:t>) regulate immune evasion, whereas metabolically active CAFs (</w:t>
      </w:r>
      <w:proofErr w:type="spellStart"/>
      <w:r w:rsidRPr="00855767">
        <w:t>meCAFs</w:t>
      </w:r>
      <w:proofErr w:type="spellEnd"/>
      <w:r w:rsidRPr="00855767">
        <w:t>) support PDAC metabolism by enhancing nutrient availability within the TME. In this process, CAFs metabolise glucose through glycolysis and produce lactate, pyruvate, and amino acids, which are then absorbed by PDAC cells and used in the TCA cycle for energy production (Zhang et al., 2024)</w:t>
      </w:r>
      <w:r w:rsidR="000808A7">
        <w:t>.</w:t>
      </w:r>
    </w:p>
    <w:p w14:paraId="37F8A5E6" w14:textId="77777777" w:rsidR="00855767" w:rsidRPr="00855767" w:rsidRDefault="00855767" w:rsidP="003941E5">
      <w:pPr>
        <w:spacing w:line="360" w:lineRule="auto"/>
        <w:jc w:val="both"/>
      </w:pPr>
    </w:p>
    <w:p w14:paraId="5901476A" w14:textId="77777777" w:rsidR="00855767" w:rsidRPr="00855767" w:rsidRDefault="00855767" w:rsidP="003941E5">
      <w:pPr>
        <w:spacing w:line="360" w:lineRule="auto"/>
        <w:jc w:val="both"/>
      </w:pPr>
    </w:p>
    <w:p w14:paraId="211D85B3" w14:textId="77777777" w:rsidR="00855767" w:rsidRPr="00855767" w:rsidRDefault="00855767" w:rsidP="003941E5">
      <w:pPr>
        <w:spacing w:line="360" w:lineRule="auto"/>
        <w:jc w:val="both"/>
      </w:pPr>
    </w:p>
    <w:p w14:paraId="049EF5DA" w14:textId="77777777" w:rsidR="00855767" w:rsidRPr="00855767" w:rsidRDefault="00855767" w:rsidP="003941E5">
      <w:pPr>
        <w:spacing w:line="360" w:lineRule="auto"/>
        <w:jc w:val="both"/>
      </w:pPr>
    </w:p>
    <w:p w14:paraId="614A6D28" w14:textId="77777777" w:rsidR="00855767" w:rsidRPr="00855767" w:rsidRDefault="00855767" w:rsidP="003941E5">
      <w:pPr>
        <w:spacing w:line="360" w:lineRule="auto"/>
        <w:jc w:val="both"/>
      </w:pPr>
    </w:p>
    <w:p w14:paraId="7F4A83E0" w14:textId="77777777" w:rsidR="00855767" w:rsidRPr="00855767" w:rsidRDefault="00855767" w:rsidP="003941E5">
      <w:pPr>
        <w:spacing w:line="360" w:lineRule="auto"/>
        <w:jc w:val="both"/>
      </w:pPr>
    </w:p>
    <w:p w14:paraId="68B21B3D" w14:textId="77777777" w:rsidR="00855767" w:rsidRPr="00855767" w:rsidRDefault="00855767" w:rsidP="003941E5">
      <w:pPr>
        <w:spacing w:line="360" w:lineRule="auto"/>
        <w:jc w:val="both"/>
      </w:pPr>
    </w:p>
    <w:p w14:paraId="13CBDE89" w14:textId="77777777" w:rsidR="00855767" w:rsidRPr="00855767" w:rsidRDefault="00855767" w:rsidP="003941E5">
      <w:pPr>
        <w:spacing w:line="360" w:lineRule="auto"/>
        <w:jc w:val="both"/>
      </w:pPr>
    </w:p>
    <w:p w14:paraId="0F24EC6A" w14:textId="2378E9B7" w:rsidR="00855767" w:rsidRPr="00855767" w:rsidRDefault="00855767" w:rsidP="003941E5">
      <w:pPr>
        <w:pStyle w:val="Heading3"/>
        <w:spacing w:line="360" w:lineRule="auto"/>
        <w:jc w:val="both"/>
        <w:rPr>
          <w:rFonts w:cs="Arial"/>
          <w:sz w:val="22"/>
          <w:szCs w:val="22"/>
        </w:rPr>
      </w:pPr>
      <w:bookmarkStart w:id="24" w:name="_Toc194180668"/>
      <w:bookmarkStart w:id="25" w:name="_Toc194182186"/>
      <w:r w:rsidRPr="00855767">
        <w:rPr>
          <w:rFonts w:cs="Arial"/>
          <w:sz w:val="22"/>
          <w:szCs w:val="22"/>
        </w:rPr>
        <w:t>2</w:t>
      </w:r>
      <w:bookmarkStart w:id="26" w:name="_Hlk194339488"/>
      <w:r w:rsidRPr="00855767">
        <w:rPr>
          <w:rFonts w:cs="Arial"/>
          <w:sz w:val="22"/>
          <w:szCs w:val="22"/>
        </w:rPr>
        <w:t xml:space="preserve">.3 Metabolic Plasticity </w:t>
      </w:r>
      <w:bookmarkEnd w:id="24"/>
      <w:bookmarkEnd w:id="25"/>
      <w:r w:rsidR="002142BA">
        <w:rPr>
          <w:rFonts w:cs="Arial"/>
          <w:sz w:val="22"/>
          <w:szCs w:val="22"/>
        </w:rPr>
        <w:t xml:space="preserve"> 301</w:t>
      </w:r>
    </w:p>
    <w:p w14:paraId="31212DBD" w14:textId="089FDF1F" w:rsidR="003278F6" w:rsidRDefault="00BE7195" w:rsidP="003941E5">
      <w:pPr>
        <w:spacing w:line="360" w:lineRule="auto"/>
        <w:jc w:val="both"/>
      </w:pPr>
      <w:r>
        <w:t>The metabolic adaptability of PDAC is shaped not only by tumour-intrinsic mutations</w:t>
      </w:r>
      <w:r w:rsidR="003278F6">
        <w:t xml:space="preserve"> and microenvironmental conditions but also by key cellular players that support survival under stress.</w:t>
      </w:r>
      <w:r>
        <w:t xml:space="preserve"> </w:t>
      </w:r>
      <w:r w:rsidR="003278F6">
        <w:t xml:space="preserve">Among these, </w:t>
      </w:r>
      <w:r w:rsidR="00855767" w:rsidRPr="00855767">
        <w:t>cancer stem cells (CSCs) and CAFs</w:t>
      </w:r>
      <w:r w:rsidR="003278F6">
        <w:t xml:space="preserve"> are central to the tumour’s ability to resist treatment through dynamic metabolic reprogramming</w:t>
      </w:r>
      <w:r w:rsidR="00BB4032" w:rsidRPr="00BB4032">
        <w:rPr>
          <w:b/>
          <w:bCs/>
        </w:rPr>
        <w:t xml:space="preserve"> </w:t>
      </w:r>
      <w:r w:rsidR="00BB4032" w:rsidRPr="00BB4032">
        <w:t>(Sancho et al., 2015)</w:t>
      </w:r>
      <w:r w:rsidR="00855767" w:rsidRPr="00BB4032">
        <w:t>.</w:t>
      </w:r>
      <w:r w:rsidR="00855767" w:rsidRPr="00855767">
        <w:t xml:space="preserve"> </w:t>
      </w:r>
    </w:p>
    <w:p w14:paraId="00D30E13" w14:textId="1C9BCD7E" w:rsidR="00A40835" w:rsidRDefault="00855767" w:rsidP="003941E5">
      <w:pPr>
        <w:spacing w:line="360" w:lineRule="auto"/>
        <w:jc w:val="both"/>
      </w:pPr>
      <w:r w:rsidRPr="00855767">
        <w:t xml:space="preserve">CSCs </w:t>
      </w:r>
      <w:r w:rsidR="003278F6">
        <w:t xml:space="preserve">represent a </w:t>
      </w:r>
      <w:r w:rsidRPr="00855767">
        <w:t xml:space="preserve">small </w:t>
      </w:r>
      <w:r w:rsidR="003278F6">
        <w:t xml:space="preserve">but crucial </w:t>
      </w:r>
      <w:r w:rsidR="000530A9" w:rsidRPr="00855767">
        <w:t xml:space="preserve">subpopulation </w:t>
      </w:r>
      <w:r w:rsidR="000530A9">
        <w:t>within</w:t>
      </w:r>
      <w:r w:rsidR="003278F6">
        <w:t xml:space="preserve"> PDAC, defined by </w:t>
      </w:r>
      <w:r w:rsidRPr="00855767">
        <w:t xml:space="preserve">self-renewal capacity, </w:t>
      </w:r>
      <w:r w:rsidR="00F82C91" w:rsidRPr="00855767">
        <w:t>tumo</w:t>
      </w:r>
      <w:r w:rsidR="003278F6">
        <w:t>ur initiation</w:t>
      </w:r>
      <w:r w:rsidRPr="00855767">
        <w:t xml:space="preserve">, and resistance to </w:t>
      </w:r>
      <w:r w:rsidR="003278F6">
        <w:t xml:space="preserve">conventional </w:t>
      </w:r>
      <w:r w:rsidRPr="00855767">
        <w:t>treatments. CSCs</w:t>
      </w:r>
      <w:r w:rsidR="003278F6">
        <w:t xml:space="preserve"> rely on </w:t>
      </w:r>
      <w:r w:rsidRPr="00855767">
        <w:t xml:space="preserve">OXPHOS for energy production, providing survival advantage under </w:t>
      </w:r>
      <w:r w:rsidR="003278F6">
        <w:t xml:space="preserve">conditions where </w:t>
      </w:r>
      <w:r w:rsidRPr="00855767">
        <w:t>glycolysis</w:t>
      </w:r>
      <w:r w:rsidR="003278F6">
        <w:t xml:space="preserve"> is </w:t>
      </w:r>
      <w:r w:rsidR="000530A9">
        <w:t>impaired</w:t>
      </w:r>
      <w:r w:rsidR="000530A9" w:rsidRPr="00855767">
        <w:t>.</w:t>
      </w:r>
      <w:r w:rsidR="000530A9">
        <w:t xml:space="preserve"> These</w:t>
      </w:r>
      <w:r w:rsidR="003278F6">
        <w:t xml:space="preserve"> cells also exhibit enhanced </w:t>
      </w:r>
      <w:r w:rsidRPr="00855767">
        <w:t>mitochondrial biogenesis</w:t>
      </w:r>
      <w:r w:rsidR="00906341">
        <w:t xml:space="preserve"> and redox buffering capacity, allowing them to persist during metabolic or therapeutic stress </w:t>
      </w:r>
      <w:bookmarkEnd w:id="26"/>
      <w:r w:rsidRPr="00855767">
        <w:t>(Sancho et al., 2015; Li et al., 2023</w:t>
      </w:r>
      <w:r w:rsidR="00604AEC" w:rsidRPr="00855767">
        <w:t>).</w:t>
      </w:r>
      <w:r w:rsidR="00604AEC">
        <w:t xml:space="preserve"> </w:t>
      </w:r>
      <w:bookmarkStart w:id="27" w:name="_Hlk194339504"/>
      <w:r w:rsidR="00604AEC">
        <w:t>Targeting</w:t>
      </w:r>
      <w:r w:rsidR="00A40835">
        <w:t xml:space="preserve"> </w:t>
      </w:r>
      <w:r w:rsidR="00906341" w:rsidRPr="00855767">
        <w:t xml:space="preserve">mitochondrial </w:t>
      </w:r>
      <w:r w:rsidR="00A40835">
        <w:t>metabolism</w:t>
      </w:r>
      <w:r w:rsidR="00906341" w:rsidRPr="00855767">
        <w:t xml:space="preserve"> in CSCs </w:t>
      </w:r>
      <w:r w:rsidR="00A40835">
        <w:t>may weaken the resistant population and reduce relapse risk</w:t>
      </w:r>
      <w:r w:rsidR="00BB4032" w:rsidRPr="00BB4032">
        <w:rPr>
          <w:b/>
          <w:bCs/>
        </w:rPr>
        <w:t xml:space="preserve"> </w:t>
      </w:r>
      <w:r w:rsidR="00BB4032" w:rsidRPr="00BB4032">
        <w:t>(Sancho et al., 2015)</w:t>
      </w:r>
      <w:r w:rsidR="00A40835" w:rsidRPr="00BB4032">
        <w:t>.</w:t>
      </w:r>
      <w:r w:rsidR="00A40835">
        <w:t xml:space="preserve"> </w:t>
      </w:r>
    </w:p>
    <w:p w14:paraId="282EEFFE" w14:textId="2D7BA30A" w:rsidR="003C4187" w:rsidRDefault="00A40835" w:rsidP="003941E5">
      <w:pPr>
        <w:spacing w:line="360" w:lineRule="auto"/>
        <w:jc w:val="both"/>
      </w:pPr>
      <w:r>
        <w:t xml:space="preserve">Meanwhile </w:t>
      </w:r>
      <w:r w:rsidR="00855767" w:rsidRPr="00855767">
        <w:t>CAFs</w:t>
      </w:r>
      <w:r>
        <w:t xml:space="preserve"> contribute to metabolic plasticity through a complementary mechanism known as </w:t>
      </w:r>
      <w:r w:rsidR="00855767" w:rsidRPr="00855767">
        <w:t xml:space="preserve">reverse Warburg effect, </w:t>
      </w:r>
      <w:r>
        <w:t xml:space="preserve">in which they </w:t>
      </w:r>
      <w:r w:rsidR="00D33AB1">
        <w:t xml:space="preserve">perform </w:t>
      </w:r>
      <w:r w:rsidR="00855767" w:rsidRPr="00855767">
        <w:t>glycolysis</w:t>
      </w:r>
      <w:r w:rsidR="00D33AB1">
        <w:t xml:space="preserve">, producing metabolic byproducts such as </w:t>
      </w:r>
      <w:r w:rsidR="00D33AB1" w:rsidRPr="00855767">
        <w:t>lactate</w:t>
      </w:r>
      <w:r w:rsidR="00855767" w:rsidRPr="00855767">
        <w:t xml:space="preserve"> </w:t>
      </w:r>
      <w:r w:rsidR="00D33AB1" w:rsidRPr="00855767">
        <w:t xml:space="preserve">and </w:t>
      </w:r>
      <w:r w:rsidR="00D33AB1">
        <w:t>pyruvate</w:t>
      </w:r>
      <w:r w:rsidR="00BB4032">
        <w:t xml:space="preserve">. </w:t>
      </w:r>
      <w:r w:rsidR="00D33AB1">
        <w:t>There are then imported by PDAC cells to fuel OXPHOS when glucose is scarce</w:t>
      </w:r>
      <w:r w:rsidR="00BB4032">
        <w:t xml:space="preserve"> (</w:t>
      </w:r>
      <w:r w:rsidR="00BB4032" w:rsidRPr="00BB4032">
        <w:t>Zhang et al., 2024</w:t>
      </w:r>
      <w:r w:rsidR="00BB4032">
        <w:t>)</w:t>
      </w:r>
      <w:r w:rsidR="00D33AB1">
        <w:t>.</w:t>
      </w:r>
      <w:r w:rsidR="003C4187">
        <w:t xml:space="preserve"> This metabolic coupling enables tumour cells to shift flexibly between energy sources supporting growth one pathway is therapeutically </w:t>
      </w:r>
      <w:r w:rsidR="00BB4032">
        <w:t>targeted</w:t>
      </w:r>
      <w:r w:rsidR="00BB4032" w:rsidRPr="00BB4032">
        <w:t xml:space="preserve"> (Benjamin and Hall, 2022)</w:t>
      </w:r>
      <w:r w:rsidR="003C4187" w:rsidRPr="00BB4032">
        <w:t>.</w:t>
      </w:r>
      <w:r w:rsidR="003C4187">
        <w:t xml:space="preserve"> </w:t>
      </w:r>
      <w:r w:rsidR="00D33AB1">
        <w:t xml:space="preserve"> </w:t>
      </w:r>
    </w:p>
    <w:p w14:paraId="0FC9B103" w14:textId="77777777" w:rsidR="003C4187" w:rsidRDefault="003C4187" w:rsidP="003941E5">
      <w:pPr>
        <w:spacing w:line="360" w:lineRule="auto"/>
        <w:jc w:val="both"/>
      </w:pPr>
    </w:p>
    <w:p w14:paraId="168E4C4B" w14:textId="795AE3DE" w:rsidR="00855767" w:rsidRDefault="00604AEC" w:rsidP="003941E5">
      <w:pPr>
        <w:spacing w:line="360" w:lineRule="auto"/>
        <w:jc w:val="both"/>
      </w:pPr>
      <w:r>
        <w:t xml:space="preserve">Tumour-derived exosomes </w:t>
      </w:r>
      <w:r w:rsidR="000530A9">
        <w:t>further</w:t>
      </w:r>
      <w:r w:rsidR="006A0685">
        <w:t xml:space="preserve"> reinforce</w:t>
      </w:r>
      <w:r>
        <w:t xml:space="preserve"> this crosstalk</w:t>
      </w:r>
      <w:r w:rsidR="006A0685">
        <w:t>, which can</w:t>
      </w:r>
      <w:r w:rsidR="00855767" w:rsidRPr="00855767">
        <w:t xml:space="preserve"> further reprogram CAFs</w:t>
      </w:r>
      <w:r w:rsidR="006A0685">
        <w:t xml:space="preserve"> to adopt a more</w:t>
      </w:r>
      <w:r w:rsidR="00855767" w:rsidRPr="00855767">
        <w:t xml:space="preserve"> glycolytic </w:t>
      </w:r>
      <w:r w:rsidR="00A71083">
        <w:t>phenotype, increasing nutrient supply to tumour cells</w:t>
      </w:r>
      <w:bookmarkEnd w:id="27"/>
      <w:r w:rsidR="00591B70">
        <w:t xml:space="preserve"> </w:t>
      </w:r>
      <w:r w:rsidR="00591B70" w:rsidRPr="00855767">
        <w:t>(Li et al., 2023</w:t>
      </w:r>
      <w:r w:rsidR="00591B70">
        <w:t>)</w:t>
      </w:r>
      <w:r w:rsidR="00A71083">
        <w:t>.</w:t>
      </w:r>
      <w:r w:rsidR="00855767" w:rsidRPr="00855767">
        <w:t xml:space="preserve"> </w:t>
      </w:r>
      <w:bookmarkStart w:id="28" w:name="_Hlk194339516"/>
      <w:r w:rsidR="00855767" w:rsidRPr="00855767">
        <w:t>Blocking exosome</w:t>
      </w:r>
      <w:r w:rsidR="00A71083">
        <w:t>-mediated signalling presents</w:t>
      </w:r>
      <w:r w:rsidR="00855767" w:rsidRPr="00855767">
        <w:t xml:space="preserve"> a promising strategy, although therapeutic interventions </w:t>
      </w:r>
      <w:r w:rsidR="00591B70">
        <w:t>remain in early development</w:t>
      </w:r>
      <w:r w:rsidR="00591B70" w:rsidRPr="00855767">
        <w:t xml:space="preserve"> </w:t>
      </w:r>
      <w:r w:rsidR="00591B70">
        <w:t>(</w:t>
      </w:r>
      <w:r w:rsidR="00591B70" w:rsidRPr="00855767">
        <w:t>Kitamura</w:t>
      </w:r>
      <w:r w:rsidR="00855767" w:rsidRPr="00855767">
        <w:t xml:space="preserve"> et al., 2023). </w:t>
      </w:r>
    </w:p>
    <w:p w14:paraId="19D9B8F4" w14:textId="4CF5C6C4" w:rsidR="00801E6C" w:rsidRPr="00855767" w:rsidRDefault="00952A3E" w:rsidP="003941E5">
      <w:pPr>
        <w:spacing w:line="360" w:lineRule="auto"/>
        <w:jc w:val="both"/>
      </w:pPr>
      <w:r>
        <w:t xml:space="preserve">As shown in Figure </w:t>
      </w:r>
      <w:r w:rsidR="00BB57B2">
        <w:t>3</w:t>
      </w:r>
      <w:r>
        <w:t xml:space="preserve">, this bidirectional </w:t>
      </w:r>
      <w:r w:rsidR="00881BCF">
        <w:t>exchange</w:t>
      </w:r>
      <w:r>
        <w:t xml:space="preserve"> between CSCs and CAFs defines a metabolically flexible and highly resistant </w:t>
      </w:r>
      <w:r w:rsidR="00881BCF">
        <w:t xml:space="preserve">tumour </w:t>
      </w:r>
      <w:r w:rsidR="000530A9">
        <w:t>ecosystem. While</w:t>
      </w:r>
      <w:r w:rsidR="00881BCF">
        <w:t xml:space="preserve"> CSCs support long term tumour maintenance through OXPHOS, CAFs buffer environmental stress </w:t>
      </w:r>
      <w:r w:rsidR="000530A9">
        <w:t xml:space="preserve">by fuelling these cells </w:t>
      </w:r>
      <w:r w:rsidR="00801E6C">
        <w:t xml:space="preserve">via glycolysis and nutrient </w:t>
      </w:r>
      <w:r w:rsidR="00BB4032">
        <w:t>secretion</w:t>
      </w:r>
      <w:r w:rsidR="00BB4032" w:rsidRPr="00BB4032">
        <w:t xml:space="preserve"> (Benjamin and Hall, 2022)</w:t>
      </w:r>
      <w:r w:rsidR="00801E6C">
        <w:t>. Disrupting this axis could therefore enhance the efficacy of metabolic therapies.</w:t>
      </w:r>
    </w:p>
    <w:p w14:paraId="6C118C0C" w14:textId="5DA4436B" w:rsidR="00855767" w:rsidRPr="00855767" w:rsidRDefault="00855767" w:rsidP="003941E5">
      <w:pPr>
        <w:spacing w:line="360" w:lineRule="auto"/>
        <w:jc w:val="both"/>
      </w:pPr>
      <w:r w:rsidRPr="00855767">
        <w:t>The interplay between CSCs-driven metabolic flexibility and tumour-stroma crosstalk defines the adaptability of PDAC, presenting a significant challenge to current therapies</w:t>
      </w:r>
      <w:r w:rsidR="00801E6C">
        <w:t xml:space="preserve"> and must be addressed to improve treatment outcomes.</w:t>
      </w:r>
    </w:p>
    <w:bookmarkEnd w:id="28"/>
    <w:p w14:paraId="7836880A" w14:textId="77777777" w:rsidR="00855767" w:rsidRPr="00855767" w:rsidRDefault="00855767" w:rsidP="003941E5">
      <w:pPr>
        <w:spacing w:line="360" w:lineRule="auto"/>
        <w:jc w:val="both"/>
      </w:pPr>
    </w:p>
    <w:p w14:paraId="5F0DE62F" w14:textId="77777777" w:rsidR="00855767" w:rsidRPr="00855767" w:rsidRDefault="00855767" w:rsidP="003941E5">
      <w:pPr>
        <w:keepNext/>
        <w:spacing w:line="360" w:lineRule="auto"/>
        <w:jc w:val="both"/>
      </w:pPr>
      <w:r w:rsidRPr="00855767">
        <w:rPr>
          <w:noProof/>
        </w:rPr>
        <w:lastRenderedPageBreak/>
        <w:drawing>
          <wp:inline distT="0" distB="0" distL="0" distR="0" wp14:anchorId="4D57E28E" wp14:editId="3F9B307C">
            <wp:extent cx="4263528" cy="2842352"/>
            <wp:effectExtent l="0" t="0" r="3810" b="0"/>
            <wp:docPr id="597930875" name="Picture 4" descr="A diagram of a ce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930875" name="Picture 4" descr="A diagram of a cell&#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76694" cy="2851130"/>
                    </a:xfrm>
                    <a:prstGeom prst="rect">
                      <a:avLst/>
                    </a:prstGeom>
                    <a:noFill/>
                  </pic:spPr>
                </pic:pic>
              </a:graphicData>
            </a:graphic>
          </wp:inline>
        </w:drawing>
      </w:r>
    </w:p>
    <w:p w14:paraId="33449156" w14:textId="77777777" w:rsidR="00855767" w:rsidRPr="00855767" w:rsidRDefault="00855767" w:rsidP="003941E5">
      <w:pPr>
        <w:spacing w:line="360" w:lineRule="auto"/>
        <w:jc w:val="both"/>
        <w:rPr>
          <w:b/>
          <w:bCs/>
        </w:rPr>
      </w:pPr>
    </w:p>
    <w:p w14:paraId="6888582C" w14:textId="145FC43B" w:rsidR="00855767" w:rsidRPr="00855767" w:rsidRDefault="00855767" w:rsidP="003941E5">
      <w:pPr>
        <w:spacing w:line="360" w:lineRule="auto"/>
        <w:jc w:val="both"/>
      </w:pPr>
      <w:r w:rsidRPr="00855767">
        <w:rPr>
          <w:b/>
          <w:bCs/>
        </w:rPr>
        <w:t>Figure 3</w:t>
      </w:r>
      <w:r w:rsidR="00DE79E0">
        <w:rPr>
          <w:b/>
          <w:bCs/>
        </w:rPr>
        <w:t>.</w:t>
      </w:r>
      <w:r w:rsidRPr="00855767">
        <w:t xml:space="preserve"> </w:t>
      </w:r>
      <w:r w:rsidR="00DE79E0">
        <w:t>M</w:t>
      </w:r>
      <w:r w:rsidRPr="00855767">
        <w:t>etabolic adapta</w:t>
      </w:r>
      <w:r w:rsidR="00DE79E0">
        <w:t xml:space="preserve">bility in PDAC through crosstalk between </w:t>
      </w:r>
      <w:r w:rsidR="00DE79E0" w:rsidRPr="00855767">
        <w:t xml:space="preserve">CD133+ </w:t>
      </w:r>
      <w:r w:rsidR="006A538B">
        <w:t>cancer stem cells (</w:t>
      </w:r>
      <w:r w:rsidRPr="00855767">
        <w:t>CSCs</w:t>
      </w:r>
      <w:r w:rsidR="006A538B">
        <w:t xml:space="preserve">), CAFs and tumour cells. </w:t>
      </w:r>
      <w:r w:rsidRPr="00855767">
        <w:t xml:space="preserve">CD133+ CSCs </w:t>
      </w:r>
      <w:r w:rsidR="006A538B">
        <w:t>primarily depend on OXPHOS driven by</w:t>
      </w:r>
      <w:r w:rsidR="00176A46" w:rsidRPr="00176A46">
        <w:t xml:space="preserve"> PGC-1α–mediated mitochondrial function</w:t>
      </w:r>
      <w:r w:rsidR="00F71CC2">
        <w:t>,</w:t>
      </w:r>
      <w:r w:rsidR="00176A46">
        <w:t xml:space="preserve"> </w:t>
      </w:r>
      <w:r w:rsidRPr="00855767">
        <w:t xml:space="preserve">which enables them to withstand metabolic stress and contributes to chemoresistance (Li et al., 2023). </w:t>
      </w:r>
      <w:r w:rsidR="00176A46">
        <w:t xml:space="preserve">Inhibiting OXPHOS alone is insufficient as glycolysis </w:t>
      </w:r>
      <w:r w:rsidR="00CB3BF2">
        <w:t xml:space="preserve">inhibition triggers metabolic compensation. CAFs through glycolysis produce lactate and pyruvate fuelling OXPHOS in PDAC cells. This exchange is further enhanced with tumour-derived exosomes </w:t>
      </w:r>
      <w:r w:rsidR="00204A1D">
        <w:t xml:space="preserve">that reprogram CAFs to increase nutrient support. Together these tumour stroma-interactions enable PDAC cells to flexibly switch metabolic states sustaining survival under therapeutic stress </w:t>
      </w:r>
      <w:r w:rsidRPr="00855767">
        <w:t>(Sancho et al., 2015; Li et al., 2023).</w:t>
      </w:r>
    </w:p>
    <w:p w14:paraId="51AB7835" w14:textId="57D4CCB1" w:rsidR="00855767" w:rsidRPr="00855767" w:rsidRDefault="00855767" w:rsidP="003941E5">
      <w:pPr>
        <w:spacing w:line="360" w:lineRule="auto"/>
        <w:jc w:val="both"/>
      </w:pPr>
      <w:r w:rsidRPr="00855767">
        <w:rPr>
          <w:i/>
          <w:iCs/>
        </w:rPr>
        <w:t>Figure generated with the assistance of OpenAI's ChatGPT (2025)</w:t>
      </w:r>
      <w:r w:rsidRPr="00855767">
        <w:t>.</w:t>
      </w:r>
    </w:p>
    <w:p w14:paraId="3A2F7C7F" w14:textId="77777777" w:rsidR="00855767" w:rsidRPr="00855767" w:rsidRDefault="00855767" w:rsidP="003941E5">
      <w:pPr>
        <w:pStyle w:val="Heading2"/>
        <w:spacing w:line="360" w:lineRule="auto"/>
        <w:jc w:val="both"/>
        <w:rPr>
          <w:rFonts w:ascii="Arial" w:hAnsi="Arial" w:cs="Arial"/>
          <w:sz w:val="22"/>
          <w:szCs w:val="22"/>
        </w:rPr>
      </w:pPr>
      <w:bookmarkStart w:id="29" w:name="_5dcfp3egyx5m" w:colFirst="0" w:colLast="0"/>
      <w:bookmarkStart w:id="30" w:name="_Toc194120294"/>
      <w:bookmarkStart w:id="31" w:name="_Toc194180669"/>
      <w:bookmarkStart w:id="32" w:name="_Toc194182187"/>
      <w:bookmarkStart w:id="33" w:name="_Hlk194339530"/>
      <w:bookmarkEnd w:id="29"/>
      <w:r w:rsidRPr="00855767">
        <w:rPr>
          <w:rFonts w:ascii="Arial" w:hAnsi="Arial" w:cs="Arial"/>
          <w:sz w:val="22"/>
          <w:szCs w:val="22"/>
        </w:rPr>
        <w:t>3. Metabolic Reprogramming in PDAC</w:t>
      </w:r>
      <w:bookmarkEnd w:id="30"/>
      <w:bookmarkEnd w:id="31"/>
      <w:bookmarkEnd w:id="32"/>
    </w:p>
    <w:p w14:paraId="4AC7D58C" w14:textId="210CEA07" w:rsidR="00855767" w:rsidRPr="00855767" w:rsidRDefault="00855767" w:rsidP="003941E5">
      <w:pPr>
        <w:pStyle w:val="Heading3"/>
        <w:spacing w:line="360" w:lineRule="auto"/>
        <w:jc w:val="both"/>
        <w:rPr>
          <w:rFonts w:cs="Arial"/>
          <w:sz w:val="22"/>
          <w:szCs w:val="22"/>
        </w:rPr>
      </w:pPr>
      <w:bookmarkStart w:id="34" w:name="_pre9vba4jqby" w:colFirst="0" w:colLast="0"/>
      <w:bookmarkStart w:id="35" w:name="_Toc194180670"/>
      <w:bookmarkStart w:id="36" w:name="_Toc194182188"/>
      <w:bookmarkEnd w:id="34"/>
      <w:r w:rsidRPr="00855767">
        <w:rPr>
          <w:rFonts w:cs="Arial"/>
          <w:sz w:val="22"/>
          <w:szCs w:val="22"/>
        </w:rPr>
        <w:t>3.1 Glycolysis &amp; the Warburg Effect</w:t>
      </w:r>
      <w:bookmarkEnd w:id="35"/>
      <w:bookmarkEnd w:id="36"/>
      <w:r w:rsidR="002142BA">
        <w:rPr>
          <w:rFonts w:cs="Arial"/>
          <w:sz w:val="22"/>
          <w:szCs w:val="22"/>
        </w:rPr>
        <w:t xml:space="preserve"> 178</w:t>
      </w:r>
    </w:p>
    <w:p w14:paraId="6F584BA6" w14:textId="3363F268" w:rsidR="00855767" w:rsidRDefault="00AB5AD8" w:rsidP="003941E5">
      <w:pPr>
        <w:spacing w:line="360" w:lineRule="auto"/>
        <w:jc w:val="both"/>
      </w:pPr>
      <w:r>
        <w:t xml:space="preserve">A </w:t>
      </w:r>
      <w:r w:rsidR="00F30D75">
        <w:t xml:space="preserve">hallmark of </w:t>
      </w:r>
      <w:r w:rsidR="00855767" w:rsidRPr="00855767">
        <w:t>PDAC</w:t>
      </w:r>
      <w:r w:rsidR="00F30D75">
        <w:t xml:space="preserve">’s metabolic plasticity is its </w:t>
      </w:r>
      <w:r w:rsidR="005E7734">
        <w:t xml:space="preserve">reliance on </w:t>
      </w:r>
      <w:r w:rsidR="00F30D75">
        <w:t>glycolysis known as</w:t>
      </w:r>
      <w:r w:rsidR="00855767" w:rsidRPr="00855767">
        <w:t xml:space="preserve"> Warburg effect</w:t>
      </w:r>
      <w:r w:rsidR="005E7734">
        <w:t xml:space="preserve">, where glucose is converted to lactate even in the presence of </w:t>
      </w:r>
      <w:r w:rsidR="00285079">
        <w:t>oxygen. This</w:t>
      </w:r>
      <w:r w:rsidR="00F30D75">
        <w:t xml:space="preserve"> </w:t>
      </w:r>
      <w:r w:rsidR="00285079">
        <w:t xml:space="preserve">shift enables </w:t>
      </w:r>
      <w:r w:rsidR="00305C52">
        <w:t>tumour</w:t>
      </w:r>
      <w:r w:rsidR="00285079">
        <w:t xml:space="preserve">s to rapidly generate </w:t>
      </w:r>
      <w:r w:rsidR="0086620A">
        <w:t>biosynthesis</w:t>
      </w:r>
      <w:r w:rsidR="00285079">
        <w:t xml:space="preserve">, prioritising growth over </w:t>
      </w:r>
      <w:r w:rsidR="0086620A">
        <w:t xml:space="preserve">efficient ATP production. </w:t>
      </w:r>
      <w:r w:rsidR="00855767" w:rsidRPr="00855767">
        <w:t xml:space="preserve">This </w:t>
      </w:r>
      <w:r w:rsidR="00285079">
        <w:t xml:space="preserve">glycolytic phenotype </w:t>
      </w:r>
      <w:r w:rsidR="00855767" w:rsidRPr="00855767">
        <w:t xml:space="preserve">is driven by oncogenic signalling, </w:t>
      </w:r>
      <w:r w:rsidR="001B58B9">
        <w:t xml:space="preserve">including </w:t>
      </w:r>
      <w:r w:rsidR="001B58B9" w:rsidRPr="00374E10">
        <w:rPr>
          <w:i/>
          <w:iCs/>
        </w:rPr>
        <w:t>KRAS</w:t>
      </w:r>
      <w:r w:rsidR="001B58B9">
        <w:t xml:space="preserve"> activation and HIF-1</w:t>
      </w:r>
      <w:r w:rsidR="001B58B9" w:rsidRPr="001B58B9">
        <w:t xml:space="preserve"> α</w:t>
      </w:r>
      <w:r w:rsidR="001B58B9">
        <w:t xml:space="preserve"> stabilisation under hypoxia</w:t>
      </w:r>
      <w:r w:rsidR="00F71CC2">
        <w:t>,</w:t>
      </w:r>
      <w:r w:rsidR="001B58B9">
        <w:t xml:space="preserve"> which together upregulate glucose transporters and glycolytic enzymes</w:t>
      </w:r>
      <w:r w:rsidR="008C719D">
        <w:t xml:space="preserve"> </w:t>
      </w:r>
      <w:r w:rsidR="008C719D" w:rsidRPr="00855767">
        <w:t xml:space="preserve">(Liberti and </w:t>
      </w:r>
      <w:proofErr w:type="spellStart"/>
      <w:r w:rsidR="008C719D" w:rsidRPr="00855767">
        <w:t>Locasale</w:t>
      </w:r>
      <w:proofErr w:type="spellEnd"/>
      <w:r w:rsidR="008C719D" w:rsidRPr="00855767">
        <w:t>, 2016).</w:t>
      </w:r>
      <w:r w:rsidR="001B58B9">
        <w:t xml:space="preserve"> These changes </w:t>
      </w:r>
      <w:r w:rsidR="00447F31">
        <w:t>enable</w:t>
      </w:r>
      <w:r w:rsidR="001B58B9">
        <w:t xml:space="preserve"> tumour cells to maintain energy and redox balance in a nutrient-deprived microenvironment</w:t>
      </w:r>
      <w:r w:rsidR="00855767" w:rsidRPr="00855767">
        <w:t xml:space="preserve"> (Liberti and </w:t>
      </w:r>
      <w:proofErr w:type="spellStart"/>
      <w:r w:rsidR="00855767" w:rsidRPr="00855767">
        <w:t>Locasale</w:t>
      </w:r>
      <w:proofErr w:type="spellEnd"/>
      <w:r w:rsidR="00855767" w:rsidRPr="00855767">
        <w:t>, 2016</w:t>
      </w:r>
      <w:r w:rsidR="008C719D" w:rsidRPr="00855767">
        <w:t>).</w:t>
      </w:r>
      <w:r w:rsidR="008C719D">
        <w:t xml:space="preserve"> As</w:t>
      </w:r>
      <w:r w:rsidR="001B58B9">
        <w:t xml:space="preserve"> illustrated in Figure 4, PDAC cells coordinate glycolytic flux with other metabolic pathways including pentose phosphate pathway (PPP), nucleotide biosynthesis and </w:t>
      </w:r>
      <w:proofErr w:type="spellStart"/>
      <w:r w:rsidR="001B58B9">
        <w:lastRenderedPageBreak/>
        <w:t>glutaminolysis</w:t>
      </w:r>
      <w:proofErr w:type="spellEnd"/>
      <w:r w:rsidR="001B58B9">
        <w:t xml:space="preserve"> to meet the demands of rapid </w:t>
      </w:r>
      <w:r w:rsidR="00447F31">
        <w:t>proliferation</w:t>
      </w:r>
      <w:r w:rsidR="00447F31" w:rsidRPr="00855767">
        <w:t xml:space="preserve"> (</w:t>
      </w:r>
      <w:r w:rsidR="008C719D" w:rsidRPr="00855767">
        <w:t>Wang et al., 2022)</w:t>
      </w:r>
      <w:r w:rsidR="00C945BF">
        <w:t>. This rewiring supports not only ATP generation but also resistance to apoptosis and oxidative stress.</w:t>
      </w:r>
    </w:p>
    <w:p w14:paraId="58C1F20D" w14:textId="776F8C1E" w:rsidR="00855767" w:rsidRPr="00855767" w:rsidRDefault="00C945BF" w:rsidP="003941E5">
      <w:pPr>
        <w:spacing w:line="360" w:lineRule="auto"/>
        <w:jc w:val="both"/>
      </w:pPr>
      <w:r>
        <w:t>Importantly, this preference of glycolysis can be changes under therapeutic or environmental pressure, PDAC cells upregulating OXPHOS as a compensatory mechanism</w:t>
      </w:r>
      <w:r w:rsidR="008C719D">
        <w:t xml:space="preserve"> (</w:t>
      </w:r>
      <w:r w:rsidR="008C719D" w:rsidRPr="008C719D">
        <w:t>Dong et al., 2022)</w:t>
      </w:r>
      <w:r>
        <w:t>. This dynamic shift highlights the metabolic plasticity of PDAC and the need for dual targeting strategies to prevent metabolic escape.</w:t>
      </w:r>
    </w:p>
    <w:bookmarkEnd w:id="33"/>
    <w:p w14:paraId="22EFF861" w14:textId="77777777" w:rsidR="00855767" w:rsidRPr="00855767" w:rsidRDefault="00855767" w:rsidP="003941E5">
      <w:pPr>
        <w:spacing w:line="360" w:lineRule="auto"/>
        <w:jc w:val="both"/>
      </w:pPr>
    </w:p>
    <w:p w14:paraId="1395161E" w14:textId="08E7DA48" w:rsidR="00855767" w:rsidRPr="00EF6182" w:rsidRDefault="00855767" w:rsidP="003941E5">
      <w:pPr>
        <w:pStyle w:val="Heading3"/>
        <w:spacing w:line="360" w:lineRule="auto"/>
        <w:jc w:val="both"/>
        <w:rPr>
          <w:rFonts w:cs="Arial"/>
          <w:sz w:val="22"/>
          <w:szCs w:val="22"/>
        </w:rPr>
      </w:pPr>
      <w:bookmarkStart w:id="37" w:name="_Toc194180671"/>
      <w:bookmarkStart w:id="38" w:name="_Toc194182189"/>
      <w:bookmarkStart w:id="39" w:name="_Hlk194339539"/>
      <w:r w:rsidRPr="00855767">
        <w:rPr>
          <w:rFonts w:cs="Arial"/>
          <w:sz w:val="22"/>
          <w:szCs w:val="22"/>
        </w:rPr>
        <w:t>3.2 Key Glycolytic Enzymes</w:t>
      </w:r>
      <w:bookmarkEnd w:id="37"/>
      <w:bookmarkEnd w:id="38"/>
      <w:r w:rsidR="002142BA">
        <w:rPr>
          <w:rFonts w:cs="Arial"/>
          <w:sz w:val="22"/>
          <w:szCs w:val="22"/>
        </w:rPr>
        <w:t xml:space="preserve"> 337</w:t>
      </w:r>
      <w:bookmarkEnd w:id="39"/>
    </w:p>
    <w:p w14:paraId="597E31DF" w14:textId="77777777" w:rsidR="00855767" w:rsidRPr="00855767" w:rsidRDefault="00855767" w:rsidP="003941E5">
      <w:pPr>
        <w:spacing w:line="360" w:lineRule="auto"/>
        <w:ind w:left="720"/>
        <w:jc w:val="both"/>
      </w:pPr>
      <w:r w:rsidRPr="00855767">
        <w:rPr>
          <w:b/>
          <w:noProof/>
        </w:rPr>
        <w:drawing>
          <wp:inline distT="114300" distB="114300" distL="114300" distR="114300" wp14:anchorId="3F9FE927" wp14:editId="0F366E20">
            <wp:extent cx="5731200" cy="3759200"/>
            <wp:effectExtent l="0" t="0" r="0" b="0"/>
            <wp:docPr id="2" name="image3.png" descr="A diagram of a complex of glutamine&#10;&#10;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3.png" descr="A diagram of a complex of glutamine&#10;&#10;AI-generated content may be incorrect."/>
                    <pic:cNvPicPr preferRelativeResize="0"/>
                  </pic:nvPicPr>
                  <pic:blipFill>
                    <a:blip r:embed="rId15"/>
                    <a:srcRect/>
                    <a:stretch>
                      <a:fillRect/>
                    </a:stretch>
                  </pic:blipFill>
                  <pic:spPr>
                    <a:xfrm>
                      <a:off x="0" y="0"/>
                      <a:ext cx="5731200" cy="3759200"/>
                    </a:xfrm>
                    <a:prstGeom prst="rect">
                      <a:avLst/>
                    </a:prstGeom>
                    <a:ln/>
                  </pic:spPr>
                </pic:pic>
              </a:graphicData>
            </a:graphic>
          </wp:inline>
        </w:drawing>
      </w:r>
      <w:r w:rsidRPr="00855767">
        <w:rPr>
          <w:b/>
        </w:rPr>
        <w:t>Figure 4.</w:t>
      </w:r>
      <w:r w:rsidRPr="00855767">
        <w:t xml:space="preserve"> Metabolic reprogramming in PDAC highlighting the key enzymes hexokinase 2 (</w:t>
      </w:r>
      <w:r w:rsidRPr="00855767">
        <w:rPr>
          <w:i/>
          <w:iCs/>
        </w:rPr>
        <w:t>HK2</w:t>
      </w:r>
      <w:r w:rsidRPr="00855767">
        <w:t>), pyruvate kinase M2 (</w:t>
      </w:r>
      <w:r w:rsidRPr="00855767">
        <w:rPr>
          <w:i/>
          <w:iCs/>
        </w:rPr>
        <w:t>PKM2</w:t>
      </w:r>
      <w:r w:rsidRPr="00855767">
        <w:t>), and lactate dehydrogenase A (</w:t>
      </w:r>
      <w:r w:rsidRPr="00855767">
        <w:rPr>
          <w:i/>
          <w:iCs/>
        </w:rPr>
        <w:t>LDHA</w:t>
      </w:r>
      <w:r w:rsidRPr="00855767">
        <w:t xml:space="preserve">), which sustain aerobic glycolysis (Warburg Effect). </w:t>
      </w:r>
      <w:r w:rsidRPr="00855767">
        <w:rPr>
          <w:i/>
          <w:iCs/>
        </w:rPr>
        <w:t>HK2</w:t>
      </w:r>
      <w:r w:rsidRPr="00855767">
        <w:t xml:space="preserve"> catalyses the phosphorylation of glucose to glucose-6-phosphate, driving glycolysis and biosynthesis. </w:t>
      </w:r>
      <w:r w:rsidRPr="00855767">
        <w:rPr>
          <w:i/>
          <w:iCs/>
        </w:rPr>
        <w:t>PKM2</w:t>
      </w:r>
      <w:r w:rsidRPr="00855767">
        <w:t xml:space="preserve"> regulates phosphoenolpyruvate (PEP) conversion to pyruvate, while </w:t>
      </w:r>
      <w:r w:rsidRPr="00855767">
        <w:rPr>
          <w:i/>
          <w:iCs/>
        </w:rPr>
        <w:t>LDHA</w:t>
      </w:r>
      <w:r w:rsidRPr="00855767">
        <w:t xml:space="preserve"> converts pyruvate to lactate. Glutaminase (GLS) drives </w:t>
      </w:r>
      <w:proofErr w:type="spellStart"/>
      <w:r w:rsidRPr="00855767">
        <w:t>glutaminolysis</w:t>
      </w:r>
      <w:proofErr w:type="spellEnd"/>
      <w:r w:rsidRPr="00855767">
        <w:t xml:space="preserve">, producing glutamate and α-ketoglutarate (α-KG) to support the tricarboxylic acid (TCA) cycle. ATP citrate lyase (ACLY) plays a crucial role in the production of acetyl-CoA, thereby regulating the synthesis of cholesterol and fatty acids. The figure also illustrates the pentose phosphate pathway (PPP) and nucleotide biosynthesis, showcasing how PDAC cells coordinate multiple pathways to sustain growth and resist therapy (Wang et al., 2022). </w:t>
      </w:r>
    </w:p>
    <w:p w14:paraId="2FF2C4B6" w14:textId="77777777" w:rsidR="00855767" w:rsidRPr="00855767" w:rsidRDefault="00855767" w:rsidP="003941E5">
      <w:pPr>
        <w:spacing w:line="360" w:lineRule="auto"/>
        <w:jc w:val="both"/>
      </w:pPr>
    </w:p>
    <w:p w14:paraId="0F7147BF" w14:textId="77777777" w:rsidR="00855767" w:rsidRPr="00855767" w:rsidRDefault="00855767" w:rsidP="003941E5">
      <w:pPr>
        <w:spacing w:line="360" w:lineRule="auto"/>
        <w:jc w:val="both"/>
        <w:rPr>
          <w:b/>
        </w:rPr>
      </w:pPr>
    </w:p>
    <w:p w14:paraId="07DA24C2" w14:textId="77777777" w:rsidR="00855767" w:rsidRPr="00855767" w:rsidRDefault="00855767" w:rsidP="003941E5">
      <w:pPr>
        <w:spacing w:line="360" w:lineRule="auto"/>
        <w:jc w:val="both"/>
      </w:pPr>
      <w:r w:rsidRPr="00855767">
        <w:rPr>
          <w:b/>
        </w:rPr>
        <w:t>Table 1</w:t>
      </w:r>
      <w:r w:rsidRPr="00855767">
        <w:t>. Key glycolytic enzymes driving metabolic plasticity in PDAC, by enabling tumour cells to adapt energy production and biosynthesis to harsh conditions, such as hypoxia or chemotherapy. The most critical of these enzymes include hexokinase 2 (</w:t>
      </w:r>
      <w:r w:rsidRPr="00855767">
        <w:rPr>
          <w:i/>
          <w:iCs/>
        </w:rPr>
        <w:t>HK2</w:t>
      </w:r>
      <w:r w:rsidRPr="00855767">
        <w:t>), pyruvate kinase M2 (</w:t>
      </w:r>
      <w:r w:rsidRPr="00855767">
        <w:rPr>
          <w:i/>
          <w:iCs/>
        </w:rPr>
        <w:t>PKM2</w:t>
      </w:r>
      <w:r w:rsidRPr="00855767">
        <w:t>), and lactate dehydrogenase A (</w:t>
      </w:r>
      <w:r w:rsidRPr="00855767">
        <w:rPr>
          <w:i/>
          <w:iCs/>
        </w:rPr>
        <w:t>LDHA</w:t>
      </w:r>
      <w:r w:rsidRPr="00855767">
        <w:t>).</w:t>
      </w:r>
    </w:p>
    <w:p w14:paraId="56C0ED0F" w14:textId="77777777" w:rsidR="00855767" w:rsidRPr="00855767" w:rsidRDefault="00855767" w:rsidP="003941E5">
      <w:pPr>
        <w:spacing w:line="360" w:lineRule="auto"/>
        <w:ind w:left="720"/>
        <w:jc w:val="both"/>
      </w:pPr>
    </w:p>
    <w:tbl>
      <w:tblPr>
        <w:tblW w:w="11565" w:type="dxa"/>
        <w:tblInd w:w="-12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1200"/>
        <w:gridCol w:w="2535"/>
        <w:gridCol w:w="1935"/>
        <w:gridCol w:w="2025"/>
        <w:gridCol w:w="2160"/>
        <w:gridCol w:w="1710"/>
      </w:tblGrid>
      <w:tr w:rsidR="00855767" w:rsidRPr="00855767" w14:paraId="4DA199D0" w14:textId="77777777" w:rsidTr="00A1124C">
        <w:tc>
          <w:tcPr>
            <w:tcW w:w="1200" w:type="dxa"/>
            <w:tcMar>
              <w:top w:w="100" w:type="dxa"/>
              <w:left w:w="100" w:type="dxa"/>
              <w:bottom w:w="100" w:type="dxa"/>
              <w:right w:w="100" w:type="dxa"/>
            </w:tcMar>
          </w:tcPr>
          <w:p w14:paraId="42533656" w14:textId="77777777" w:rsidR="00855767" w:rsidRPr="00855767" w:rsidRDefault="00855767" w:rsidP="003941E5">
            <w:pPr>
              <w:widowControl w:val="0"/>
              <w:spacing w:line="360" w:lineRule="auto"/>
              <w:jc w:val="both"/>
            </w:pPr>
            <w:r w:rsidRPr="00855767">
              <w:rPr>
                <w:b/>
              </w:rPr>
              <w:t>Enzyme</w:t>
            </w:r>
          </w:p>
        </w:tc>
        <w:tc>
          <w:tcPr>
            <w:tcW w:w="2535" w:type="dxa"/>
            <w:tcMar>
              <w:top w:w="100" w:type="dxa"/>
              <w:left w:w="100" w:type="dxa"/>
              <w:bottom w:w="100" w:type="dxa"/>
              <w:right w:w="100" w:type="dxa"/>
            </w:tcMar>
          </w:tcPr>
          <w:p w14:paraId="0D584B93" w14:textId="77777777" w:rsidR="00855767" w:rsidRPr="00855767" w:rsidRDefault="00855767" w:rsidP="003941E5">
            <w:pPr>
              <w:widowControl w:val="0"/>
              <w:spacing w:line="360" w:lineRule="auto"/>
              <w:jc w:val="both"/>
            </w:pPr>
            <w:r w:rsidRPr="00855767">
              <w:rPr>
                <w:b/>
              </w:rPr>
              <w:t>Function in Glycolysis</w:t>
            </w:r>
          </w:p>
        </w:tc>
        <w:tc>
          <w:tcPr>
            <w:tcW w:w="1935" w:type="dxa"/>
            <w:tcMar>
              <w:top w:w="100" w:type="dxa"/>
              <w:left w:w="100" w:type="dxa"/>
              <w:bottom w:w="100" w:type="dxa"/>
              <w:right w:w="100" w:type="dxa"/>
            </w:tcMar>
          </w:tcPr>
          <w:p w14:paraId="0F580113" w14:textId="77777777" w:rsidR="00855767" w:rsidRPr="00855767" w:rsidRDefault="00855767" w:rsidP="003941E5">
            <w:pPr>
              <w:widowControl w:val="0"/>
              <w:spacing w:line="360" w:lineRule="auto"/>
              <w:jc w:val="both"/>
            </w:pPr>
            <w:r w:rsidRPr="00855767">
              <w:rPr>
                <w:b/>
              </w:rPr>
              <w:t>Role in PDAC</w:t>
            </w:r>
          </w:p>
        </w:tc>
        <w:tc>
          <w:tcPr>
            <w:tcW w:w="2025" w:type="dxa"/>
            <w:tcMar>
              <w:top w:w="100" w:type="dxa"/>
              <w:left w:w="100" w:type="dxa"/>
              <w:bottom w:w="100" w:type="dxa"/>
              <w:right w:w="100" w:type="dxa"/>
            </w:tcMar>
          </w:tcPr>
          <w:p w14:paraId="3E2DF1FF" w14:textId="77777777" w:rsidR="00855767" w:rsidRPr="00855767" w:rsidRDefault="00855767" w:rsidP="003941E5">
            <w:pPr>
              <w:widowControl w:val="0"/>
              <w:spacing w:line="360" w:lineRule="auto"/>
              <w:jc w:val="both"/>
            </w:pPr>
            <w:r w:rsidRPr="00855767">
              <w:rPr>
                <w:b/>
              </w:rPr>
              <w:t>Mechanism Supporting Tumour Growth</w:t>
            </w:r>
          </w:p>
        </w:tc>
        <w:tc>
          <w:tcPr>
            <w:tcW w:w="2160" w:type="dxa"/>
            <w:tcMar>
              <w:top w:w="100" w:type="dxa"/>
              <w:left w:w="100" w:type="dxa"/>
              <w:bottom w:w="100" w:type="dxa"/>
              <w:right w:w="100" w:type="dxa"/>
            </w:tcMar>
          </w:tcPr>
          <w:p w14:paraId="03A9910B" w14:textId="77777777" w:rsidR="00855767" w:rsidRPr="00855767" w:rsidRDefault="00855767" w:rsidP="003941E5">
            <w:pPr>
              <w:widowControl w:val="0"/>
              <w:spacing w:line="360" w:lineRule="auto"/>
              <w:jc w:val="both"/>
            </w:pPr>
            <w:r w:rsidRPr="00855767">
              <w:rPr>
                <w:b/>
              </w:rPr>
              <w:t>Therapeutic Targeting</w:t>
            </w:r>
          </w:p>
        </w:tc>
        <w:tc>
          <w:tcPr>
            <w:tcW w:w="1710" w:type="dxa"/>
            <w:tcMar>
              <w:top w:w="100" w:type="dxa"/>
              <w:left w:w="100" w:type="dxa"/>
              <w:bottom w:w="100" w:type="dxa"/>
              <w:right w:w="100" w:type="dxa"/>
            </w:tcMar>
          </w:tcPr>
          <w:p w14:paraId="1B2DF876" w14:textId="77777777" w:rsidR="00855767" w:rsidRPr="00855767" w:rsidRDefault="00855767" w:rsidP="003941E5">
            <w:pPr>
              <w:widowControl w:val="0"/>
              <w:spacing w:line="360" w:lineRule="auto"/>
              <w:jc w:val="both"/>
            </w:pPr>
            <w:r w:rsidRPr="00855767">
              <w:rPr>
                <w:b/>
              </w:rPr>
              <w:t>Key References</w:t>
            </w:r>
          </w:p>
        </w:tc>
      </w:tr>
      <w:tr w:rsidR="00855767" w:rsidRPr="00855767" w14:paraId="28D3F8DC" w14:textId="77777777" w:rsidTr="00A1124C">
        <w:tc>
          <w:tcPr>
            <w:tcW w:w="1200" w:type="dxa"/>
            <w:tcMar>
              <w:top w:w="100" w:type="dxa"/>
              <w:left w:w="100" w:type="dxa"/>
              <w:bottom w:w="100" w:type="dxa"/>
              <w:right w:w="100" w:type="dxa"/>
            </w:tcMar>
          </w:tcPr>
          <w:p w14:paraId="4B969D53" w14:textId="77777777" w:rsidR="00855767" w:rsidRPr="00855767" w:rsidRDefault="00855767" w:rsidP="003941E5">
            <w:pPr>
              <w:widowControl w:val="0"/>
              <w:spacing w:line="360" w:lineRule="auto"/>
              <w:jc w:val="both"/>
              <w:rPr>
                <w:i/>
                <w:iCs/>
              </w:rPr>
            </w:pPr>
            <w:r w:rsidRPr="00855767">
              <w:rPr>
                <w:b/>
                <w:i/>
                <w:iCs/>
              </w:rPr>
              <w:t>HK2</w:t>
            </w:r>
          </w:p>
        </w:tc>
        <w:tc>
          <w:tcPr>
            <w:tcW w:w="2535" w:type="dxa"/>
            <w:tcMar>
              <w:top w:w="100" w:type="dxa"/>
              <w:left w:w="100" w:type="dxa"/>
              <w:bottom w:w="100" w:type="dxa"/>
              <w:right w:w="100" w:type="dxa"/>
            </w:tcMar>
          </w:tcPr>
          <w:p w14:paraId="6C1E4E0B" w14:textId="77777777" w:rsidR="00855767" w:rsidRPr="00855767" w:rsidRDefault="00855767" w:rsidP="003941E5">
            <w:pPr>
              <w:widowControl w:val="0"/>
              <w:spacing w:line="360" w:lineRule="auto"/>
              <w:jc w:val="both"/>
            </w:pPr>
            <w:r w:rsidRPr="00855767">
              <w:t xml:space="preserve">Converts glucose to glucose-6-phosphate </w:t>
            </w:r>
          </w:p>
          <w:p w14:paraId="61A4F47B" w14:textId="77777777" w:rsidR="00855767" w:rsidRPr="00855767" w:rsidRDefault="00855767" w:rsidP="003941E5">
            <w:pPr>
              <w:widowControl w:val="0"/>
              <w:spacing w:line="360" w:lineRule="auto"/>
              <w:jc w:val="both"/>
            </w:pPr>
            <w:r w:rsidRPr="00855767">
              <w:t>(first irreversible step)</w:t>
            </w:r>
          </w:p>
        </w:tc>
        <w:tc>
          <w:tcPr>
            <w:tcW w:w="1935" w:type="dxa"/>
            <w:tcMar>
              <w:top w:w="100" w:type="dxa"/>
              <w:left w:w="100" w:type="dxa"/>
              <w:bottom w:w="100" w:type="dxa"/>
              <w:right w:w="100" w:type="dxa"/>
            </w:tcMar>
          </w:tcPr>
          <w:p w14:paraId="1043EF86" w14:textId="77777777" w:rsidR="00855767" w:rsidRPr="00855767" w:rsidRDefault="00855767" w:rsidP="003941E5">
            <w:pPr>
              <w:widowControl w:val="0"/>
              <w:spacing w:line="360" w:lineRule="auto"/>
              <w:jc w:val="both"/>
            </w:pPr>
            <w:r w:rsidRPr="00855767">
              <w:t>Overexpressed in PDAC; localised on mitochondria via VDAC</w:t>
            </w:r>
          </w:p>
        </w:tc>
        <w:tc>
          <w:tcPr>
            <w:tcW w:w="2025" w:type="dxa"/>
            <w:tcMar>
              <w:top w:w="100" w:type="dxa"/>
              <w:left w:w="100" w:type="dxa"/>
              <w:bottom w:w="100" w:type="dxa"/>
              <w:right w:w="100" w:type="dxa"/>
            </w:tcMar>
          </w:tcPr>
          <w:p w14:paraId="19489D2E" w14:textId="77777777" w:rsidR="00855767" w:rsidRPr="00855767" w:rsidRDefault="00855767" w:rsidP="003941E5">
            <w:pPr>
              <w:widowControl w:val="0"/>
              <w:spacing w:line="360" w:lineRule="auto"/>
              <w:jc w:val="both"/>
            </w:pPr>
            <w:r w:rsidRPr="00855767">
              <w:t>Traps glucose in cell; blocks apoptosis via cytochrome c inhibition</w:t>
            </w:r>
          </w:p>
        </w:tc>
        <w:tc>
          <w:tcPr>
            <w:tcW w:w="2160" w:type="dxa"/>
            <w:tcMar>
              <w:top w:w="100" w:type="dxa"/>
              <w:left w:w="100" w:type="dxa"/>
              <w:bottom w:w="100" w:type="dxa"/>
              <w:right w:w="100" w:type="dxa"/>
            </w:tcMar>
          </w:tcPr>
          <w:p w14:paraId="11C2BBB7" w14:textId="77777777" w:rsidR="00855767" w:rsidRPr="00855767" w:rsidRDefault="00855767" w:rsidP="003941E5">
            <w:pPr>
              <w:widowControl w:val="0"/>
              <w:spacing w:line="360" w:lineRule="auto"/>
              <w:jc w:val="both"/>
            </w:pPr>
            <w:r w:rsidRPr="00855767">
              <w:t>Inhibited by 3-BrPA; microencapsulated form reduces tumour growth and sensitises PCSCs to gemcitabine</w:t>
            </w:r>
          </w:p>
        </w:tc>
        <w:tc>
          <w:tcPr>
            <w:tcW w:w="1710" w:type="dxa"/>
            <w:tcMar>
              <w:top w:w="100" w:type="dxa"/>
              <w:left w:w="100" w:type="dxa"/>
              <w:bottom w:w="100" w:type="dxa"/>
              <w:right w:w="100" w:type="dxa"/>
            </w:tcMar>
          </w:tcPr>
          <w:p w14:paraId="76A81253" w14:textId="05027332" w:rsidR="00855767" w:rsidRPr="00855767" w:rsidRDefault="00855767" w:rsidP="003941E5">
            <w:pPr>
              <w:widowControl w:val="0"/>
              <w:spacing w:line="360" w:lineRule="auto"/>
              <w:jc w:val="both"/>
            </w:pPr>
            <w:r w:rsidRPr="00855767">
              <w:t xml:space="preserve">Liberti and </w:t>
            </w:r>
            <w:proofErr w:type="spellStart"/>
            <w:r w:rsidRPr="00855767">
              <w:t>Locasale</w:t>
            </w:r>
            <w:proofErr w:type="spellEnd"/>
            <w:r w:rsidRPr="00855767">
              <w:t xml:space="preserve"> (2016); Chapiro et al. (2014); Isayev et al. (2014)</w:t>
            </w:r>
          </w:p>
        </w:tc>
      </w:tr>
      <w:tr w:rsidR="00855767" w:rsidRPr="00855767" w14:paraId="7BF109B6" w14:textId="77777777" w:rsidTr="00A1124C">
        <w:tc>
          <w:tcPr>
            <w:tcW w:w="1200" w:type="dxa"/>
            <w:tcMar>
              <w:top w:w="100" w:type="dxa"/>
              <w:left w:w="100" w:type="dxa"/>
              <w:bottom w:w="100" w:type="dxa"/>
              <w:right w:w="100" w:type="dxa"/>
            </w:tcMar>
          </w:tcPr>
          <w:p w14:paraId="66FEC964" w14:textId="77777777" w:rsidR="00855767" w:rsidRPr="00855767" w:rsidRDefault="00855767" w:rsidP="003941E5">
            <w:pPr>
              <w:widowControl w:val="0"/>
              <w:spacing w:line="360" w:lineRule="auto"/>
              <w:jc w:val="both"/>
              <w:rPr>
                <w:i/>
                <w:iCs/>
              </w:rPr>
            </w:pPr>
            <w:r w:rsidRPr="00855767">
              <w:rPr>
                <w:b/>
                <w:i/>
                <w:iCs/>
              </w:rPr>
              <w:t>PKM2</w:t>
            </w:r>
          </w:p>
        </w:tc>
        <w:tc>
          <w:tcPr>
            <w:tcW w:w="2535" w:type="dxa"/>
            <w:tcMar>
              <w:top w:w="100" w:type="dxa"/>
              <w:left w:w="100" w:type="dxa"/>
              <w:bottom w:w="100" w:type="dxa"/>
              <w:right w:w="100" w:type="dxa"/>
            </w:tcMar>
          </w:tcPr>
          <w:p w14:paraId="5780E761" w14:textId="77777777" w:rsidR="00855767" w:rsidRPr="00855767" w:rsidRDefault="00855767" w:rsidP="003941E5">
            <w:pPr>
              <w:widowControl w:val="0"/>
              <w:spacing w:line="360" w:lineRule="auto"/>
              <w:jc w:val="both"/>
            </w:pPr>
            <w:r w:rsidRPr="00855767">
              <w:t>Converts phosphoenolpyruvate (PEP) to pyruvate, producing ATP</w:t>
            </w:r>
          </w:p>
        </w:tc>
        <w:tc>
          <w:tcPr>
            <w:tcW w:w="1935" w:type="dxa"/>
            <w:tcMar>
              <w:top w:w="100" w:type="dxa"/>
              <w:left w:w="100" w:type="dxa"/>
              <w:bottom w:w="100" w:type="dxa"/>
              <w:right w:w="100" w:type="dxa"/>
            </w:tcMar>
          </w:tcPr>
          <w:p w14:paraId="07395D37" w14:textId="77777777" w:rsidR="00855767" w:rsidRPr="00855767" w:rsidRDefault="00855767" w:rsidP="003941E5">
            <w:pPr>
              <w:widowControl w:val="0"/>
              <w:spacing w:line="360" w:lineRule="auto"/>
              <w:jc w:val="both"/>
            </w:pPr>
            <w:r w:rsidRPr="00855767">
              <w:t>Exists as low-activity dimer in PDAC</w:t>
            </w:r>
          </w:p>
        </w:tc>
        <w:tc>
          <w:tcPr>
            <w:tcW w:w="2025" w:type="dxa"/>
            <w:tcMar>
              <w:top w:w="100" w:type="dxa"/>
              <w:left w:w="100" w:type="dxa"/>
              <w:bottom w:w="100" w:type="dxa"/>
              <w:right w:w="100" w:type="dxa"/>
            </w:tcMar>
          </w:tcPr>
          <w:p w14:paraId="3EB9CCD0" w14:textId="77777777" w:rsidR="00855767" w:rsidRPr="00855767" w:rsidRDefault="00855767" w:rsidP="003941E5">
            <w:pPr>
              <w:widowControl w:val="0"/>
              <w:spacing w:line="360" w:lineRule="auto"/>
              <w:jc w:val="both"/>
            </w:pPr>
            <w:r w:rsidRPr="00855767">
              <w:t>Promotes anabolic biosynthesis; regulates gene transcription via HIF-1α under hypoxia</w:t>
            </w:r>
          </w:p>
        </w:tc>
        <w:tc>
          <w:tcPr>
            <w:tcW w:w="2160" w:type="dxa"/>
            <w:tcMar>
              <w:top w:w="100" w:type="dxa"/>
              <w:left w:w="100" w:type="dxa"/>
              <w:bottom w:w="100" w:type="dxa"/>
              <w:right w:w="100" w:type="dxa"/>
            </w:tcMar>
          </w:tcPr>
          <w:p w14:paraId="78F32C7D" w14:textId="77777777" w:rsidR="00855767" w:rsidRPr="00855767" w:rsidRDefault="00855767" w:rsidP="003941E5">
            <w:pPr>
              <w:widowControl w:val="0"/>
              <w:spacing w:line="360" w:lineRule="auto"/>
              <w:jc w:val="both"/>
            </w:pPr>
            <w:r w:rsidRPr="00855767">
              <w:t>Activated by TEPP-46; enhances efficacy of 2-DG in combination therapy</w:t>
            </w:r>
          </w:p>
        </w:tc>
        <w:tc>
          <w:tcPr>
            <w:tcW w:w="1710" w:type="dxa"/>
            <w:tcMar>
              <w:top w:w="100" w:type="dxa"/>
              <w:left w:w="100" w:type="dxa"/>
              <w:bottom w:w="100" w:type="dxa"/>
              <w:right w:w="100" w:type="dxa"/>
            </w:tcMar>
          </w:tcPr>
          <w:p w14:paraId="23FEAAF4" w14:textId="77777777" w:rsidR="00855767" w:rsidRPr="00855767" w:rsidRDefault="00855767" w:rsidP="003941E5">
            <w:pPr>
              <w:widowControl w:val="0"/>
              <w:spacing w:line="360" w:lineRule="auto"/>
              <w:jc w:val="both"/>
            </w:pPr>
            <w:r w:rsidRPr="00855767">
              <w:t xml:space="preserve">Mohammad et al. (2019); Tee et al. (2017); </w:t>
            </w:r>
            <w:proofErr w:type="spellStart"/>
            <w:r w:rsidRPr="00855767">
              <w:t>Angiari</w:t>
            </w:r>
            <w:proofErr w:type="spellEnd"/>
            <w:r w:rsidRPr="00855767">
              <w:t xml:space="preserve"> et al. (2020)</w:t>
            </w:r>
          </w:p>
        </w:tc>
      </w:tr>
      <w:tr w:rsidR="00855767" w:rsidRPr="00855767" w14:paraId="6CEE8277" w14:textId="77777777" w:rsidTr="00A1124C">
        <w:tc>
          <w:tcPr>
            <w:tcW w:w="1200" w:type="dxa"/>
            <w:tcMar>
              <w:top w:w="100" w:type="dxa"/>
              <w:left w:w="100" w:type="dxa"/>
              <w:bottom w:w="100" w:type="dxa"/>
              <w:right w:w="100" w:type="dxa"/>
            </w:tcMar>
          </w:tcPr>
          <w:p w14:paraId="690E785C" w14:textId="77777777" w:rsidR="00855767" w:rsidRPr="00855767" w:rsidRDefault="00855767" w:rsidP="003941E5">
            <w:pPr>
              <w:widowControl w:val="0"/>
              <w:spacing w:line="360" w:lineRule="auto"/>
              <w:jc w:val="both"/>
              <w:rPr>
                <w:i/>
                <w:iCs/>
              </w:rPr>
            </w:pPr>
            <w:r w:rsidRPr="00855767">
              <w:rPr>
                <w:b/>
                <w:i/>
                <w:iCs/>
              </w:rPr>
              <w:t>LDHA</w:t>
            </w:r>
          </w:p>
        </w:tc>
        <w:tc>
          <w:tcPr>
            <w:tcW w:w="2535" w:type="dxa"/>
            <w:tcMar>
              <w:top w:w="100" w:type="dxa"/>
              <w:left w:w="100" w:type="dxa"/>
              <w:bottom w:w="100" w:type="dxa"/>
              <w:right w:w="100" w:type="dxa"/>
            </w:tcMar>
          </w:tcPr>
          <w:p w14:paraId="6B2C5B54" w14:textId="77777777" w:rsidR="00855767" w:rsidRPr="00855767" w:rsidRDefault="00855767" w:rsidP="003941E5">
            <w:pPr>
              <w:widowControl w:val="0"/>
              <w:spacing w:line="360" w:lineRule="auto"/>
              <w:jc w:val="both"/>
            </w:pPr>
            <w:r w:rsidRPr="00855767">
              <w:t>Converts pyruvate to lactate; regenerates NAD</w:t>
            </w:r>
            <w:r w:rsidRPr="00855767">
              <w:rPr>
                <w:rFonts w:ascii="Cambria Math" w:hAnsi="Cambria Math" w:cs="Cambria Math"/>
              </w:rPr>
              <w:t>⁺</w:t>
            </w:r>
          </w:p>
        </w:tc>
        <w:tc>
          <w:tcPr>
            <w:tcW w:w="1935" w:type="dxa"/>
            <w:tcMar>
              <w:top w:w="100" w:type="dxa"/>
              <w:left w:w="100" w:type="dxa"/>
              <w:bottom w:w="100" w:type="dxa"/>
              <w:right w:w="100" w:type="dxa"/>
            </w:tcMar>
          </w:tcPr>
          <w:p w14:paraId="1FB893AA" w14:textId="77777777" w:rsidR="00855767" w:rsidRPr="00855767" w:rsidRDefault="00855767" w:rsidP="003941E5">
            <w:pPr>
              <w:widowControl w:val="0"/>
              <w:spacing w:line="360" w:lineRule="auto"/>
              <w:jc w:val="both"/>
            </w:pPr>
            <w:r w:rsidRPr="00855767">
              <w:t>Overexpressed in PDAC</w:t>
            </w:r>
          </w:p>
        </w:tc>
        <w:tc>
          <w:tcPr>
            <w:tcW w:w="2025" w:type="dxa"/>
            <w:tcMar>
              <w:top w:w="100" w:type="dxa"/>
              <w:left w:w="100" w:type="dxa"/>
              <w:bottom w:w="100" w:type="dxa"/>
              <w:right w:w="100" w:type="dxa"/>
            </w:tcMar>
          </w:tcPr>
          <w:p w14:paraId="070594D6" w14:textId="77777777" w:rsidR="00855767" w:rsidRPr="00855767" w:rsidRDefault="00855767" w:rsidP="003941E5">
            <w:pPr>
              <w:widowControl w:val="0"/>
              <w:spacing w:line="360" w:lineRule="auto"/>
              <w:jc w:val="both"/>
            </w:pPr>
            <w:r w:rsidRPr="00855767">
              <w:t>Increases lactate production; acidifies TME; promotes angiogenesis and immune evasion</w:t>
            </w:r>
          </w:p>
        </w:tc>
        <w:tc>
          <w:tcPr>
            <w:tcW w:w="2160" w:type="dxa"/>
            <w:tcMar>
              <w:top w:w="100" w:type="dxa"/>
              <w:left w:w="100" w:type="dxa"/>
              <w:bottom w:w="100" w:type="dxa"/>
              <w:right w:w="100" w:type="dxa"/>
            </w:tcMar>
          </w:tcPr>
          <w:p w14:paraId="7C2B926E" w14:textId="77777777" w:rsidR="00855767" w:rsidRPr="00855767" w:rsidRDefault="00855767" w:rsidP="003941E5">
            <w:pPr>
              <w:widowControl w:val="0"/>
              <w:spacing w:line="360" w:lineRule="auto"/>
              <w:jc w:val="both"/>
            </w:pPr>
            <w:r w:rsidRPr="00855767">
              <w:t>Inhibited by FX-11 or siRNA; reduces lactate and increases reactive oxygen species (ROS)</w:t>
            </w:r>
          </w:p>
        </w:tc>
        <w:tc>
          <w:tcPr>
            <w:tcW w:w="1710" w:type="dxa"/>
            <w:tcMar>
              <w:top w:w="100" w:type="dxa"/>
              <w:left w:w="100" w:type="dxa"/>
              <w:bottom w:w="100" w:type="dxa"/>
              <w:right w:w="100" w:type="dxa"/>
            </w:tcMar>
          </w:tcPr>
          <w:p w14:paraId="2E9D8B1C" w14:textId="77777777" w:rsidR="00855767" w:rsidRPr="00855767" w:rsidRDefault="00855767" w:rsidP="003941E5">
            <w:pPr>
              <w:widowControl w:val="0"/>
              <w:spacing w:line="360" w:lineRule="auto"/>
              <w:jc w:val="both"/>
            </w:pPr>
            <w:r w:rsidRPr="00855767">
              <w:t>Mohammad et al. (2019); Sancho et al. (2015); Alcalá et al. (2020)</w:t>
            </w:r>
          </w:p>
        </w:tc>
      </w:tr>
    </w:tbl>
    <w:p w14:paraId="15101282" w14:textId="77777777" w:rsidR="00855767" w:rsidRPr="00855767" w:rsidRDefault="00855767" w:rsidP="003941E5">
      <w:pPr>
        <w:spacing w:line="360" w:lineRule="auto"/>
        <w:ind w:left="720"/>
        <w:jc w:val="both"/>
      </w:pPr>
    </w:p>
    <w:p w14:paraId="24A2C1B2" w14:textId="77777777" w:rsidR="00855767" w:rsidRPr="00855767" w:rsidRDefault="00855767" w:rsidP="003941E5">
      <w:pPr>
        <w:spacing w:line="360" w:lineRule="auto"/>
        <w:jc w:val="both"/>
      </w:pPr>
    </w:p>
    <w:p w14:paraId="12ED938C" w14:textId="77777777" w:rsidR="00855767" w:rsidRPr="00855767" w:rsidRDefault="00855767" w:rsidP="003941E5">
      <w:pPr>
        <w:spacing w:line="360" w:lineRule="auto"/>
        <w:jc w:val="both"/>
      </w:pPr>
    </w:p>
    <w:p w14:paraId="3F421915" w14:textId="77777777" w:rsidR="00855767" w:rsidRPr="00855767" w:rsidRDefault="00855767" w:rsidP="003941E5">
      <w:pPr>
        <w:spacing w:line="360" w:lineRule="auto"/>
        <w:jc w:val="both"/>
      </w:pPr>
    </w:p>
    <w:p w14:paraId="0D20A3F9" w14:textId="77777777" w:rsidR="00CB7EB1" w:rsidRDefault="00030518" w:rsidP="003941E5">
      <w:pPr>
        <w:spacing w:line="360" w:lineRule="auto"/>
        <w:jc w:val="both"/>
      </w:pPr>
      <w:bookmarkStart w:id="40" w:name="_Hlk194339558"/>
      <w:r>
        <w:t xml:space="preserve">PDAC’s commitment to glycolysis is sustained by upregulation of several enzymes. </w:t>
      </w:r>
      <w:r w:rsidR="00855767" w:rsidRPr="00855767">
        <w:t xml:space="preserve">Based on Table 1, </w:t>
      </w:r>
      <w:r w:rsidR="0005716E">
        <w:t>these include</w:t>
      </w:r>
      <w:r w:rsidR="00374E10">
        <w:t xml:space="preserve"> </w:t>
      </w:r>
      <w:r w:rsidR="00374E10" w:rsidRPr="00374E10">
        <w:t>hexokinase 2 (</w:t>
      </w:r>
      <w:r w:rsidR="00374E10" w:rsidRPr="00374E10">
        <w:rPr>
          <w:i/>
          <w:iCs/>
        </w:rPr>
        <w:t>HK2</w:t>
      </w:r>
      <w:r w:rsidR="00374E10" w:rsidRPr="00374E10">
        <w:t>), pyruvate kinase M2 (</w:t>
      </w:r>
      <w:r w:rsidR="00374E10" w:rsidRPr="00374E10">
        <w:rPr>
          <w:i/>
          <w:iCs/>
        </w:rPr>
        <w:t>PKM2</w:t>
      </w:r>
      <w:r w:rsidR="00374E10" w:rsidRPr="00374E10">
        <w:t xml:space="preserve">), and lactate </w:t>
      </w:r>
      <w:r w:rsidR="00374E10" w:rsidRPr="00374E10">
        <w:lastRenderedPageBreak/>
        <w:t>dehydrogenase A (</w:t>
      </w:r>
      <w:r w:rsidR="00374E10" w:rsidRPr="00374E10">
        <w:rPr>
          <w:i/>
          <w:iCs/>
        </w:rPr>
        <w:t>LDHA</w:t>
      </w:r>
      <w:r w:rsidR="00374E10" w:rsidRPr="00374E10">
        <w:t>)</w:t>
      </w:r>
      <w:r w:rsidR="00CB7EB1">
        <w:t xml:space="preserve">, all of which play crucial roles in shaping tumour metabolism, survival and therapy resistance. </w:t>
      </w:r>
    </w:p>
    <w:p w14:paraId="65C90F72" w14:textId="453AF9D8" w:rsidR="00855767" w:rsidRPr="00855767" w:rsidRDefault="00CB7EB1" w:rsidP="003941E5">
      <w:pPr>
        <w:spacing w:line="360" w:lineRule="auto"/>
        <w:jc w:val="both"/>
      </w:pPr>
      <w:r w:rsidRPr="00CB7EB1">
        <w:rPr>
          <w:i/>
          <w:iCs/>
        </w:rPr>
        <w:t>HK2</w:t>
      </w:r>
      <w:r>
        <w:t xml:space="preserve"> </w:t>
      </w:r>
      <w:r w:rsidR="006937B5">
        <w:t xml:space="preserve">initiates glycolysis by catalysing </w:t>
      </w:r>
      <w:r w:rsidR="00855767" w:rsidRPr="00855767">
        <w:t>irreversible phosphorylation glucose-6-phosphate, enabling biosynthesis of nucleotides, lipids and amino acids</w:t>
      </w:r>
      <w:r w:rsidR="006937B5">
        <w:t xml:space="preserve">. Uniquely, </w:t>
      </w:r>
      <w:r w:rsidR="006937B5" w:rsidRPr="002E7106">
        <w:rPr>
          <w:i/>
          <w:iCs/>
        </w:rPr>
        <w:t xml:space="preserve">HK2 </w:t>
      </w:r>
      <w:r w:rsidR="006937B5">
        <w:t>is</w:t>
      </w:r>
      <w:r w:rsidR="00855767" w:rsidRPr="00855767">
        <w:t xml:space="preserve"> localised to the mitochondria membrane via the voltage-dependent anion channel (VDAC), where it </w:t>
      </w:r>
      <w:r w:rsidR="002E7106">
        <w:t xml:space="preserve">not only facilitates glycolytic flux but also blocks </w:t>
      </w:r>
      <w:r w:rsidR="00855767" w:rsidRPr="00855767">
        <w:t xml:space="preserve">apoptosis by blocking the release of cytochrome c (Liberti and </w:t>
      </w:r>
      <w:proofErr w:type="spellStart"/>
      <w:r w:rsidR="00855767" w:rsidRPr="00855767">
        <w:t>Locasale</w:t>
      </w:r>
      <w:proofErr w:type="spellEnd"/>
      <w:r w:rsidR="00855767" w:rsidRPr="00855767">
        <w:t xml:space="preserve">, 2016). </w:t>
      </w:r>
      <w:r w:rsidR="002E7106">
        <w:t>This dual function enables PDAC cells to survive metabolic and therapeutic stress.</w:t>
      </w:r>
    </w:p>
    <w:p w14:paraId="6D6279EE" w14:textId="77777777" w:rsidR="00855767" w:rsidRPr="00855767" w:rsidRDefault="00855767" w:rsidP="003941E5">
      <w:pPr>
        <w:spacing w:line="360" w:lineRule="auto"/>
        <w:jc w:val="both"/>
      </w:pPr>
    </w:p>
    <w:p w14:paraId="75EC806A" w14:textId="52C0DCC7" w:rsidR="00855767" w:rsidRDefault="002E7106" w:rsidP="003941E5">
      <w:pPr>
        <w:spacing w:line="360" w:lineRule="auto"/>
        <w:jc w:val="both"/>
      </w:pPr>
      <w:bookmarkStart w:id="41" w:name="_Hlk194339576"/>
      <w:bookmarkEnd w:id="40"/>
      <w:r w:rsidRPr="002E7106">
        <w:t>While</w:t>
      </w:r>
      <w:r>
        <w:rPr>
          <w:i/>
          <w:iCs/>
        </w:rPr>
        <w:t xml:space="preserve"> HK2 </w:t>
      </w:r>
      <w:r w:rsidRPr="002E7106">
        <w:t>acts as a</w:t>
      </w:r>
      <w:r w:rsidR="00A31A4B">
        <w:t>n</w:t>
      </w:r>
      <w:r w:rsidRPr="002E7106">
        <w:t xml:space="preserve"> entry point of glycolysis</w:t>
      </w:r>
      <w:r>
        <w:rPr>
          <w:i/>
          <w:iCs/>
        </w:rPr>
        <w:t xml:space="preserve">, </w:t>
      </w:r>
      <w:r w:rsidR="00855767" w:rsidRPr="00855767">
        <w:rPr>
          <w:i/>
          <w:iCs/>
        </w:rPr>
        <w:t>PKM2</w:t>
      </w:r>
      <w:r w:rsidR="00855767" w:rsidRPr="00855767">
        <w:t xml:space="preserve">, catalyses the final step of glycolysis generating one molecule of ATP. Unlike its tetrameric form in normal cells, tumour cells express the dimeric form, which has reduced catalytic activity. </w:t>
      </w:r>
      <w:r w:rsidR="00CE1877">
        <w:t xml:space="preserve">Beyond </w:t>
      </w:r>
      <w:r w:rsidR="00855767" w:rsidRPr="00855767">
        <w:t xml:space="preserve">its metabolic role, </w:t>
      </w:r>
      <w:r w:rsidR="00855767" w:rsidRPr="00855767">
        <w:rPr>
          <w:i/>
          <w:iCs/>
        </w:rPr>
        <w:t>PKM2</w:t>
      </w:r>
      <w:r w:rsidR="00855767" w:rsidRPr="00855767">
        <w:t xml:space="preserve"> also </w:t>
      </w:r>
      <w:r w:rsidR="00A04F98">
        <w:t xml:space="preserve">acts as a </w:t>
      </w:r>
      <w:r w:rsidR="00855767" w:rsidRPr="00855767">
        <w:t xml:space="preserve">transcriptional </w:t>
      </w:r>
      <w:r w:rsidR="00A04F98">
        <w:t xml:space="preserve">co-activator with </w:t>
      </w:r>
      <w:r w:rsidR="00A04F98" w:rsidRPr="00855767">
        <w:t>hypoxia-inducible factor-1α (</w:t>
      </w:r>
      <w:r w:rsidR="00A04F98" w:rsidRPr="00855767">
        <w:rPr>
          <w:i/>
          <w:iCs/>
        </w:rPr>
        <w:t>HIF-1α</w:t>
      </w:r>
      <w:r w:rsidR="00A04F98" w:rsidRPr="00855767">
        <w:t xml:space="preserve">), </w:t>
      </w:r>
      <w:r w:rsidR="00855767" w:rsidRPr="00855767">
        <w:t>under hypoxic conditions</w:t>
      </w:r>
      <w:r w:rsidR="007E7976">
        <w:t xml:space="preserve">, upregulating </w:t>
      </w:r>
      <w:r w:rsidR="00855767" w:rsidRPr="00855767">
        <w:t>glycolytic genes and suppress</w:t>
      </w:r>
      <w:r w:rsidR="007E7976">
        <w:t>ing</w:t>
      </w:r>
      <w:r w:rsidR="00855767" w:rsidRPr="00855767">
        <w:t xml:space="preserve"> mitochondrial respiration. This regulatory plasticity allows PDAC cells to maintain a more glycolytic phenotype under fluctuating metabolic conditions</w:t>
      </w:r>
      <w:r w:rsidR="00855767" w:rsidRPr="00855767">
        <w:rPr>
          <w:rFonts w:eastAsia="Times New Roman"/>
        </w:rPr>
        <w:t xml:space="preserve"> </w:t>
      </w:r>
      <w:r w:rsidR="00855767" w:rsidRPr="00855767">
        <w:t xml:space="preserve">(Mohammad et al., 2019). </w:t>
      </w:r>
      <w:r w:rsidR="00F64F83">
        <w:t>This regulatory versatility enhances metabolic plasticity. Although, TEPP-46 can activate PKM2 to restore its tetrameric form, monotherapy has proven insufficient; combination strategies are currently being explored</w:t>
      </w:r>
      <w:r w:rsidR="00A04C97" w:rsidRPr="00A04C97">
        <w:t xml:space="preserve"> (</w:t>
      </w:r>
      <w:proofErr w:type="spellStart"/>
      <w:r w:rsidR="00A04C97" w:rsidRPr="00A04C97">
        <w:t>Angiari</w:t>
      </w:r>
      <w:proofErr w:type="spellEnd"/>
      <w:r w:rsidR="00A04C97" w:rsidRPr="00A04C97">
        <w:t xml:space="preserve"> et al., 2020)</w:t>
      </w:r>
      <w:r w:rsidR="00F64F83">
        <w:t>.</w:t>
      </w:r>
      <w:r w:rsidR="00855767" w:rsidRPr="00855767">
        <w:tab/>
      </w:r>
    </w:p>
    <w:p w14:paraId="254BC25F" w14:textId="77777777" w:rsidR="007E7976" w:rsidRPr="00855767" w:rsidRDefault="007E7976" w:rsidP="003941E5">
      <w:pPr>
        <w:spacing w:line="360" w:lineRule="auto"/>
        <w:jc w:val="both"/>
      </w:pPr>
    </w:p>
    <w:p w14:paraId="0D076483" w14:textId="2BB6327D" w:rsidR="00855767" w:rsidRPr="00855767" w:rsidRDefault="00855767" w:rsidP="003941E5">
      <w:pPr>
        <w:spacing w:line="360" w:lineRule="auto"/>
        <w:jc w:val="both"/>
      </w:pPr>
      <w:r w:rsidRPr="00855767">
        <w:rPr>
          <w:i/>
          <w:iCs/>
        </w:rPr>
        <w:t>LDHA</w:t>
      </w:r>
      <w:r w:rsidRPr="00855767">
        <w:t xml:space="preserve"> catalyses the conversion pyruvate to lactate while oxidising nicotinamide adenine dinucleotide (NADH) to NAD+, enabling continued glycolytic flux</w:t>
      </w:r>
      <w:r w:rsidR="008C719D">
        <w:t xml:space="preserve"> (</w:t>
      </w:r>
      <w:r w:rsidR="008C719D" w:rsidRPr="008C719D">
        <w:t xml:space="preserve">Liberti and </w:t>
      </w:r>
      <w:proofErr w:type="spellStart"/>
      <w:r w:rsidR="008C719D" w:rsidRPr="008C719D">
        <w:t>Locasale</w:t>
      </w:r>
      <w:proofErr w:type="spellEnd"/>
      <w:r w:rsidR="008C719D" w:rsidRPr="008C719D">
        <w:t>, 2016</w:t>
      </w:r>
      <w:r w:rsidR="008C719D">
        <w:t>)</w:t>
      </w:r>
      <w:r w:rsidRPr="00855767">
        <w:rPr>
          <w:i/>
          <w:iCs/>
        </w:rPr>
        <w:t xml:space="preserve">. </w:t>
      </w:r>
      <w:r w:rsidR="007E7976" w:rsidRPr="00127D5E">
        <w:t xml:space="preserve">Its overexpression in PDAC leads to lactate </w:t>
      </w:r>
      <w:r w:rsidR="00127D5E" w:rsidRPr="00127D5E">
        <w:t>accumulation</w:t>
      </w:r>
      <w:r w:rsidR="00127D5E">
        <w:rPr>
          <w:i/>
          <w:iCs/>
        </w:rPr>
        <w:t xml:space="preserve"> and </w:t>
      </w:r>
      <w:r w:rsidRPr="00855767">
        <w:t>acidification of the TME, which facilitates tumour evasion and the formation of new blood vessels</w:t>
      </w:r>
      <w:r w:rsidR="00127D5E">
        <w:t xml:space="preserve"> (angiogenesis)</w:t>
      </w:r>
      <w:r w:rsidR="00A35C37" w:rsidRPr="00A35C37">
        <w:t xml:space="preserve"> </w:t>
      </w:r>
      <w:r w:rsidR="00A35C37">
        <w:t>(</w:t>
      </w:r>
      <w:r w:rsidR="00A35C37" w:rsidRPr="00A35C37">
        <w:t>Sancho et al., 2015</w:t>
      </w:r>
      <w:r w:rsidR="00A35C37">
        <w:t>)</w:t>
      </w:r>
      <w:r w:rsidRPr="00855767">
        <w:t>. While inhibitors such as FX-11 have shown success in preclinical trials, their use as a monotherapy is limited due to the tumour’s ability to compensate via OXPHOS</w:t>
      </w:r>
      <w:r w:rsidR="008C719D" w:rsidRPr="008C719D">
        <w:t xml:space="preserve"> </w:t>
      </w:r>
      <w:r w:rsidR="008C719D">
        <w:t>(</w:t>
      </w:r>
      <w:r w:rsidR="008C719D" w:rsidRPr="00A9007F">
        <w:t>Moir et al., 2020</w:t>
      </w:r>
      <w:r w:rsidR="008C719D">
        <w:t>)</w:t>
      </w:r>
      <w:r w:rsidRPr="00855767">
        <w:t xml:space="preserve">. However, </w:t>
      </w:r>
      <w:r w:rsidRPr="00855767">
        <w:rPr>
          <w:i/>
          <w:iCs/>
        </w:rPr>
        <w:t>LDHA</w:t>
      </w:r>
      <w:r w:rsidRPr="00855767">
        <w:t>’s centrality in regulating metabolic flexibility and redox homeostasis makes it an attractive target.</w:t>
      </w:r>
    </w:p>
    <w:p w14:paraId="6FA7AEC2" w14:textId="545D6FED" w:rsidR="00855767" w:rsidRPr="00855767" w:rsidRDefault="00855767" w:rsidP="003941E5">
      <w:pPr>
        <w:spacing w:line="360" w:lineRule="auto"/>
        <w:jc w:val="both"/>
      </w:pPr>
      <w:r w:rsidRPr="00855767">
        <w:t>Beyond their enzymatic functions, these enzymes play a crucial role in PDAC’s ability to switch between glycolysis and OXPHOS (Sancho et al., 2015; Mohammad et al., 2019; Alcalá et al., 2020). This interplay underscores PDAC’s resilience and highlights the rationale to target both pathways</w:t>
      </w:r>
      <w:r w:rsidR="00CC76AA">
        <w:t>, since their individual inhibition often triggers compensatory activation of OXPHOS.</w:t>
      </w:r>
    </w:p>
    <w:p w14:paraId="0EE83906" w14:textId="77777777" w:rsidR="00855767" w:rsidRPr="00855767" w:rsidRDefault="00855767" w:rsidP="003941E5">
      <w:pPr>
        <w:spacing w:line="360" w:lineRule="auto"/>
        <w:jc w:val="both"/>
      </w:pPr>
    </w:p>
    <w:p w14:paraId="7DE0480F" w14:textId="77777777" w:rsidR="00855767" w:rsidRPr="00855767" w:rsidRDefault="00855767" w:rsidP="003941E5">
      <w:pPr>
        <w:spacing w:line="360" w:lineRule="auto"/>
        <w:jc w:val="both"/>
      </w:pPr>
    </w:p>
    <w:bookmarkEnd w:id="41"/>
    <w:p w14:paraId="65058DC4" w14:textId="77777777" w:rsidR="00855767" w:rsidRPr="00855767" w:rsidRDefault="00855767" w:rsidP="003941E5">
      <w:pPr>
        <w:spacing w:line="360" w:lineRule="auto"/>
        <w:jc w:val="both"/>
      </w:pPr>
    </w:p>
    <w:p w14:paraId="211C7E2F" w14:textId="7F28B7BE" w:rsidR="00855767" w:rsidRPr="00855767" w:rsidRDefault="00855767" w:rsidP="003941E5">
      <w:pPr>
        <w:pStyle w:val="Heading3"/>
        <w:spacing w:line="360" w:lineRule="auto"/>
        <w:jc w:val="both"/>
        <w:rPr>
          <w:rFonts w:cs="Arial"/>
          <w:sz w:val="22"/>
          <w:szCs w:val="22"/>
        </w:rPr>
      </w:pPr>
      <w:bookmarkStart w:id="42" w:name="_pcm1ixlwktg7" w:colFirst="0" w:colLast="0"/>
      <w:bookmarkStart w:id="43" w:name="_Toc194180672"/>
      <w:bookmarkStart w:id="44" w:name="_Toc194182190"/>
      <w:bookmarkStart w:id="45" w:name="_Hlk194339605"/>
      <w:bookmarkEnd w:id="42"/>
      <w:r w:rsidRPr="00855767">
        <w:rPr>
          <w:rFonts w:cs="Arial"/>
          <w:sz w:val="22"/>
          <w:szCs w:val="22"/>
        </w:rPr>
        <w:lastRenderedPageBreak/>
        <w:t>3.3 Mitochondrial Metabolism &amp; OXPHOS</w:t>
      </w:r>
      <w:bookmarkEnd w:id="43"/>
      <w:bookmarkEnd w:id="44"/>
      <w:r w:rsidR="002142BA">
        <w:rPr>
          <w:rFonts w:cs="Arial"/>
          <w:sz w:val="22"/>
          <w:szCs w:val="22"/>
        </w:rPr>
        <w:t xml:space="preserve"> 146</w:t>
      </w:r>
    </w:p>
    <w:p w14:paraId="5D218CB7" w14:textId="1AD1EC96" w:rsidR="00855767" w:rsidRPr="00855767" w:rsidRDefault="00F02885" w:rsidP="003941E5">
      <w:pPr>
        <w:spacing w:before="240" w:after="240" w:line="360" w:lineRule="auto"/>
        <w:jc w:val="both"/>
        <w:rPr>
          <w:rFonts w:eastAsia="Times New Roman"/>
        </w:rPr>
      </w:pPr>
      <w:r>
        <w:t xml:space="preserve">While glycolysis dominates in PDAC, many tumour cells retain a functional </w:t>
      </w:r>
      <w:r w:rsidR="00855767" w:rsidRPr="00855767">
        <w:t xml:space="preserve">OXPHOS </w:t>
      </w:r>
      <w:r>
        <w:t>system enabling them to switch energy resources under metabolic and therapeutic pressure</w:t>
      </w:r>
      <w:r w:rsidR="00BB4032" w:rsidRPr="00BB4032">
        <w:t xml:space="preserve"> (Sancho et al., 2015)</w:t>
      </w:r>
      <w:r>
        <w:t>. This compensatory shift supports ATP production, redox control and biosynthetic needs when glycolysis is inhibited</w:t>
      </w:r>
      <w:r w:rsidR="00A35C37">
        <w:t xml:space="preserve"> </w:t>
      </w:r>
      <w:r w:rsidR="00A35C37" w:rsidRPr="00BB4032">
        <w:t>(Sancho et al., 2015)</w:t>
      </w:r>
      <w:r>
        <w:t>.</w:t>
      </w:r>
      <w:r w:rsidR="00855767" w:rsidRPr="00855767">
        <w:t xml:space="preserve"> </w:t>
      </w:r>
      <w:r w:rsidR="00855767" w:rsidRPr="00855767">
        <w:rPr>
          <w:rFonts w:eastAsia="Times New Roman"/>
        </w:rPr>
        <w:t xml:space="preserve">Figure </w:t>
      </w:r>
      <w:r w:rsidR="00424A25">
        <w:rPr>
          <w:rFonts w:eastAsia="Times New Roman"/>
        </w:rPr>
        <w:t>5</w:t>
      </w:r>
      <w:r w:rsidR="00855767" w:rsidRPr="00855767">
        <w:rPr>
          <w:rFonts w:eastAsia="Times New Roman"/>
        </w:rPr>
        <w:t xml:space="preserve"> illustrates </w:t>
      </w:r>
      <w:r>
        <w:rPr>
          <w:rFonts w:eastAsia="Times New Roman"/>
        </w:rPr>
        <w:t>OXPHOS occurring via</w:t>
      </w:r>
      <w:r w:rsidR="00855767" w:rsidRPr="00855767">
        <w:rPr>
          <w:rFonts w:eastAsia="Times New Roman"/>
        </w:rPr>
        <w:t xml:space="preserve"> electron transport chain (ETC),</w:t>
      </w:r>
      <w:r>
        <w:rPr>
          <w:rFonts w:eastAsia="Times New Roman"/>
        </w:rPr>
        <w:t xml:space="preserve"> comprising</w:t>
      </w:r>
      <w:r w:rsidR="00855767" w:rsidRPr="00855767">
        <w:rPr>
          <w:rFonts w:eastAsia="Times New Roman"/>
        </w:rPr>
        <w:t xml:space="preserve"> the key complexes (I-V) </w:t>
      </w:r>
      <w:r>
        <w:rPr>
          <w:rFonts w:eastAsia="Times New Roman"/>
        </w:rPr>
        <w:t xml:space="preserve">embedded in inner mitochondrial membrane. These complexes are formed by core </w:t>
      </w:r>
      <w:r w:rsidR="00F71CC2" w:rsidRPr="00855767">
        <w:rPr>
          <w:rFonts w:eastAsia="Times New Roman"/>
        </w:rPr>
        <w:t>subunits</w:t>
      </w:r>
      <w:r w:rsidR="00F71CC2">
        <w:rPr>
          <w:rFonts w:eastAsia="Times New Roman"/>
        </w:rPr>
        <w:t>, which</w:t>
      </w:r>
      <w:r w:rsidR="00261D6E">
        <w:rPr>
          <w:rFonts w:eastAsia="Times New Roman"/>
        </w:rPr>
        <w:t xml:space="preserve"> </w:t>
      </w:r>
      <w:r w:rsidR="00330334">
        <w:rPr>
          <w:rFonts w:eastAsia="Times New Roman"/>
        </w:rPr>
        <w:t xml:space="preserve">maintain a proton gradient and oxidative metabolism, </w:t>
      </w:r>
      <w:r w:rsidR="00F71CC2">
        <w:rPr>
          <w:rFonts w:eastAsia="Times New Roman"/>
        </w:rPr>
        <w:t xml:space="preserve">and show </w:t>
      </w:r>
      <w:r w:rsidR="00330334">
        <w:rPr>
          <w:rFonts w:eastAsia="Times New Roman"/>
        </w:rPr>
        <w:t>elevated mitochondrial biogenesis and respiratory capacity, especially in therapy resistant or stem-like populations</w:t>
      </w:r>
      <w:r w:rsidR="00BB4032" w:rsidRPr="00BB4032">
        <w:t xml:space="preserve"> </w:t>
      </w:r>
      <w:r w:rsidR="00BB4032" w:rsidRPr="00BB4032">
        <w:rPr>
          <w:rFonts w:eastAsia="Times New Roman"/>
        </w:rPr>
        <w:t>(Li et al., 2023)</w:t>
      </w:r>
      <w:r w:rsidR="00330334">
        <w:rPr>
          <w:rFonts w:eastAsia="Times New Roman"/>
        </w:rPr>
        <w:t>.</w:t>
      </w:r>
      <w:r w:rsidR="00855767" w:rsidRPr="00855767">
        <w:rPr>
          <w:rFonts w:eastAsia="Times New Roman"/>
        </w:rPr>
        <w:t xml:space="preserve"> However,</w:t>
      </w:r>
      <w:r w:rsidR="00123D6F">
        <w:rPr>
          <w:rFonts w:eastAsia="Times New Roman"/>
        </w:rPr>
        <w:t xml:space="preserve"> the clinical application of these inhibitors </w:t>
      </w:r>
      <w:r w:rsidR="00195B75">
        <w:rPr>
          <w:rFonts w:eastAsia="Times New Roman"/>
        </w:rPr>
        <w:t>remains</w:t>
      </w:r>
      <w:r w:rsidR="00123D6F">
        <w:rPr>
          <w:rFonts w:eastAsia="Times New Roman"/>
        </w:rPr>
        <w:t xml:space="preserve"> limited due to challenges in</w:t>
      </w:r>
      <w:r w:rsidR="00855767" w:rsidRPr="00855767">
        <w:rPr>
          <w:rFonts w:eastAsia="Times New Roman"/>
        </w:rPr>
        <w:t xml:space="preserve"> drug delivery</w:t>
      </w:r>
      <w:r w:rsidR="00123D6F">
        <w:rPr>
          <w:rFonts w:eastAsia="Times New Roman"/>
        </w:rPr>
        <w:t xml:space="preserve">, </w:t>
      </w:r>
      <w:r w:rsidR="00855767" w:rsidRPr="00855767">
        <w:rPr>
          <w:rFonts w:eastAsia="Times New Roman"/>
        </w:rPr>
        <w:t xml:space="preserve">off-target </w:t>
      </w:r>
      <w:r w:rsidR="00123D6F">
        <w:rPr>
          <w:rFonts w:eastAsia="Times New Roman"/>
        </w:rPr>
        <w:t>toxicity and tumour heterogeneity</w:t>
      </w:r>
      <w:r w:rsidR="00BB4032" w:rsidRPr="00BB4032">
        <w:t xml:space="preserve"> </w:t>
      </w:r>
      <w:r w:rsidR="00BB4032" w:rsidRPr="00BB4032">
        <w:rPr>
          <w:rFonts w:eastAsia="Times New Roman"/>
        </w:rPr>
        <w:t>(Masoud et al., 2020; Tsuji et al., 2020)</w:t>
      </w:r>
      <w:r w:rsidR="00123D6F">
        <w:rPr>
          <w:rFonts w:eastAsia="Times New Roman"/>
        </w:rPr>
        <w:t xml:space="preserve">. </w:t>
      </w:r>
      <w:r w:rsidR="0063550D">
        <w:rPr>
          <w:rFonts w:eastAsia="Times New Roman"/>
        </w:rPr>
        <w:t xml:space="preserve">These </w:t>
      </w:r>
      <w:r w:rsidR="00195B75">
        <w:rPr>
          <w:rFonts w:eastAsia="Times New Roman"/>
        </w:rPr>
        <w:t>limitations</w:t>
      </w:r>
      <w:r w:rsidR="0063550D">
        <w:rPr>
          <w:rFonts w:eastAsia="Times New Roman"/>
        </w:rPr>
        <w:t xml:space="preserve"> reinforce the need for combination therapies that target both glycolysis and OXPHOS simultaneously disrupting tumour’s capacity to switch between metabolic states and evade treatment</w:t>
      </w:r>
      <w:r w:rsidR="00A35C37">
        <w:rPr>
          <w:rFonts w:eastAsia="Times New Roman"/>
        </w:rPr>
        <w:t xml:space="preserve"> (</w:t>
      </w:r>
      <w:r w:rsidR="00A35C37" w:rsidRPr="00A35C37">
        <w:rPr>
          <w:rFonts w:eastAsia="Times New Roman"/>
        </w:rPr>
        <w:t>Aisu et al., 2024</w:t>
      </w:r>
      <w:r w:rsidR="00A35C37">
        <w:rPr>
          <w:rFonts w:eastAsia="Times New Roman"/>
        </w:rPr>
        <w:t>)</w:t>
      </w:r>
      <w:r w:rsidR="0063550D">
        <w:rPr>
          <w:rFonts w:eastAsia="Times New Roman"/>
        </w:rPr>
        <w:t>. S</w:t>
      </w:r>
      <w:r w:rsidR="00855767" w:rsidRPr="00855767">
        <w:rPr>
          <w:rFonts w:eastAsia="Times New Roman"/>
        </w:rPr>
        <w:t xml:space="preserve">pecific drug targets </w:t>
      </w:r>
      <w:r w:rsidR="00BB57B2" w:rsidRPr="00855767">
        <w:rPr>
          <w:rFonts w:eastAsia="Times New Roman"/>
        </w:rPr>
        <w:t>are</w:t>
      </w:r>
      <w:r w:rsidR="00855767" w:rsidRPr="00855767">
        <w:rPr>
          <w:rFonts w:eastAsia="Times New Roman"/>
        </w:rPr>
        <w:t xml:space="preserve"> further detailed in the accompanying table 2.</w:t>
      </w:r>
    </w:p>
    <w:bookmarkEnd w:id="45"/>
    <w:p w14:paraId="6B2038CC" w14:textId="77777777" w:rsidR="00855767" w:rsidRPr="00855767" w:rsidRDefault="00855767" w:rsidP="003941E5">
      <w:pPr>
        <w:spacing w:line="360" w:lineRule="auto"/>
        <w:jc w:val="both"/>
      </w:pPr>
    </w:p>
    <w:p w14:paraId="4E2FCEAA" w14:textId="77777777" w:rsidR="00855767" w:rsidRPr="00855767" w:rsidRDefault="00855767" w:rsidP="003941E5">
      <w:pPr>
        <w:spacing w:line="360" w:lineRule="auto"/>
        <w:jc w:val="both"/>
      </w:pPr>
    </w:p>
    <w:p w14:paraId="1B18209C" w14:textId="77777777" w:rsidR="00855767" w:rsidRPr="00855767" w:rsidRDefault="00855767" w:rsidP="003941E5">
      <w:pPr>
        <w:spacing w:line="360" w:lineRule="auto"/>
        <w:jc w:val="both"/>
      </w:pPr>
    </w:p>
    <w:p w14:paraId="07A7B3C7" w14:textId="77777777" w:rsidR="00855767" w:rsidRPr="00855767" w:rsidRDefault="00855767" w:rsidP="003941E5">
      <w:pPr>
        <w:tabs>
          <w:tab w:val="left" w:pos="1330"/>
        </w:tabs>
        <w:spacing w:line="360" w:lineRule="auto"/>
        <w:jc w:val="both"/>
      </w:pPr>
    </w:p>
    <w:p w14:paraId="47A8881F" w14:textId="77777777" w:rsidR="00855767" w:rsidRPr="00855767" w:rsidRDefault="00855767" w:rsidP="003941E5">
      <w:pPr>
        <w:spacing w:before="100" w:beforeAutospacing="1" w:after="100" w:afterAutospacing="1" w:line="360" w:lineRule="auto"/>
        <w:jc w:val="both"/>
      </w:pPr>
      <w:r w:rsidRPr="00855767">
        <w:rPr>
          <w:noProof/>
        </w:rPr>
        <w:lastRenderedPageBreak/>
        <w:drawing>
          <wp:inline distT="114300" distB="114300" distL="114300" distR="114300" wp14:anchorId="0FF3CF21" wp14:editId="175DD9F7">
            <wp:extent cx="5731200" cy="5727700"/>
            <wp:effectExtent l="0" t="0" r="0" b="0"/>
            <wp:docPr id="5" name="image2.png" descr="A diagram of a transport chain"/>
            <wp:cNvGraphicFramePr/>
            <a:graphic xmlns:a="http://schemas.openxmlformats.org/drawingml/2006/main">
              <a:graphicData uri="http://schemas.openxmlformats.org/drawingml/2006/picture">
                <pic:pic xmlns:pic="http://schemas.openxmlformats.org/drawingml/2006/picture">
                  <pic:nvPicPr>
                    <pic:cNvPr id="5" name="image2.png" descr="A diagram of a transport chain"/>
                    <pic:cNvPicPr preferRelativeResize="0"/>
                  </pic:nvPicPr>
                  <pic:blipFill>
                    <a:blip r:embed="rId16"/>
                    <a:srcRect/>
                    <a:stretch>
                      <a:fillRect/>
                    </a:stretch>
                  </pic:blipFill>
                  <pic:spPr>
                    <a:xfrm>
                      <a:off x="0" y="0"/>
                      <a:ext cx="5731200" cy="5727700"/>
                    </a:xfrm>
                    <a:prstGeom prst="rect">
                      <a:avLst/>
                    </a:prstGeom>
                    <a:ln/>
                  </pic:spPr>
                </pic:pic>
              </a:graphicData>
            </a:graphic>
          </wp:inline>
        </w:drawing>
      </w:r>
    </w:p>
    <w:p w14:paraId="277AFB42" w14:textId="155FF06A" w:rsidR="00855767" w:rsidRPr="00855767" w:rsidRDefault="00855767" w:rsidP="003941E5">
      <w:pPr>
        <w:spacing w:line="360" w:lineRule="auto"/>
        <w:jc w:val="both"/>
      </w:pPr>
      <w:bookmarkStart w:id="46" w:name="_axk0up32vs7m" w:colFirst="0" w:colLast="0"/>
      <w:bookmarkEnd w:id="46"/>
      <w:r w:rsidRPr="00855767">
        <w:rPr>
          <w:b/>
        </w:rPr>
        <w:t xml:space="preserve">Figure 5. </w:t>
      </w:r>
      <w:r w:rsidRPr="00855767">
        <w:t xml:space="preserve"> </w:t>
      </w:r>
      <w:r w:rsidR="009053FF">
        <w:t>T</w:t>
      </w:r>
      <w:r w:rsidRPr="00855767">
        <w:t>he electron transport chain (ETC) and associated drug targets in PDAC. ETC complexes are shown (Complex I-V) along with representative gene subunits (</w:t>
      </w:r>
      <w:r w:rsidRPr="00855767">
        <w:rPr>
          <w:i/>
          <w:iCs/>
        </w:rPr>
        <w:t>NDUFS1</w:t>
      </w:r>
      <w:r w:rsidRPr="00855767">
        <w:t xml:space="preserve">, </w:t>
      </w:r>
      <w:r w:rsidRPr="00855767">
        <w:rPr>
          <w:i/>
          <w:iCs/>
        </w:rPr>
        <w:t>SDHA</w:t>
      </w:r>
      <w:r w:rsidRPr="00855767">
        <w:t xml:space="preserve">, </w:t>
      </w:r>
      <w:proofErr w:type="spellStart"/>
      <w:r w:rsidRPr="00855767">
        <w:t>CoQ</w:t>
      </w:r>
      <w:proofErr w:type="spellEnd"/>
      <w:r w:rsidRPr="00855767">
        <w:t xml:space="preserve">, </w:t>
      </w:r>
      <w:proofErr w:type="spellStart"/>
      <w:r w:rsidRPr="00855767">
        <w:t>Cyt</w:t>
      </w:r>
      <w:proofErr w:type="spellEnd"/>
      <w:r w:rsidRPr="00855767">
        <w:t xml:space="preserve"> c, </w:t>
      </w:r>
      <w:r w:rsidRPr="00855767">
        <w:rPr>
          <w:i/>
          <w:iCs/>
        </w:rPr>
        <w:t>COX6B2</w:t>
      </w:r>
      <w:r w:rsidRPr="00855767">
        <w:t xml:space="preserve">, FO). </w:t>
      </w:r>
      <w:r w:rsidR="00825D8C">
        <w:t>The ETC consists of five membrane bound complexes</w:t>
      </w:r>
      <w:r w:rsidR="0031721A">
        <w:t xml:space="preserve"> located in the inner mitochondrial membrane. These complexes maintain proton gradient necessary for ATP production via oxidative phosphorylation (OXPHOS), a process often upregulated in therapy resistant cells. </w:t>
      </w:r>
      <w:r w:rsidR="00AA60BE">
        <w:t xml:space="preserve">Pharmacological inhibitors targeting these complexes include </w:t>
      </w:r>
      <w:r w:rsidRPr="00855767">
        <w:t xml:space="preserve">Metformin, Phenformin, and IACS-010759 inhibit </w:t>
      </w:r>
      <w:r w:rsidR="008D5717">
        <w:t>(</w:t>
      </w:r>
      <w:r w:rsidRPr="00855767">
        <w:t>Complex I</w:t>
      </w:r>
      <w:r w:rsidR="008D5717">
        <w:t>)</w:t>
      </w:r>
      <w:r w:rsidR="00E23F56">
        <w:t xml:space="preserve">, </w:t>
      </w:r>
      <w:r w:rsidRPr="00855767">
        <w:t xml:space="preserve">Atovaquone </w:t>
      </w:r>
      <w:r w:rsidR="008D5717">
        <w:t>(</w:t>
      </w:r>
      <w:r w:rsidRPr="00855767">
        <w:t>Complex III</w:t>
      </w:r>
      <w:r w:rsidR="008D5717">
        <w:t xml:space="preserve">), </w:t>
      </w:r>
      <w:r w:rsidRPr="00855767">
        <w:t xml:space="preserve">Arsenic trioxide </w:t>
      </w:r>
      <w:r w:rsidR="008D5717">
        <w:t>(</w:t>
      </w:r>
      <w:r w:rsidRPr="00855767">
        <w:t>Complex IV</w:t>
      </w:r>
      <w:r w:rsidR="00E23F56">
        <w:t>) and</w:t>
      </w:r>
      <w:r w:rsidR="008D5717">
        <w:t xml:space="preserve"> </w:t>
      </w:r>
      <w:r w:rsidRPr="00855767">
        <w:t>Oligomycin</w:t>
      </w:r>
      <w:r w:rsidR="00E23F56">
        <w:t xml:space="preserve"> </w:t>
      </w:r>
      <w:r w:rsidRPr="00855767">
        <w:t xml:space="preserve">(Complex V). </w:t>
      </w:r>
      <w:r w:rsidR="00E23F56">
        <w:t>Disrupting this pathway can reduce ATP levels, increase ROS and sensitise tumours to glycolytic inhibition.</w:t>
      </w:r>
      <w:r w:rsidR="00E23F56" w:rsidRPr="00E23F56">
        <w:t xml:space="preserve"> </w:t>
      </w:r>
      <w:r w:rsidR="00E23F56" w:rsidRPr="00855767">
        <w:t>See the legend for gene functions.</w:t>
      </w:r>
      <w:r w:rsidR="0084751E">
        <w:t xml:space="preserve"> </w:t>
      </w:r>
      <w:r w:rsidR="0084751E" w:rsidRPr="0084751E">
        <w:rPr>
          <w:i/>
          <w:iCs/>
        </w:rPr>
        <w:t xml:space="preserve">Created </w:t>
      </w:r>
      <w:r w:rsidR="003D7795">
        <w:rPr>
          <w:i/>
          <w:iCs/>
        </w:rPr>
        <w:t>by</w:t>
      </w:r>
      <w:r w:rsidR="0084751E" w:rsidRPr="0084751E">
        <w:rPr>
          <w:i/>
          <w:iCs/>
        </w:rPr>
        <w:t xml:space="preserve"> BioRender.com</w:t>
      </w:r>
      <w:r w:rsidR="006A551D">
        <w:rPr>
          <w:i/>
          <w:iCs/>
        </w:rPr>
        <w:t>.</w:t>
      </w:r>
    </w:p>
    <w:p w14:paraId="3405DF54" w14:textId="77777777" w:rsidR="00855767" w:rsidRPr="00855767" w:rsidRDefault="00855767" w:rsidP="003941E5">
      <w:pPr>
        <w:spacing w:line="360" w:lineRule="auto"/>
        <w:jc w:val="both"/>
      </w:pPr>
    </w:p>
    <w:p w14:paraId="25E8BF30" w14:textId="77777777" w:rsidR="00855767" w:rsidRPr="00855767" w:rsidRDefault="00855767" w:rsidP="003941E5">
      <w:pPr>
        <w:spacing w:line="360" w:lineRule="auto"/>
        <w:jc w:val="both"/>
      </w:pPr>
    </w:p>
    <w:p w14:paraId="6CFB4DE8" w14:textId="77777777" w:rsidR="00855767" w:rsidRPr="00855767" w:rsidRDefault="00855767" w:rsidP="003941E5">
      <w:pPr>
        <w:pStyle w:val="Heading2"/>
        <w:spacing w:line="360" w:lineRule="auto"/>
        <w:jc w:val="both"/>
        <w:rPr>
          <w:rFonts w:ascii="Arial" w:hAnsi="Arial" w:cs="Arial"/>
          <w:sz w:val="22"/>
          <w:szCs w:val="22"/>
        </w:rPr>
      </w:pPr>
      <w:bookmarkStart w:id="47" w:name="_Toc194120295"/>
      <w:bookmarkStart w:id="48" w:name="_Toc194180673"/>
      <w:bookmarkStart w:id="49" w:name="_Toc194182191"/>
      <w:r w:rsidRPr="00855767">
        <w:rPr>
          <w:rFonts w:ascii="Arial" w:hAnsi="Arial" w:cs="Arial"/>
          <w:sz w:val="22"/>
          <w:szCs w:val="22"/>
        </w:rPr>
        <w:lastRenderedPageBreak/>
        <w:t>4. Treatment Landscape and Limitations</w:t>
      </w:r>
      <w:bookmarkStart w:id="50" w:name="_5yhm2aupogom" w:colFirst="0" w:colLast="0"/>
      <w:bookmarkEnd w:id="47"/>
      <w:bookmarkEnd w:id="48"/>
      <w:bookmarkEnd w:id="49"/>
      <w:bookmarkEnd w:id="50"/>
    </w:p>
    <w:p w14:paraId="7FE8A354" w14:textId="3D64DFE5" w:rsidR="00855767" w:rsidRPr="00855767" w:rsidRDefault="00855767" w:rsidP="003941E5">
      <w:pPr>
        <w:pStyle w:val="Heading3"/>
        <w:spacing w:line="360" w:lineRule="auto"/>
        <w:jc w:val="both"/>
        <w:rPr>
          <w:rFonts w:cs="Arial"/>
          <w:sz w:val="22"/>
          <w:szCs w:val="22"/>
        </w:rPr>
      </w:pPr>
      <w:bookmarkStart w:id="51" w:name="_Toc194180674"/>
      <w:bookmarkStart w:id="52" w:name="_Toc194182192"/>
      <w:r w:rsidRPr="00855767">
        <w:rPr>
          <w:rFonts w:cs="Arial"/>
          <w:sz w:val="22"/>
          <w:szCs w:val="22"/>
        </w:rPr>
        <w:t>4.1 Current Conventional Therapies</w:t>
      </w:r>
      <w:bookmarkEnd w:id="51"/>
      <w:bookmarkEnd w:id="52"/>
      <w:r w:rsidR="002142BA">
        <w:rPr>
          <w:rFonts w:cs="Arial"/>
          <w:sz w:val="22"/>
          <w:szCs w:val="22"/>
        </w:rPr>
        <w:t xml:space="preserve"> 230</w:t>
      </w:r>
    </w:p>
    <w:p w14:paraId="1ACEDD02" w14:textId="701615E5" w:rsidR="00855767" w:rsidRPr="00855767" w:rsidRDefault="00855767" w:rsidP="003941E5">
      <w:pPr>
        <w:spacing w:line="360" w:lineRule="auto"/>
        <w:jc w:val="both"/>
      </w:pPr>
      <w:r w:rsidRPr="00855767">
        <w:t>Despite advances in oncology, fewer than 20% of PDAC patients qualify for surgical resection, the only curative option</w:t>
      </w:r>
      <w:r w:rsidR="00A35C37" w:rsidRPr="00A35C37">
        <w:t xml:space="preserve"> </w:t>
      </w:r>
      <w:r w:rsidR="00A35C37">
        <w:t>(</w:t>
      </w:r>
      <w:r w:rsidR="00A35C37" w:rsidRPr="00855767">
        <w:t>Sarantis et al., 2020)</w:t>
      </w:r>
      <w:r w:rsidRPr="00855767">
        <w:t xml:space="preserve">. Even among those who undergo surgery, the recurrence rate remains high, </w:t>
      </w:r>
      <w:r w:rsidR="00F9399A">
        <w:t xml:space="preserve">limiting </w:t>
      </w:r>
      <w:r w:rsidRPr="00855767">
        <w:t xml:space="preserve">long-term survival. For </w:t>
      </w:r>
      <w:r w:rsidR="0037737E">
        <w:t xml:space="preserve">most </w:t>
      </w:r>
      <w:r w:rsidRPr="00855767">
        <w:t>patients, systemic chemotherapy, specifically gemcitabine-based regimens, remains the primary treatment. Gemcitabine, a nucleoside analogue, disrupts DNA replication and slows down tumour</w:t>
      </w:r>
      <w:r w:rsidR="00F9399A">
        <w:t xml:space="preserve"> progression. But</w:t>
      </w:r>
      <w:r w:rsidRPr="00855767">
        <w:t xml:space="preserve"> its clinical application is limited by intrinsic and acquired resistance mechanisms. Intrinsic resistance refers to pre-existing clinical genetic traits that reduce drug efficacy, wh</w:t>
      </w:r>
      <w:r w:rsidR="001845E3">
        <w:t>ereas</w:t>
      </w:r>
      <w:r w:rsidRPr="00855767">
        <w:t xml:space="preserve"> acquired resistance develops during treatment as tumour cells adapt upon exposure (Sarantis et al., 2020). </w:t>
      </w:r>
    </w:p>
    <w:p w14:paraId="0D014336" w14:textId="60DF21DF" w:rsidR="00855767" w:rsidRPr="00855767" w:rsidRDefault="000F163A" w:rsidP="003941E5">
      <w:pPr>
        <w:spacing w:line="360" w:lineRule="auto"/>
        <w:jc w:val="both"/>
      </w:pPr>
      <w:r w:rsidRPr="00855767">
        <w:t>To</w:t>
      </w:r>
      <w:r>
        <w:t xml:space="preserve"> enhance response rates</w:t>
      </w:r>
      <w:r w:rsidR="00855767" w:rsidRPr="00855767">
        <w:t>, FOLFIRINOX</w:t>
      </w:r>
      <w:r>
        <w:t xml:space="preserve"> combination regimen</w:t>
      </w:r>
      <w:r w:rsidR="00855767" w:rsidRPr="00855767">
        <w:t xml:space="preserve"> </w:t>
      </w:r>
      <w:r>
        <w:t xml:space="preserve">was </w:t>
      </w:r>
      <w:r w:rsidR="00195B75">
        <w:t>developed</w:t>
      </w:r>
      <w:r w:rsidR="00195B75" w:rsidRPr="00855767">
        <w:t xml:space="preserve">, </w:t>
      </w:r>
      <w:r w:rsidR="00195B75">
        <w:t>incorporating</w:t>
      </w:r>
      <w:r>
        <w:t xml:space="preserve"> </w:t>
      </w:r>
      <w:r w:rsidR="00855767" w:rsidRPr="00855767">
        <w:t>5-fluorouracil (5-FU), folinic acid, irinotecan, and oxaliplatin</w:t>
      </w:r>
      <w:r w:rsidR="00BD0099">
        <w:t xml:space="preserve">, each disrupting </w:t>
      </w:r>
      <w:r w:rsidR="00855767" w:rsidRPr="00855767">
        <w:t>DNA synthesis</w:t>
      </w:r>
      <w:r w:rsidR="00BD0099">
        <w:t xml:space="preserve"> </w:t>
      </w:r>
      <w:r w:rsidR="00594E50">
        <w:t xml:space="preserve">or </w:t>
      </w:r>
      <w:r w:rsidR="00594E50" w:rsidRPr="00855767">
        <w:t>repair</w:t>
      </w:r>
      <w:r w:rsidR="00855767" w:rsidRPr="00855767">
        <w:t xml:space="preserve"> through distinct </w:t>
      </w:r>
      <w:r w:rsidR="00594E50" w:rsidRPr="00855767">
        <w:t>mechanisms</w:t>
      </w:r>
      <w:r w:rsidR="00594E50">
        <w:t xml:space="preserve"> (</w:t>
      </w:r>
      <w:r w:rsidR="00BD0099">
        <w:t>Table 2)</w:t>
      </w:r>
      <w:r w:rsidR="00855767" w:rsidRPr="00855767">
        <w:t xml:space="preserve">. The multidrug approach enhanced the patient outcomes and overall survival compared to gemcitabine alone. However, </w:t>
      </w:r>
      <w:r w:rsidR="002F26AC">
        <w:t xml:space="preserve">its intensive profile in </w:t>
      </w:r>
      <w:r w:rsidR="00F80AAC">
        <w:t>severe toxicity</w:t>
      </w:r>
      <w:r w:rsidR="00855767" w:rsidRPr="00855767">
        <w:t>, including neutropenia, fatigue, and gastrointestinal disturbances, th</w:t>
      </w:r>
      <w:r w:rsidR="00F80AAC">
        <w:t>us</w:t>
      </w:r>
      <w:r w:rsidR="00855767" w:rsidRPr="00855767">
        <w:t xml:space="preserve"> making it </w:t>
      </w:r>
      <w:r w:rsidR="002F26AC">
        <w:t xml:space="preserve">suitable only for </w:t>
      </w:r>
      <w:r w:rsidR="00855767" w:rsidRPr="00855767">
        <w:t xml:space="preserve">younger </w:t>
      </w:r>
      <w:r w:rsidR="002F26AC">
        <w:t xml:space="preserve">patients </w:t>
      </w:r>
      <w:r w:rsidR="00855767" w:rsidRPr="00855767">
        <w:t xml:space="preserve">(Liu et al., 2018). </w:t>
      </w:r>
    </w:p>
    <w:p w14:paraId="56673965" w14:textId="6DFE7FA6" w:rsidR="00855767" w:rsidRPr="00B467E9" w:rsidRDefault="00F80AAC" w:rsidP="003941E5">
      <w:pPr>
        <w:spacing w:line="360" w:lineRule="auto"/>
        <w:jc w:val="both"/>
        <w:rPr>
          <w:i/>
          <w:iCs/>
        </w:rPr>
      </w:pPr>
      <w:r>
        <w:t xml:space="preserve">While </w:t>
      </w:r>
      <w:r w:rsidR="00855767" w:rsidRPr="00855767">
        <w:t>both FOLFIRINOX and gemcitabine regimens offer short-term</w:t>
      </w:r>
      <w:r w:rsidR="00E51B84">
        <w:t xml:space="preserve"> disease control, their long-term impact is limited</w:t>
      </w:r>
      <w:r w:rsidR="00A35C37" w:rsidRPr="00A35C37">
        <w:t xml:space="preserve"> </w:t>
      </w:r>
      <w:r w:rsidR="00A35C37">
        <w:t>(</w:t>
      </w:r>
      <w:r w:rsidR="00A35C37" w:rsidRPr="00A35C37">
        <w:t>Fan et al., 2024</w:t>
      </w:r>
      <w:r w:rsidR="00A35C37">
        <w:t>)</w:t>
      </w:r>
      <w:r w:rsidR="00855767" w:rsidRPr="00855767">
        <w:t xml:space="preserve">. </w:t>
      </w:r>
      <w:r w:rsidR="00E51B84">
        <w:t>Hi</w:t>
      </w:r>
      <w:r w:rsidR="00855767" w:rsidRPr="00855767">
        <w:t>gh recurrence rates and dose-limiting toxicity</w:t>
      </w:r>
      <w:r w:rsidR="00E51B84">
        <w:t xml:space="preserve"> hinder durable responses</w:t>
      </w:r>
      <w:r w:rsidR="00855767" w:rsidRPr="00855767">
        <w:t xml:space="preserve">. </w:t>
      </w:r>
      <w:r w:rsidR="00333943">
        <w:t xml:space="preserve">These limitations highlight inadequacy of current cytotoxic approaches in addressing PDAC’s complex resistance mechanisms. </w:t>
      </w:r>
      <w:r w:rsidR="000D61A6">
        <w:t xml:space="preserve">As discussed in the following section, one key contributor to treatment failure is chemotherapy-induced metabolic reprogramming, which reinforces the need to integrate metabolic </w:t>
      </w:r>
      <w:r w:rsidR="00BD0BDA">
        <w:t>vulnerabilities into future treatment strategies.</w:t>
      </w:r>
    </w:p>
    <w:p w14:paraId="3D4F8D34" w14:textId="77777777" w:rsidR="006C0E30" w:rsidRDefault="006C0E30" w:rsidP="003941E5">
      <w:pPr>
        <w:spacing w:line="360" w:lineRule="auto"/>
        <w:jc w:val="both"/>
      </w:pPr>
    </w:p>
    <w:p w14:paraId="24C7CA3C" w14:textId="77777777" w:rsidR="00F71CC2" w:rsidRDefault="00F71CC2" w:rsidP="003941E5">
      <w:pPr>
        <w:spacing w:line="360" w:lineRule="auto"/>
        <w:jc w:val="both"/>
      </w:pPr>
    </w:p>
    <w:p w14:paraId="41D3C661" w14:textId="77777777" w:rsidR="00F71CC2" w:rsidRDefault="00F71CC2" w:rsidP="003941E5">
      <w:pPr>
        <w:spacing w:line="360" w:lineRule="auto"/>
        <w:jc w:val="both"/>
      </w:pPr>
    </w:p>
    <w:p w14:paraId="67E03BC5" w14:textId="77777777" w:rsidR="00F71CC2" w:rsidRDefault="00F71CC2" w:rsidP="003941E5">
      <w:pPr>
        <w:spacing w:line="360" w:lineRule="auto"/>
        <w:jc w:val="both"/>
      </w:pPr>
    </w:p>
    <w:p w14:paraId="6FB4D3C2" w14:textId="77777777" w:rsidR="00F71CC2" w:rsidRDefault="00F71CC2" w:rsidP="003941E5">
      <w:pPr>
        <w:spacing w:line="360" w:lineRule="auto"/>
        <w:jc w:val="both"/>
      </w:pPr>
    </w:p>
    <w:p w14:paraId="4B04927C" w14:textId="77777777" w:rsidR="00F71CC2" w:rsidRDefault="00F71CC2" w:rsidP="003941E5">
      <w:pPr>
        <w:spacing w:line="360" w:lineRule="auto"/>
        <w:jc w:val="both"/>
      </w:pPr>
    </w:p>
    <w:p w14:paraId="5A837B34" w14:textId="77777777" w:rsidR="00F71CC2" w:rsidRDefault="00F71CC2" w:rsidP="003941E5">
      <w:pPr>
        <w:spacing w:line="360" w:lineRule="auto"/>
        <w:jc w:val="both"/>
      </w:pPr>
    </w:p>
    <w:p w14:paraId="5CC4636E" w14:textId="77777777" w:rsidR="00F71CC2" w:rsidRPr="00855767" w:rsidRDefault="00F71CC2" w:rsidP="003941E5">
      <w:pPr>
        <w:spacing w:line="360" w:lineRule="auto"/>
        <w:jc w:val="both"/>
      </w:pPr>
    </w:p>
    <w:p w14:paraId="2B0C8DA0" w14:textId="0AE149A4" w:rsidR="006C0E30" w:rsidRPr="00B467E9" w:rsidRDefault="006C0E30" w:rsidP="003941E5">
      <w:pPr>
        <w:pStyle w:val="Heading2"/>
        <w:spacing w:line="360" w:lineRule="auto"/>
        <w:jc w:val="both"/>
        <w:rPr>
          <w:i/>
          <w:iCs/>
        </w:rPr>
      </w:pPr>
      <w:bookmarkStart w:id="53" w:name="_Hlk194340099"/>
    </w:p>
    <w:p w14:paraId="1BA1FD75" w14:textId="77777777" w:rsidR="006C0E30" w:rsidRPr="00855767" w:rsidRDefault="006C0E30" w:rsidP="003941E5">
      <w:pPr>
        <w:spacing w:line="360" w:lineRule="auto"/>
        <w:jc w:val="both"/>
      </w:pPr>
    </w:p>
    <w:bookmarkEnd w:id="53"/>
    <w:p w14:paraId="28BEEE75" w14:textId="77777777" w:rsidR="00BD0BDA" w:rsidRDefault="00BD0BDA" w:rsidP="003941E5">
      <w:pPr>
        <w:spacing w:line="360" w:lineRule="auto"/>
        <w:jc w:val="both"/>
        <w:rPr>
          <w:b/>
        </w:rPr>
      </w:pPr>
    </w:p>
    <w:p w14:paraId="7D709A7B" w14:textId="2EB36DA6" w:rsidR="00855767" w:rsidRPr="00855767" w:rsidRDefault="00855767" w:rsidP="003941E5">
      <w:pPr>
        <w:spacing w:line="360" w:lineRule="auto"/>
        <w:jc w:val="both"/>
      </w:pPr>
      <w:r w:rsidRPr="00855767">
        <w:rPr>
          <w:b/>
        </w:rPr>
        <w:lastRenderedPageBreak/>
        <w:t xml:space="preserve">Table 2. </w:t>
      </w:r>
      <w:r w:rsidR="00A35C37" w:rsidRPr="00A35C37">
        <w:rPr>
          <w:bCs/>
        </w:rPr>
        <w:t>Mechanisms and side effects of Chemotherapeutic Agents in PDAC treatment. summarised from Anand et al. (2022)</w:t>
      </w:r>
      <w:r w:rsidR="00A35C37">
        <w:rPr>
          <w:bCs/>
        </w:rPr>
        <w:t>.</w:t>
      </w:r>
      <w:r w:rsidR="00A35C37">
        <w:rPr>
          <w:b/>
        </w:rPr>
        <w:t xml:space="preserve"> </w:t>
      </w:r>
      <w:r w:rsidRPr="00855767">
        <w:t>This table summarises the drugs, including components of the FOLFIRINOX regimen (5-fluorouracil, leucovorin, irinotecan, and oxaliplatin), as well as gemcitabine, nab-paclitaxel, erlotinib, and cisplatin. Each drug disrupts cellular processes, including DNA synthesis, replication, and repair mechanisms; mitotic division; and receptor-mediated signalling, resulting in a cytotoxic effect against PDAC cells (Anand et al., 2022)</w:t>
      </w:r>
      <w:r w:rsidR="00594E50">
        <w:t>.</w:t>
      </w:r>
    </w:p>
    <w:p w14:paraId="63E36561" w14:textId="77777777" w:rsidR="00855767" w:rsidRPr="00855767" w:rsidRDefault="00855767" w:rsidP="003941E5">
      <w:pPr>
        <w:spacing w:line="360" w:lineRule="auto"/>
        <w:jc w:val="both"/>
      </w:pPr>
    </w:p>
    <w:tbl>
      <w:tblPr>
        <w:tblW w:w="0" w:type="auto"/>
        <w:tblInd w:w="-10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880"/>
        <w:gridCol w:w="2880"/>
        <w:gridCol w:w="2880"/>
      </w:tblGrid>
      <w:tr w:rsidR="00855767" w:rsidRPr="00855767" w14:paraId="0FD0875E" w14:textId="77777777" w:rsidTr="00A1124C">
        <w:tc>
          <w:tcPr>
            <w:tcW w:w="2880" w:type="dxa"/>
          </w:tcPr>
          <w:p w14:paraId="25B52E74" w14:textId="77777777" w:rsidR="00855767" w:rsidRPr="00855767" w:rsidRDefault="00855767" w:rsidP="003941E5">
            <w:pPr>
              <w:spacing w:line="360" w:lineRule="auto"/>
              <w:jc w:val="both"/>
            </w:pPr>
            <w:r w:rsidRPr="00855767">
              <w:t>Agent</w:t>
            </w:r>
          </w:p>
        </w:tc>
        <w:tc>
          <w:tcPr>
            <w:tcW w:w="2880" w:type="dxa"/>
          </w:tcPr>
          <w:p w14:paraId="32C3E76A" w14:textId="77777777" w:rsidR="00855767" w:rsidRPr="00855767" w:rsidRDefault="00855767" w:rsidP="003941E5">
            <w:pPr>
              <w:spacing w:line="360" w:lineRule="auto"/>
              <w:jc w:val="both"/>
            </w:pPr>
            <w:r w:rsidRPr="00855767">
              <w:t>Mechanism of Action</w:t>
            </w:r>
          </w:p>
        </w:tc>
        <w:tc>
          <w:tcPr>
            <w:tcW w:w="2880" w:type="dxa"/>
          </w:tcPr>
          <w:p w14:paraId="2091AE18" w14:textId="77777777" w:rsidR="00855767" w:rsidRPr="00855767" w:rsidRDefault="00855767" w:rsidP="003941E5">
            <w:pPr>
              <w:spacing w:line="360" w:lineRule="auto"/>
              <w:jc w:val="both"/>
            </w:pPr>
            <w:r w:rsidRPr="00855767">
              <w:t>Side Effects</w:t>
            </w:r>
          </w:p>
        </w:tc>
      </w:tr>
      <w:tr w:rsidR="00855767" w:rsidRPr="00855767" w14:paraId="468AC3FB" w14:textId="77777777" w:rsidTr="00A1124C">
        <w:tc>
          <w:tcPr>
            <w:tcW w:w="2880" w:type="dxa"/>
          </w:tcPr>
          <w:p w14:paraId="4DE5E0E9" w14:textId="77777777" w:rsidR="00855767" w:rsidRPr="00855767" w:rsidRDefault="00855767" w:rsidP="003941E5">
            <w:pPr>
              <w:spacing w:line="360" w:lineRule="auto"/>
              <w:jc w:val="both"/>
            </w:pPr>
            <w:r w:rsidRPr="00855767">
              <w:t>5-Fluorouracil (5-FU)</w:t>
            </w:r>
          </w:p>
        </w:tc>
        <w:tc>
          <w:tcPr>
            <w:tcW w:w="2880" w:type="dxa"/>
          </w:tcPr>
          <w:p w14:paraId="06F23A97" w14:textId="691CCDE5" w:rsidR="00855767" w:rsidRPr="00855767" w:rsidRDefault="00855767" w:rsidP="003941E5">
            <w:pPr>
              <w:spacing w:line="360" w:lineRule="auto"/>
              <w:jc w:val="both"/>
            </w:pPr>
            <w:r w:rsidRPr="00855767">
              <w:t xml:space="preserve">A pyrimidine analogue that disrupts DNA synthesis by inhibiting thymidylate synthase, an enzyme required for synthesizing thymidine, a DNA building block. This causes DNA damage and prevents </w:t>
            </w:r>
            <w:r w:rsidR="00195B75" w:rsidRPr="00855767">
              <w:t>tumour</w:t>
            </w:r>
            <w:r w:rsidRPr="00855767">
              <w:t xml:space="preserve"> cell replication.</w:t>
            </w:r>
          </w:p>
        </w:tc>
        <w:tc>
          <w:tcPr>
            <w:tcW w:w="2880" w:type="dxa"/>
          </w:tcPr>
          <w:p w14:paraId="15BE7492" w14:textId="77777777" w:rsidR="00855767" w:rsidRPr="00855767" w:rsidRDefault="00855767" w:rsidP="003941E5">
            <w:pPr>
              <w:spacing w:line="360" w:lineRule="auto"/>
              <w:jc w:val="both"/>
            </w:pPr>
            <w:proofErr w:type="spellStart"/>
            <w:r w:rsidRPr="00855767">
              <w:t>Diarrhea</w:t>
            </w:r>
            <w:proofErr w:type="spellEnd"/>
            <w:r w:rsidRPr="00855767">
              <w:t>, nausea, vomiting, mouth sores, poor appetite, watery eyes, taste changes, low blood counts, hand-foot syndrome</w:t>
            </w:r>
          </w:p>
        </w:tc>
      </w:tr>
      <w:tr w:rsidR="00855767" w:rsidRPr="00855767" w14:paraId="3072C5EC" w14:textId="77777777" w:rsidTr="00A1124C">
        <w:tc>
          <w:tcPr>
            <w:tcW w:w="2880" w:type="dxa"/>
          </w:tcPr>
          <w:p w14:paraId="548D3DD6" w14:textId="77777777" w:rsidR="00855767" w:rsidRPr="00855767" w:rsidRDefault="00855767" w:rsidP="003941E5">
            <w:pPr>
              <w:spacing w:line="360" w:lineRule="auto"/>
              <w:jc w:val="both"/>
            </w:pPr>
            <w:r w:rsidRPr="00855767">
              <w:t>Leucovorin (folinic acid)</w:t>
            </w:r>
          </w:p>
        </w:tc>
        <w:tc>
          <w:tcPr>
            <w:tcW w:w="2880" w:type="dxa"/>
          </w:tcPr>
          <w:p w14:paraId="498A29C9" w14:textId="77777777" w:rsidR="00855767" w:rsidRPr="00855767" w:rsidRDefault="00855767" w:rsidP="003941E5">
            <w:pPr>
              <w:spacing w:line="360" w:lineRule="auto"/>
              <w:jc w:val="both"/>
            </w:pPr>
            <w:r w:rsidRPr="00855767">
              <w:t>A reduced form of folic acid that stabilises the binding of 5-FU to thymidylate synthase, enhancing its inhibitory effect. This increases the duration and potency of DNA synthesis inhibition.</w:t>
            </w:r>
          </w:p>
        </w:tc>
        <w:tc>
          <w:tcPr>
            <w:tcW w:w="2880" w:type="dxa"/>
          </w:tcPr>
          <w:p w14:paraId="5471E533" w14:textId="77777777" w:rsidR="00855767" w:rsidRPr="00855767" w:rsidRDefault="00855767" w:rsidP="003941E5">
            <w:pPr>
              <w:spacing w:line="360" w:lineRule="auto"/>
              <w:jc w:val="both"/>
            </w:pPr>
            <w:r w:rsidRPr="00855767">
              <w:t>Rare: skin rash, itching, hives, wheezing</w:t>
            </w:r>
          </w:p>
        </w:tc>
      </w:tr>
      <w:tr w:rsidR="00855767" w:rsidRPr="00855767" w14:paraId="08618683" w14:textId="77777777" w:rsidTr="00A1124C">
        <w:tc>
          <w:tcPr>
            <w:tcW w:w="2880" w:type="dxa"/>
          </w:tcPr>
          <w:p w14:paraId="3E1FB3E5" w14:textId="77777777" w:rsidR="00855767" w:rsidRPr="00855767" w:rsidRDefault="00855767" w:rsidP="003941E5">
            <w:pPr>
              <w:spacing w:line="360" w:lineRule="auto"/>
              <w:jc w:val="both"/>
            </w:pPr>
            <w:r w:rsidRPr="00855767">
              <w:t>Irinotecan</w:t>
            </w:r>
          </w:p>
        </w:tc>
        <w:tc>
          <w:tcPr>
            <w:tcW w:w="2880" w:type="dxa"/>
          </w:tcPr>
          <w:p w14:paraId="614524C4" w14:textId="77777777" w:rsidR="00855767" w:rsidRPr="00855767" w:rsidRDefault="00855767" w:rsidP="003941E5">
            <w:pPr>
              <w:spacing w:line="360" w:lineRule="auto"/>
              <w:jc w:val="both"/>
            </w:pPr>
            <w:r w:rsidRPr="00855767">
              <w:t>A topoisomerase I inhibitor that prevents the relaxation of supercoiled DNA during replication. This results in DNA strand breaks, halting the cell cycle and inducing apoptosis in rapidly dividing tumour cells.</w:t>
            </w:r>
          </w:p>
        </w:tc>
        <w:tc>
          <w:tcPr>
            <w:tcW w:w="2880" w:type="dxa"/>
          </w:tcPr>
          <w:p w14:paraId="34A06578" w14:textId="2AB2DC3D" w:rsidR="00855767" w:rsidRPr="00855767" w:rsidRDefault="00855767" w:rsidP="003941E5">
            <w:pPr>
              <w:spacing w:line="360" w:lineRule="auto"/>
              <w:jc w:val="both"/>
            </w:pPr>
            <w:proofErr w:type="spellStart"/>
            <w:r w:rsidRPr="00855767">
              <w:t>Diarrhea</w:t>
            </w:r>
            <w:proofErr w:type="spellEnd"/>
            <w:r w:rsidRPr="00855767">
              <w:t xml:space="preserve"> (early and late), nausea, vomiting, low white and red blood cell counts, weakness, hair loss, poor appetite, weight </w:t>
            </w:r>
            <w:r w:rsidR="00195B75" w:rsidRPr="00855767">
              <w:t>loss</w:t>
            </w:r>
          </w:p>
        </w:tc>
      </w:tr>
      <w:tr w:rsidR="00855767" w:rsidRPr="00855767" w14:paraId="290A8FB1" w14:textId="77777777" w:rsidTr="00A1124C">
        <w:tc>
          <w:tcPr>
            <w:tcW w:w="2880" w:type="dxa"/>
          </w:tcPr>
          <w:p w14:paraId="207201DE" w14:textId="77777777" w:rsidR="00855767" w:rsidRPr="00855767" w:rsidRDefault="00855767" w:rsidP="003941E5">
            <w:pPr>
              <w:spacing w:line="360" w:lineRule="auto"/>
              <w:jc w:val="both"/>
            </w:pPr>
            <w:r w:rsidRPr="00855767">
              <w:t>Oxaliplatin</w:t>
            </w:r>
          </w:p>
        </w:tc>
        <w:tc>
          <w:tcPr>
            <w:tcW w:w="2880" w:type="dxa"/>
          </w:tcPr>
          <w:p w14:paraId="50BE76EB" w14:textId="77777777" w:rsidR="00855767" w:rsidRPr="00855767" w:rsidRDefault="00855767" w:rsidP="003941E5">
            <w:pPr>
              <w:spacing w:line="360" w:lineRule="auto"/>
              <w:jc w:val="both"/>
            </w:pPr>
            <w:r w:rsidRPr="00855767">
              <w:t xml:space="preserve">A platinum-based compound that forms covalent bonds between </w:t>
            </w:r>
            <w:r w:rsidRPr="00855767">
              <w:lastRenderedPageBreak/>
              <w:t>DNA strands (</w:t>
            </w:r>
            <w:proofErr w:type="spellStart"/>
            <w:r w:rsidRPr="00855767">
              <w:t>intrastrand</w:t>
            </w:r>
            <w:proofErr w:type="spellEnd"/>
            <w:r w:rsidRPr="00855767">
              <w:t xml:space="preserve"> and interstrand crosslinks). These crosslinks block DNA transcription and replication, ultimately triggering cell death.</w:t>
            </w:r>
          </w:p>
        </w:tc>
        <w:tc>
          <w:tcPr>
            <w:tcW w:w="2880" w:type="dxa"/>
          </w:tcPr>
          <w:p w14:paraId="35E4E3F9" w14:textId="77777777" w:rsidR="00855767" w:rsidRPr="00855767" w:rsidRDefault="00855767" w:rsidP="003941E5">
            <w:pPr>
              <w:spacing w:line="360" w:lineRule="auto"/>
              <w:jc w:val="both"/>
            </w:pPr>
            <w:r w:rsidRPr="00855767">
              <w:lastRenderedPageBreak/>
              <w:t xml:space="preserve">Peripheral neuropathy, nausea, vomiting, </w:t>
            </w:r>
            <w:proofErr w:type="spellStart"/>
            <w:r w:rsidRPr="00855767">
              <w:t>diarrhea</w:t>
            </w:r>
            <w:proofErr w:type="spellEnd"/>
            <w:r w:rsidRPr="00855767">
              <w:t xml:space="preserve">, mouth sores, low blood </w:t>
            </w:r>
            <w:r w:rsidRPr="00855767">
              <w:lastRenderedPageBreak/>
              <w:t>counts, fatigue, loss of appetite</w:t>
            </w:r>
          </w:p>
        </w:tc>
      </w:tr>
      <w:tr w:rsidR="00855767" w:rsidRPr="00855767" w14:paraId="42C1DE08" w14:textId="77777777" w:rsidTr="00A1124C">
        <w:tc>
          <w:tcPr>
            <w:tcW w:w="2880" w:type="dxa"/>
          </w:tcPr>
          <w:p w14:paraId="153730AD" w14:textId="77777777" w:rsidR="00855767" w:rsidRPr="00855767" w:rsidRDefault="00855767" w:rsidP="003941E5">
            <w:pPr>
              <w:spacing w:line="360" w:lineRule="auto"/>
              <w:jc w:val="both"/>
            </w:pPr>
            <w:r w:rsidRPr="00855767">
              <w:lastRenderedPageBreak/>
              <w:t>Gemcitabine</w:t>
            </w:r>
          </w:p>
        </w:tc>
        <w:tc>
          <w:tcPr>
            <w:tcW w:w="2880" w:type="dxa"/>
          </w:tcPr>
          <w:p w14:paraId="0153193E" w14:textId="77777777" w:rsidR="00855767" w:rsidRPr="00855767" w:rsidRDefault="00855767" w:rsidP="003941E5">
            <w:pPr>
              <w:spacing w:line="360" w:lineRule="auto"/>
              <w:jc w:val="both"/>
            </w:pPr>
            <w:r w:rsidRPr="00855767">
              <w:t>A nucleoside analogue that incorporates into DNA during replication, causing premature chain termination and preventing tumour cell division.</w:t>
            </w:r>
          </w:p>
        </w:tc>
        <w:tc>
          <w:tcPr>
            <w:tcW w:w="2880" w:type="dxa"/>
          </w:tcPr>
          <w:p w14:paraId="6BFC226F" w14:textId="77777777" w:rsidR="00855767" w:rsidRPr="00855767" w:rsidRDefault="00855767" w:rsidP="003941E5">
            <w:pPr>
              <w:spacing w:line="360" w:lineRule="auto"/>
              <w:jc w:val="both"/>
            </w:pPr>
            <w:r w:rsidRPr="00855767">
              <w:t>Flu-like symptoms, fever, fatigue, nausea, vomiting, poor appetite, skin rash, low blood counts, liver enzyme changes</w:t>
            </w:r>
          </w:p>
        </w:tc>
      </w:tr>
      <w:tr w:rsidR="00855767" w:rsidRPr="00855767" w14:paraId="1BDFA1F6" w14:textId="77777777" w:rsidTr="00A1124C">
        <w:tc>
          <w:tcPr>
            <w:tcW w:w="2880" w:type="dxa"/>
          </w:tcPr>
          <w:p w14:paraId="226FB8E4" w14:textId="77777777" w:rsidR="00855767" w:rsidRPr="00855767" w:rsidRDefault="00855767" w:rsidP="003941E5">
            <w:pPr>
              <w:spacing w:line="360" w:lineRule="auto"/>
              <w:jc w:val="both"/>
            </w:pPr>
            <w:r w:rsidRPr="00855767">
              <w:t>Nab-Paclitaxel (Albumin-bound paclitaxel)</w:t>
            </w:r>
          </w:p>
        </w:tc>
        <w:tc>
          <w:tcPr>
            <w:tcW w:w="2880" w:type="dxa"/>
          </w:tcPr>
          <w:p w14:paraId="3314D074" w14:textId="77777777" w:rsidR="00855767" w:rsidRPr="00855767" w:rsidRDefault="00855767" w:rsidP="003941E5">
            <w:pPr>
              <w:spacing w:line="360" w:lineRule="auto"/>
              <w:jc w:val="both"/>
            </w:pPr>
            <w:r w:rsidRPr="00855767">
              <w:t>A microtubule inhibitor that binds to tubulin preventing its disassembly, thereby halting mitosis and promoting apoptosis in rapidly dividing cells.</w:t>
            </w:r>
          </w:p>
        </w:tc>
        <w:tc>
          <w:tcPr>
            <w:tcW w:w="2880" w:type="dxa"/>
          </w:tcPr>
          <w:p w14:paraId="408DD2E0" w14:textId="77777777" w:rsidR="00855767" w:rsidRPr="00855767" w:rsidRDefault="00855767" w:rsidP="003941E5">
            <w:pPr>
              <w:spacing w:line="360" w:lineRule="auto"/>
              <w:jc w:val="both"/>
            </w:pPr>
            <w:r w:rsidRPr="00855767">
              <w:t xml:space="preserve">Low blood counts, peripheral neuropathy, muscle/joint pain, nausea, vomiting, </w:t>
            </w:r>
            <w:proofErr w:type="spellStart"/>
            <w:r w:rsidRPr="00855767">
              <w:t>diarrhea</w:t>
            </w:r>
            <w:proofErr w:type="spellEnd"/>
            <w:r w:rsidRPr="00855767">
              <w:t>, hair loss</w:t>
            </w:r>
          </w:p>
        </w:tc>
      </w:tr>
      <w:tr w:rsidR="00855767" w:rsidRPr="00855767" w14:paraId="26C82BD8" w14:textId="77777777" w:rsidTr="00A1124C">
        <w:tc>
          <w:tcPr>
            <w:tcW w:w="2880" w:type="dxa"/>
          </w:tcPr>
          <w:p w14:paraId="6D5511E3" w14:textId="77777777" w:rsidR="00855767" w:rsidRPr="00855767" w:rsidRDefault="00855767" w:rsidP="003941E5">
            <w:pPr>
              <w:spacing w:line="360" w:lineRule="auto"/>
              <w:jc w:val="both"/>
            </w:pPr>
            <w:r w:rsidRPr="00855767">
              <w:t>Erlotinib</w:t>
            </w:r>
          </w:p>
        </w:tc>
        <w:tc>
          <w:tcPr>
            <w:tcW w:w="2880" w:type="dxa"/>
          </w:tcPr>
          <w:p w14:paraId="739C2227" w14:textId="77777777" w:rsidR="00855767" w:rsidRPr="00855767" w:rsidRDefault="00855767" w:rsidP="003941E5">
            <w:pPr>
              <w:spacing w:line="360" w:lineRule="auto"/>
              <w:jc w:val="both"/>
            </w:pPr>
            <w:r w:rsidRPr="00855767">
              <w:t>An EGFR tyrosine kinase inhibitor that blocks EGFR-mediated signalling pathways involved in cell proliferation and survival, often used in cancers with EGFR overexpression.</w:t>
            </w:r>
          </w:p>
        </w:tc>
        <w:tc>
          <w:tcPr>
            <w:tcW w:w="2880" w:type="dxa"/>
          </w:tcPr>
          <w:p w14:paraId="47D73990" w14:textId="77777777" w:rsidR="00855767" w:rsidRPr="00855767" w:rsidRDefault="00855767" w:rsidP="003941E5">
            <w:pPr>
              <w:spacing w:line="360" w:lineRule="auto"/>
              <w:jc w:val="both"/>
            </w:pPr>
            <w:proofErr w:type="spellStart"/>
            <w:r w:rsidRPr="00855767">
              <w:t>Diarrhea</w:t>
            </w:r>
            <w:proofErr w:type="spellEnd"/>
            <w:r w:rsidRPr="00855767">
              <w:t>, rash, dry skin, fatigue, nausea, vomiting, appetite loss, eye irritation</w:t>
            </w:r>
          </w:p>
        </w:tc>
      </w:tr>
      <w:tr w:rsidR="00855767" w:rsidRPr="00855767" w14:paraId="711F4957" w14:textId="77777777" w:rsidTr="00A1124C">
        <w:trPr>
          <w:trHeight w:val="41"/>
        </w:trPr>
        <w:tc>
          <w:tcPr>
            <w:tcW w:w="2880" w:type="dxa"/>
          </w:tcPr>
          <w:p w14:paraId="6846D1D6" w14:textId="77777777" w:rsidR="00855767" w:rsidRPr="00855767" w:rsidRDefault="00855767" w:rsidP="003941E5">
            <w:pPr>
              <w:spacing w:line="360" w:lineRule="auto"/>
              <w:jc w:val="both"/>
            </w:pPr>
            <w:r w:rsidRPr="00855767">
              <w:t>Cisplatin</w:t>
            </w:r>
          </w:p>
        </w:tc>
        <w:tc>
          <w:tcPr>
            <w:tcW w:w="2880" w:type="dxa"/>
          </w:tcPr>
          <w:p w14:paraId="7FECECCF" w14:textId="77777777" w:rsidR="00855767" w:rsidRPr="00855767" w:rsidRDefault="00855767" w:rsidP="003941E5">
            <w:pPr>
              <w:spacing w:line="360" w:lineRule="auto"/>
              <w:jc w:val="both"/>
            </w:pPr>
            <w:r w:rsidRPr="00855767">
              <w:t>A platinum-based chemotherapy that forms DNA crosslinks, interfering with DNA replication and transcription, ultimately leading to apoptosis.</w:t>
            </w:r>
          </w:p>
        </w:tc>
        <w:tc>
          <w:tcPr>
            <w:tcW w:w="2880" w:type="dxa"/>
          </w:tcPr>
          <w:p w14:paraId="3F45BAE2" w14:textId="77777777" w:rsidR="00855767" w:rsidRPr="00855767" w:rsidRDefault="00855767" w:rsidP="003941E5">
            <w:pPr>
              <w:spacing w:line="360" w:lineRule="auto"/>
              <w:jc w:val="both"/>
            </w:pPr>
            <w:r w:rsidRPr="00855767">
              <w:t>Nausea, vomiting, low blood counts, kidney toxicity, ototoxicity, electrolyte imbalance</w:t>
            </w:r>
          </w:p>
        </w:tc>
      </w:tr>
    </w:tbl>
    <w:p w14:paraId="584D7542" w14:textId="77777777" w:rsidR="00855767" w:rsidRPr="00855767" w:rsidRDefault="00855767" w:rsidP="003941E5">
      <w:pPr>
        <w:spacing w:line="360" w:lineRule="auto"/>
        <w:jc w:val="both"/>
      </w:pPr>
    </w:p>
    <w:p w14:paraId="20D4336E" w14:textId="348240B6" w:rsidR="00855767" w:rsidRPr="00855767" w:rsidRDefault="00855767" w:rsidP="003941E5">
      <w:pPr>
        <w:spacing w:line="360" w:lineRule="auto"/>
        <w:jc w:val="both"/>
      </w:pPr>
      <w:bookmarkStart w:id="54" w:name="_99k9xpwrzd08" w:colFirst="0" w:colLast="0"/>
      <w:bookmarkEnd w:id="54"/>
    </w:p>
    <w:p w14:paraId="07C5BC49" w14:textId="0E59E559" w:rsidR="00855767" w:rsidRPr="00855767" w:rsidRDefault="00855767" w:rsidP="003941E5">
      <w:pPr>
        <w:pStyle w:val="Heading3"/>
        <w:spacing w:line="360" w:lineRule="auto"/>
        <w:jc w:val="both"/>
        <w:rPr>
          <w:rFonts w:cs="Arial"/>
          <w:sz w:val="22"/>
          <w:szCs w:val="22"/>
        </w:rPr>
      </w:pPr>
      <w:bookmarkStart w:id="55" w:name="_tqxi6yesmzb3" w:colFirst="0" w:colLast="0"/>
      <w:bookmarkStart w:id="56" w:name="_Toc194180675"/>
      <w:bookmarkStart w:id="57" w:name="_Toc194182193"/>
      <w:bookmarkStart w:id="58" w:name="_Hlk194339644"/>
      <w:bookmarkEnd w:id="55"/>
      <w:r w:rsidRPr="00855767">
        <w:rPr>
          <w:rFonts w:cs="Arial"/>
          <w:sz w:val="22"/>
          <w:szCs w:val="22"/>
        </w:rPr>
        <w:lastRenderedPageBreak/>
        <w:t>4.2 Chemotherapy-Induced Metabolic Shifts</w:t>
      </w:r>
      <w:bookmarkEnd w:id="56"/>
      <w:bookmarkEnd w:id="57"/>
      <w:r w:rsidR="00E36595">
        <w:rPr>
          <w:rFonts w:cs="Arial"/>
          <w:sz w:val="22"/>
          <w:szCs w:val="22"/>
        </w:rPr>
        <w:t xml:space="preserve"> 273</w:t>
      </w:r>
    </w:p>
    <w:p w14:paraId="47D4EE46" w14:textId="7CAC6D34" w:rsidR="00855767" w:rsidRPr="00855767" w:rsidRDefault="00855767" w:rsidP="003941E5">
      <w:pPr>
        <w:spacing w:line="360" w:lineRule="auto"/>
        <w:jc w:val="both"/>
      </w:pPr>
      <w:r w:rsidRPr="00855767">
        <w:t xml:space="preserve">In addition to resistance, PDAC poses challenges for targeted therapies due to its complex mutational </w:t>
      </w:r>
      <w:r w:rsidR="00C3788F">
        <w:t xml:space="preserve">and metabolic </w:t>
      </w:r>
      <w:r w:rsidRPr="00855767">
        <w:t>landscape. PDAC exhibits significant metabolic heterogeneity, allowing tumour cells to switch between glycolysis and OXPHOS in response to</w:t>
      </w:r>
      <w:r w:rsidR="001327C7">
        <w:t xml:space="preserve"> </w:t>
      </w:r>
      <w:r w:rsidR="00A317A0">
        <w:t>stress</w:t>
      </w:r>
      <w:r w:rsidR="00A317A0" w:rsidRPr="00855767">
        <w:t xml:space="preserve"> (</w:t>
      </w:r>
      <w:r w:rsidRPr="00855767">
        <w:t>Dong et al., 2022</w:t>
      </w:r>
      <w:r w:rsidR="00B640EB">
        <w:t>)</w:t>
      </w:r>
      <w:r w:rsidR="000808A7">
        <w:t xml:space="preserve">. </w:t>
      </w:r>
      <w:r w:rsidRPr="00855767">
        <w:t xml:space="preserve">Cytotoxic regimens such as FOLFIRINOX </w:t>
      </w:r>
      <w:r w:rsidR="00D63952">
        <w:t>and</w:t>
      </w:r>
      <w:r w:rsidRPr="00855767">
        <w:t xml:space="preserve"> gemcitabine </w:t>
      </w:r>
      <w:r w:rsidR="00D63952">
        <w:t xml:space="preserve">not only apply selective pressure but also </w:t>
      </w:r>
      <w:r w:rsidRPr="00855767">
        <w:t xml:space="preserve">induce metabolic reprogramming, forcing tumour cells to adapt </w:t>
      </w:r>
      <w:r w:rsidR="00D63952">
        <w:t xml:space="preserve">by enhancing either </w:t>
      </w:r>
      <w:r w:rsidR="00092AA9">
        <w:t xml:space="preserve">glycolysis (Warburg </w:t>
      </w:r>
      <w:r w:rsidR="00172852">
        <w:t>effect)</w:t>
      </w:r>
      <w:r w:rsidR="00092AA9">
        <w:t xml:space="preserve"> or mitochondrial respiration</w:t>
      </w:r>
      <w:r w:rsidR="00A35C37" w:rsidRPr="00A35C37">
        <w:t xml:space="preserve"> </w:t>
      </w:r>
      <w:r w:rsidR="00A35C37">
        <w:t>(</w:t>
      </w:r>
      <w:r w:rsidR="00A35C37" w:rsidRPr="00A35C37">
        <w:t>Zhang et al., 2023</w:t>
      </w:r>
      <w:r w:rsidR="00A35C37">
        <w:t>)</w:t>
      </w:r>
      <w:r w:rsidRPr="00855767">
        <w:t xml:space="preserve">. This dual capability allows tumour cells to maintain ATP production, manage oxidative stress and evade therapy-induced </w:t>
      </w:r>
      <w:r w:rsidR="00172852">
        <w:t xml:space="preserve">damage </w:t>
      </w:r>
      <w:r w:rsidRPr="00855767">
        <w:t xml:space="preserve">(Zhang et al., 2023). </w:t>
      </w:r>
    </w:p>
    <w:p w14:paraId="4EC5BE48" w14:textId="68713BAE" w:rsidR="00855767" w:rsidRPr="00855767" w:rsidRDefault="00172852" w:rsidP="003941E5">
      <w:pPr>
        <w:spacing w:line="360" w:lineRule="auto"/>
        <w:jc w:val="both"/>
      </w:pPr>
      <w:r>
        <w:t xml:space="preserve">Compounding these adaptations, PDAC’s dense stroma and poor vasculature hinger </w:t>
      </w:r>
      <w:r w:rsidR="00855767" w:rsidRPr="00855767">
        <w:t xml:space="preserve">drug penetration, leading to </w:t>
      </w:r>
      <w:r w:rsidR="00C05478">
        <w:t xml:space="preserve">subtherapeutic </w:t>
      </w:r>
      <w:r w:rsidR="00855767" w:rsidRPr="00855767">
        <w:t>concentration</w:t>
      </w:r>
      <w:r w:rsidR="00C05478">
        <w:t xml:space="preserve">s </w:t>
      </w:r>
      <w:r w:rsidR="003A5BE2">
        <w:t xml:space="preserve">within the tumour core </w:t>
      </w:r>
      <w:r w:rsidR="00855767" w:rsidRPr="00855767">
        <w:t xml:space="preserve">(Zhang et al.,2023). </w:t>
      </w:r>
      <w:r w:rsidR="00D971F1">
        <w:t>This physical barrier is further reinforced by c</w:t>
      </w:r>
      <w:r w:rsidR="00855767" w:rsidRPr="00855767">
        <w:t xml:space="preserve">ancer stem cells (CSCs), </w:t>
      </w:r>
      <w:r w:rsidR="0067018F" w:rsidRPr="00855767">
        <w:t>contribut</w:t>
      </w:r>
      <w:r w:rsidR="00D971F1">
        <w:t>ing</w:t>
      </w:r>
      <w:r w:rsidR="0067018F" w:rsidRPr="00855767">
        <w:t xml:space="preserve"> to treatment failure and relapse </w:t>
      </w:r>
      <w:r w:rsidR="0067018F">
        <w:t xml:space="preserve">by </w:t>
      </w:r>
      <w:r w:rsidR="00855767" w:rsidRPr="00855767">
        <w:t>exhibiting</w:t>
      </w:r>
      <w:r w:rsidR="0067018F">
        <w:t xml:space="preserve"> both</w:t>
      </w:r>
      <w:r w:rsidR="00855767" w:rsidRPr="00855767">
        <w:t xml:space="preserve"> self-renewal and metabolic adaptability</w:t>
      </w:r>
      <w:r w:rsidR="00A35C37" w:rsidRPr="00A35C37">
        <w:t xml:space="preserve"> </w:t>
      </w:r>
      <w:r w:rsidR="00A35C37">
        <w:t>(</w:t>
      </w:r>
      <w:r w:rsidR="00A35C37" w:rsidRPr="00A35C37">
        <w:t>Sancho et al., 2015</w:t>
      </w:r>
      <w:r w:rsidR="00A35C37">
        <w:t>)</w:t>
      </w:r>
      <w:r w:rsidR="00855767" w:rsidRPr="00855767">
        <w:t xml:space="preserve">. Furthermore, </w:t>
      </w:r>
      <w:r w:rsidR="0067018F">
        <w:t>early metastasis</w:t>
      </w:r>
      <w:r w:rsidR="003B2BAD">
        <w:t xml:space="preserve"> in PDAC metastasis limits the</w:t>
      </w:r>
      <w:r w:rsidR="00855767" w:rsidRPr="00855767">
        <w:t xml:space="preserve"> effectiveness of radiation and surgery (Sarantis et al., 2020).</w:t>
      </w:r>
    </w:p>
    <w:p w14:paraId="1321BB9B" w14:textId="6793C1BF" w:rsidR="00855767" w:rsidRDefault="003B2BAD" w:rsidP="003941E5">
      <w:pPr>
        <w:spacing w:line="360" w:lineRule="auto"/>
        <w:jc w:val="both"/>
      </w:pPr>
      <w:r>
        <w:t>While c</w:t>
      </w:r>
      <w:r w:rsidR="00855767" w:rsidRPr="00855767">
        <w:t>ombination therapies have been explored t</w:t>
      </w:r>
      <w:r>
        <w:t>o overcome these barriers, their success has been limited</w:t>
      </w:r>
      <w:r w:rsidR="00A35C37" w:rsidRPr="00A35C37">
        <w:t xml:space="preserve"> </w:t>
      </w:r>
      <w:r w:rsidR="00A35C37">
        <w:t>(</w:t>
      </w:r>
      <w:r w:rsidR="00A35C37" w:rsidRPr="00A35C37">
        <w:t>Fan et al., 2024</w:t>
      </w:r>
      <w:r w:rsidR="00A35C37">
        <w:t>)</w:t>
      </w:r>
      <w:r w:rsidR="00855767" w:rsidRPr="00855767">
        <w:t xml:space="preserve">. A meta-analysis comparing twelve chemotherapy protocols reported that </w:t>
      </w:r>
      <w:r w:rsidR="007D4512" w:rsidRPr="00855767">
        <w:t xml:space="preserve">median overall survival </w:t>
      </w:r>
      <w:r w:rsidR="007D4512">
        <w:t xml:space="preserve">rarely </w:t>
      </w:r>
      <w:r w:rsidR="00855767" w:rsidRPr="00855767">
        <w:t xml:space="preserve">exceeded seven </w:t>
      </w:r>
      <w:r w:rsidR="001C563C" w:rsidRPr="00855767">
        <w:t xml:space="preserve">months </w:t>
      </w:r>
      <w:r w:rsidR="001C563C">
        <w:t>with</w:t>
      </w:r>
      <w:r w:rsidR="007D4512">
        <w:t xml:space="preserve"> </w:t>
      </w:r>
      <w:r w:rsidR="00855767" w:rsidRPr="00855767">
        <w:t>FOLFIRINOX</w:t>
      </w:r>
      <w:r w:rsidR="008B7926">
        <w:t xml:space="preserve"> offering</w:t>
      </w:r>
      <w:r w:rsidR="00855767" w:rsidRPr="00855767">
        <w:t xml:space="preserve"> modest improvements </w:t>
      </w:r>
      <w:r w:rsidR="008B7926">
        <w:t xml:space="preserve">despite greater toxicity </w:t>
      </w:r>
      <w:r w:rsidR="00855767" w:rsidRPr="00855767">
        <w:t xml:space="preserve">(Liu et al., 2018). </w:t>
      </w:r>
    </w:p>
    <w:p w14:paraId="1026EEEC" w14:textId="7D5032B8" w:rsidR="00855767" w:rsidRPr="00855767" w:rsidRDefault="008B7926" w:rsidP="003941E5">
      <w:pPr>
        <w:spacing w:line="360" w:lineRule="auto"/>
        <w:jc w:val="both"/>
      </w:pPr>
      <w:r>
        <w:t xml:space="preserve">In a more recent study, </w:t>
      </w:r>
      <w:r w:rsidR="00DA28DF">
        <w:t>compar</w:t>
      </w:r>
      <w:r w:rsidR="00261D6E">
        <w:t>ing</w:t>
      </w:r>
      <w:r w:rsidR="00DA28DF">
        <w:t xml:space="preserve"> treatment sequences </w:t>
      </w:r>
      <w:r w:rsidR="00972817">
        <w:t>discovered</w:t>
      </w:r>
      <w:r w:rsidR="00DA28DF">
        <w:t xml:space="preserve"> that </w:t>
      </w:r>
      <w:r w:rsidR="00855767" w:rsidRPr="00855767">
        <w:t>B-line regimen (Nab-paclitaxel followed by gemcitabine and then FOLFIRINOX) showed a median survival of 18 months</w:t>
      </w:r>
      <w:r w:rsidR="001C563C">
        <w:t>, outperforming other sequences</w:t>
      </w:r>
      <w:r w:rsidR="005C1FCD">
        <w:t xml:space="preserve"> (Table </w:t>
      </w:r>
      <w:r w:rsidR="00BB57B2">
        <w:t>3)</w:t>
      </w:r>
      <w:r w:rsidR="00A35C37" w:rsidRPr="00A35C37">
        <w:t xml:space="preserve"> </w:t>
      </w:r>
      <w:r w:rsidR="00A35C37" w:rsidRPr="00855767">
        <w:t>(Fan et al., 2024)</w:t>
      </w:r>
      <w:r w:rsidR="001C563C">
        <w:t xml:space="preserve">. However, this improvement did not address the metabolic drivers of resistance or </w:t>
      </w:r>
      <w:r w:rsidR="00855767" w:rsidRPr="00855767">
        <w:t>tumour heterogeneity (Fan et al., 2024).</w:t>
      </w:r>
    </w:p>
    <w:p w14:paraId="40A87D65" w14:textId="707C9260" w:rsidR="00855767" w:rsidRPr="00855767" w:rsidRDefault="00855767" w:rsidP="003941E5">
      <w:pPr>
        <w:spacing w:line="360" w:lineRule="auto"/>
        <w:jc w:val="both"/>
      </w:pPr>
      <w:r w:rsidRPr="00855767">
        <w:t>Continued research suggests that chemotherapy itself may drive resistance in pancreatic cells</w:t>
      </w:r>
      <w:r w:rsidR="00CD0239">
        <w:t xml:space="preserve"> </w:t>
      </w:r>
      <w:r w:rsidRPr="00855767">
        <w:t xml:space="preserve">(Zhang et al., 2023). </w:t>
      </w:r>
      <w:r w:rsidR="005E7FF0">
        <w:t xml:space="preserve">As PDAC can </w:t>
      </w:r>
      <w:r w:rsidR="00E149FA">
        <w:t xml:space="preserve">rewire </w:t>
      </w:r>
      <w:r w:rsidR="005E7FF0">
        <w:t>energy pathways under stress, targeting single pathway is often insufficient</w:t>
      </w:r>
      <w:r w:rsidR="00A35C37">
        <w:t xml:space="preserve"> </w:t>
      </w:r>
      <w:r w:rsidR="00A35C37" w:rsidRPr="00A35C37">
        <w:t>(Dong et al., 2022)</w:t>
      </w:r>
      <w:r w:rsidR="005E7FF0">
        <w:t xml:space="preserve">. </w:t>
      </w:r>
      <w:r w:rsidRPr="00855767">
        <w:t>Th</w:t>
      </w:r>
      <w:r w:rsidR="005E7FF0">
        <w:t xml:space="preserve">is highlights </w:t>
      </w:r>
      <w:r w:rsidRPr="00855767">
        <w:t xml:space="preserve">the need for novel therapeutic strategies </w:t>
      </w:r>
      <w:r w:rsidR="0099635C" w:rsidRPr="00855767">
        <w:t>to</w:t>
      </w:r>
      <w:r w:rsidR="0099635C">
        <w:t xml:space="preserve"> disrupt </w:t>
      </w:r>
      <w:r w:rsidRPr="00855767">
        <w:t>the metabolic</w:t>
      </w:r>
      <w:r w:rsidR="0099635C">
        <w:t xml:space="preserve"> flexibility</w:t>
      </w:r>
      <w:r w:rsidRPr="00855767">
        <w:t xml:space="preserve"> and </w:t>
      </w:r>
      <w:r w:rsidR="0099635C">
        <w:t>overcome its adaptive survival strategies</w:t>
      </w:r>
      <w:bookmarkEnd w:id="58"/>
      <w:r w:rsidR="0099635C">
        <w:t>.</w:t>
      </w:r>
    </w:p>
    <w:p w14:paraId="1ADF653C" w14:textId="77777777" w:rsidR="00855767" w:rsidRPr="00855767" w:rsidRDefault="00855767" w:rsidP="003941E5">
      <w:pPr>
        <w:spacing w:line="360" w:lineRule="auto"/>
        <w:jc w:val="both"/>
        <w:rPr>
          <w:b/>
        </w:rPr>
      </w:pPr>
    </w:p>
    <w:p w14:paraId="50A57673" w14:textId="77777777" w:rsidR="006E628C" w:rsidRDefault="006E628C" w:rsidP="003941E5">
      <w:pPr>
        <w:spacing w:line="360" w:lineRule="auto"/>
        <w:jc w:val="both"/>
        <w:rPr>
          <w:b/>
        </w:rPr>
      </w:pPr>
    </w:p>
    <w:p w14:paraId="73933F66" w14:textId="77777777" w:rsidR="006E628C" w:rsidRDefault="006E628C" w:rsidP="003941E5">
      <w:pPr>
        <w:spacing w:line="360" w:lineRule="auto"/>
        <w:jc w:val="both"/>
        <w:rPr>
          <w:b/>
        </w:rPr>
      </w:pPr>
    </w:p>
    <w:p w14:paraId="1B94FA43" w14:textId="77777777" w:rsidR="006E628C" w:rsidRDefault="006E628C" w:rsidP="003941E5">
      <w:pPr>
        <w:spacing w:line="360" w:lineRule="auto"/>
        <w:jc w:val="both"/>
        <w:rPr>
          <w:b/>
        </w:rPr>
      </w:pPr>
    </w:p>
    <w:p w14:paraId="7E884544" w14:textId="77777777" w:rsidR="006E628C" w:rsidRDefault="006E628C" w:rsidP="003941E5">
      <w:pPr>
        <w:spacing w:line="360" w:lineRule="auto"/>
        <w:jc w:val="both"/>
        <w:rPr>
          <w:b/>
        </w:rPr>
      </w:pPr>
    </w:p>
    <w:p w14:paraId="50554DED" w14:textId="77777777" w:rsidR="006E628C" w:rsidRDefault="006E628C" w:rsidP="003941E5">
      <w:pPr>
        <w:spacing w:line="360" w:lineRule="auto"/>
        <w:jc w:val="both"/>
        <w:rPr>
          <w:b/>
        </w:rPr>
      </w:pPr>
    </w:p>
    <w:p w14:paraId="2C5704D9" w14:textId="77777777" w:rsidR="006E628C" w:rsidRDefault="006E628C" w:rsidP="003941E5">
      <w:pPr>
        <w:spacing w:line="360" w:lineRule="auto"/>
        <w:jc w:val="both"/>
        <w:rPr>
          <w:b/>
        </w:rPr>
      </w:pPr>
    </w:p>
    <w:p w14:paraId="0C8F0519" w14:textId="2161C8A2" w:rsidR="00855767" w:rsidRPr="006E628C" w:rsidRDefault="00855767" w:rsidP="003941E5">
      <w:pPr>
        <w:spacing w:line="360" w:lineRule="auto"/>
        <w:jc w:val="both"/>
      </w:pPr>
      <w:r w:rsidRPr="00855767">
        <w:rPr>
          <w:b/>
        </w:rPr>
        <w:lastRenderedPageBreak/>
        <w:t>Table 3.</w:t>
      </w:r>
      <w:r w:rsidRPr="00855767">
        <w:t xml:space="preserve"> Summary of survival estimates for PDAC patients undergoing different chemotherapy sequences based on data from Fan et al. (2024). The A-line (red) represents Nab-paclitaxel, followed by gemcitabine, and then FOLFIRINOX. The B-line (green) also consists of these three drugs but in a different sequence. The C-line (purple) involves Nab-paclitaxel and gemcitabine followed by oxaliplatin- or irinotecan-based therapy. Among these, the B-line treatment demonstrated the most extended median survival </w:t>
      </w:r>
      <w:r w:rsidR="005C1FCD">
        <w:t>(</w:t>
      </w:r>
      <w:r w:rsidRPr="00855767">
        <w:t>18.00 months) with a significantly lower risk of death compared to the A and C-line sequences. This was reflected in a considerably lower hazards ratio, suggesting improved patient outcomes with this treatment sequence.</w:t>
      </w:r>
    </w:p>
    <w:tbl>
      <w:tblPr>
        <w:tblpPr w:leftFromText="180" w:rightFromText="180" w:topFromText="180" w:bottomFromText="180" w:vertAnchor="text" w:horzAnchor="margin" w:tblpY="373"/>
        <w:tblW w:w="93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2460"/>
        <w:gridCol w:w="1530"/>
        <w:gridCol w:w="2340"/>
        <w:gridCol w:w="2220"/>
        <w:gridCol w:w="840"/>
      </w:tblGrid>
      <w:tr w:rsidR="00855767" w:rsidRPr="00855767" w14:paraId="2CE481A5" w14:textId="77777777" w:rsidTr="00A1124C">
        <w:trPr>
          <w:tblHeader/>
        </w:trPr>
        <w:tc>
          <w:tcPr>
            <w:tcW w:w="2460" w:type="dxa"/>
          </w:tcPr>
          <w:p w14:paraId="65C33671" w14:textId="77777777" w:rsidR="00855767" w:rsidRPr="00855767" w:rsidRDefault="00855767" w:rsidP="003941E5">
            <w:pPr>
              <w:widowControl w:val="0"/>
              <w:spacing w:line="360" w:lineRule="auto"/>
              <w:jc w:val="both"/>
            </w:pPr>
            <w:r w:rsidRPr="00855767">
              <w:t>Treatment Line</w:t>
            </w:r>
          </w:p>
        </w:tc>
        <w:tc>
          <w:tcPr>
            <w:tcW w:w="1530" w:type="dxa"/>
          </w:tcPr>
          <w:p w14:paraId="0D0C8D42" w14:textId="77777777" w:rsidR="00855767" w:rsidRPr="00855767" w:rsidRDefault="00855767" w:rsidP="003941E5">
            <w:pPr>
              <w:widowControl w:val="0"/>
              <w:spacing w:line="360" w:lineRule="auto"/>
              <w:jc w:val="both"/>
            </w:pPr>
            <w:r w:rsidRPr="00855767">
              <w:t>Events No. (%)</w:t>
            </w:r>
          </w:p>
        </w:tc>
        <w:tc>
          <w:tcPr>
            <w:tcW w:w="2340" w:type="dxa"/>
          </w:tcPr>
          <w:p w14:paraId="3593C849" w14:textId="77777777" w:rsidR="00855767" w:rsidRPr="00855767" w:rsidRDefault="00855767" w:rsidP="003941E5">
            <w:pPr>
              <w:widowControl w:val="0"/>
              <w:spacing w:line="360" w:lineRule="auto"/>
              <w:jc w:val="both"/>
            </w:pPr>
            <w:r w:rsidRPr="00855767">
              <w:t>Median Survival (months, 95% CI)</w:t>
            </w:r>
          </w:p>
        </w:tc>
        <w:tc>
          <w:tcPr>
            <w:tcW w:w="2220" w:type="dxa"/>
          </w:tcPr>
          <w:p w14:paraId="017771EA" w14:textId="77777777" w:rsidR="00855767" w:rsidRPr="00855767" w:rsidRDefault="00855767" w:rsidP="003941E5">
            <w:pPr>
              <w:widowControl w:val="0"/>
              <w:spacing w:line="360" w:lineRule="auto"/>
              <w:jc w:val="both"/>
            </w:pPr>
            <w:r w:rsidRPr="00855767">
              <w:t>HR (95% CI)</w:t>
            </w:r>
          </w:p>
        </w:tc>
        <w:tc>
          <w:tcPr>
            <w:tcW w:w="840" w:type="dxa"/>
          </w:tcPr>
          <w:p w14:paraId="5E59C5DE" w14:textId="77777777" w:rsidR="00855767" w:rsidRPr="00855767" w:rsidRDefault="00855767" w:rsidP="003941E5">
            <w:pPr>
              <w:widowControl w:val="0"/>
              <w:spacing w:line="360" w:lineRule="auto"/>
              <w:jc w:val="both"/>
            </w:pPr>
            <w:r w:rsidRPr="00855767">
              <w:t>p log-</w:t>
            </w:r>
          </w:p>
          <w:p w14:paraId="3508C7C4" w14:textId="77777777" w:rsidR="00855767" w:rsidRPr="00855767" w:rsidRDefault="00855767" w:rsidP="003941E5">
            <w:pPr>
              <w:widowControl w:val="0"/>
              <w:spacing w:line="360" w:lineRule="auto"/>
              <w:jc w:val="both"/>
            </w:pPr>
            <w:r w:rsidRPr="00855767">
              <w:t>rank</w:t>
            </w:r>
          </w:p>
        </w:tc>
      </w:tr>
      <w:tr w:rsidR="00855767" w:rsidRPr="00855767" w14:paraId="73FE8982" w14:textId="77777777" w:rsidTr="00A1124C">
        <w:trPr>
          <w:tblHeader/>
        </w:trPr>
        <w:tc>
          <w:tcPr>
            <w:tcW w:w="2460" w:type="dxa"/>
          </w:tcPr>
          <w:p w14:paraId="554E6FCE" w14:textId="77777777" w:rsidR="00855767" w:rsidRPr="00855767" w:rsidRDefault="00855767" w:rsidP="003941E5">
            <w:pPr>
              <w:widowControl w:val="0"/>
              <w:spacing w:line="360" w:lineRule="auto"/>
              <w:jc w:val="both"/>
            </w:pPr>
            <w:r w:rsidRPr="00855767">
              <w:t>B Line (Green, n=37)</w:t>
            </w:r>
          </w:p>
          <w:p w14:paraId="3D241C03" w14:textId="77777777" w:rsidR="00855767" w:rsidRPr="00855767" w:rsidRDefault="00855767" w:rsidP="003941E5">
            <w:pPr>
              <w:widowControl w:val="0"/>
              <w:spacing w:line="360" w:lineRule="auto"/>
              <w:jc w:val="both"/>
            </w:pPr>
            <w:r w:rsidRPr="00855767">
              <w:t>vs A-Line</w:t>
            </w:r>
          </w:p>
        </w:tc>
        <w:tc>
          <w:tcPr>
            <w:tcW w:w="1530" w:type="dxa"/>
          </w:tcPr>
          <w:p w14:paraId="2D536154" w14:textId="77777777" w:rsidR="00855767" w:rsidRPr="00855767" w:rsidRDefault="00855767" w:rsidP="003941E5">
            <w:pPr>
              <w:widowControl w:val="0"/>
              <w:spacing w:line="360" w:lineRule="auto"/>
              <w:jc w:val="both"/>
            </w:pPr>
            <w:r w:rsidRPr="00855767">
              <w:t>30 (82%)</w:t>
            </w:r>
          </w:p>
        </w:tc>
        <w:tc>
          <w:tcPr>
            <w:tcW w:w="2340" w:type="dxa"/>
          </w:tcPr>
          <w:p w14:paraId="72C99CDE" w14:textId="77777777" w:rsidR="00855767" w:rsidRPr="00855767" w:rsidRDefault="00855767" w:rsidP="003941E5">
            <w:pPr>
              <w:widowControl w:val="0"/>
              <w:spacing w:line="360" w:lineRule="auto"/>
              <w:jc w:val="both"/>
            </w:pPr>
            <w:r w:rsidRPr="00855767">
              <w:t>18.00 (15.78 - 20.22)</w:t>
            </w:r>
          </w:p>
        </w:tc>
        <w:tc>
          <w:tcPr>
            <w:tcW w:w="2220" w:type="dxa"/>
          </w:tcPr>
          <w:p w14:paraId="3B93EA2F" w14:textId="77777777" w:rsidR="00855767" w:rsidRPr="00855767" w:rsidRDefault="00855767" w:rsidP="003941E5">
            <w:pPr>
              <w:widowControl w:val="0"/>
              <w:spacing w:line="360" w:lineRule="auto"/>
              <w:jc w:val="both"/>
            </w:pPr>
            <w:r w:rsidRPr="00855767">
              <w:t>0.476 (0.259 - 0.875)</w:t>
            </w:r>
          </w:p>
        </w:tc>
        <w:tc>
          <w:tcPr>
            <w:tcW w:w="840" w:type="dxa"/>
          </w:tcPr>
          <w:p w14:paraId="348BD887" w14:textId="77777777" w:rsidR="00855767" w:rsidRPr="00855767" w:rsidRDefault="00855767" w:rsidP="003941E5">
            <w:pPr>
              <w:widowControl w:val="0"/>
              <w:spacing w:line="360" w:lineRule="auto"/>
              <w:jc w:val="both"/>
            </w:pPr>
            <w:r w:rsidRPr="00855767">
              <w:t>0.018</w:t>
            </w:r>
          </w:p>
        </w:tc>
      </w:tr>
      <w:tr w:rsidR="00855767" w:rsidRPr="00855767" w14:paraId="7F8B7ABB" w14:textId="77777777" w:rsidTr="00A1124C">
        <w:trPr>
          <w:tblHeader/>
        </w:trPr>
        <w:tc>
          <w:tcPr>
            <w:tcW w:w="2460" w:type="dxa"/>
          </w:tcPr>
          <w:p w14:paraId="06EE3199" w14:textId="77777777" w:rsidR="00855767" w:rsidRPr="00855767" w:rsidRDefault="00855767" w:rsidP="003941E5">
            <w:pPr>
              <w:widowControl w:val="0"/>
              <w:spacing w:line="360" w:lineRule="auto"/>
              <w:jc w:val="both"/>
            </w:pPr>
            <w:r w:rsidRPr="00855767">
              <w:t>A Line (Red, n=37)</w:t>
            </w:r>
          </w:p>
        </w:tc>
        <w:tc>
          <w:tcPr>
            <w:tcW w:w="1530" w:type="dxa"/>
          </w:tcPr>
          <w:p w14:paraId="7AF16750" w14:textId="77777777" w:rsidR="00855767" w:rsidRPr="00855767" w:rsidRDefault="00855767" w:rsidP="003941E5">
            <w:pPr>
              <w:widowControl w:val="0"/>
              <w:spacing w:line="360" w:lineRule="auto"/>
              <w:jc w:val="both"/>
            </w:pPr>
            <w:r w:rsidRPr="00855767">
              <w:t>29 (79%)</w:t>
            </w:r>
          </w:p>
        </w:tc>
        <w:tc>
          <w:tcPr>
            <w:tcW w:w="2340" w:type="dxa"/>
          </w:tcPr>
          <w:p w14:paraId="1A1552C3" w14:textId="77777777" w:rsidR="00855767" w:rsidRPr="00855767" w:rsidRDefault="00855767" w:rsidP="003941E5">
            <w:pPr>
              <w:widowControl w:val="0"/>
              <w:spacing w:line="360" w:lineRule="auto"/>
              <w:jc w:val="both"/>
            </w:pPr>
            <w:r w:rsidRPr="00855767">
              <w:t>14.00 (10.78 - 17.22)</w:t>
            </w:r>
          </w:p>
        </w:tc>
        <w:tc>
          <w:tcPr>
            <w:tcW w:w="2220" w:type="dxa"/>
          </w:tcPr>
          <w:p w14:paraId="3F14CF7E" w14:textId="77777777" w:rsidR="00855767" w:rsidRPr="00855767" w:rsidRDefault="00855767" w:rsidP="003941E5">
            <w:pPr>
              <w:widowControl w:val="0"/>
              <w:spacing w:line="360" w:lineRule="auto"/>
              <w:jc w:val="both"/>
            </w:pPr>
            <w:r w:rsidRPr="00855767">
              <w:t>1 (reference)</w:t>
            </w:r>
          </w:p>
        </w:tc>
        <w:tc>
          <w:tcPr>
            <w:tcW w:w="840" w:type="dxa"/>
          </w:tcPr>
          <w:p w14:paraId="1C68E7A6" w14:textId="77777777" w:rsidR="00855767" w:rsidRPr="00855767" w:rsidRDefault="00855767" w:rsidP="003941E5">
            <w:pPr>
              <w:widowControl w:val="0"/>
              <w:spacing w:line="360" w:lineRule="auto"/>
              <w:jc w:val="both"/>
            </w:pPr>
            <w:r w:rsidRPr="00855767">
              <w:t>-</w:t>
            </w:r>
          </w:p>
        </w:tc>
      </w:tr>
      <w:tr w:rsidR="00855767" w:rsidRPr="00855767" w14:paraId="5AE4E399" w14:textId="77777777" w:rsidTr="00A1124C">
        <w:trPr>
          <w:tblHeader/>
        </w:trPr>
        <w:tc>
          <w:tcPr>
            <w:tcW w:w="2460" w:type="dxa"/>
          </w:tcPr>
          <w:p w14:paraId="24F05750" w14:textId="77777777" w:rsidR="00855767" w:rsidRPr="00855767" w:rsidRDefault="00855767" w:rsidP="003941E5">
            <w:pPr>
              <w:widowControl w:val="0"/>
              <w:spacing w:line="360" w:lineRule="auto"/>
              <w:jc w:val="both"/>
            </w:pPr>
            <w:r w:rsidRPr="00855767">
              <w:t>B Line (Green, n=37)</w:t>
            </w:r>
          </w:p>
          <w:p w14:paraId="335269CF" w14:textId="77777777" w:rsidR="00855767" w:rsidRPr="00855767" w:rsidRDefault="00855767" w:rsidP="003941E5">
            <w:pPr>
              <w:widowControl w:val="0"/>
              <w:spacing w:line="360" w:lineRule="auto"/>
              <w:jc w:val="both"/>
            </w:pPr>
            <w:r w:rsidRPr="00855767">
              <w:t>vs C-Line</w:t>
            </w:r>
          </w:p>
        </w:tc>
        <w:tc>
          <w:tcPr>
            <w:tcW w:w="1530" w:type="dxa"/>
          </w:tcPr>
          <w:p w14:paraId="7BB20A8E" w14:textId="77777777" w:rsidR="00855767" w:rsidRPr="00855767" w:rsidRDefault="00855767" w:rsidP="003941E5">
            <w:pPr>
              <w:widowControl w:val="0"/>
              <w:spacing w:line="360" w:lineRule="auto"/>
              <w:jc w:val="both"/>
            </w:pPr>
          </w:p>
          <w:tbl>
            <w:tblPr>
              <w:tblW w:w="1065" w:type="dxa"/>
              <w:tblBorders>
                <w:top w:val="nil"/>
                <w:left w:val="nil"/>
                <w:bottom w:val="nil"/>
                <w:right w:val="nil"/>
                <w:insideH w:val="nil"/>
                <w:insideV w:val="nil"/>
              </w:tblBorders>
              <w:tblLayout w:type="fixed"/>
              <w:tblLook w:val="0600" w:firstRow="0" w:lastRow="0" w:firstColumn="0" w:lastColumn="0" w:noHBand="1" w:noVBand="1"/>
            </w:tblPr>
            <w:tblGrid>
              <w:gridCol w:w="1065"/>
            </w:tblGrid>
            <w:tr w:rsidR="00855767" w:rsidRPr="00855767" w14:paraId="10F9174B" w14:textId="77777777" w:rsidTr="00A1124C">
              <w:trPr>
                <w:trHeight w:val="515"/>
              </w:trPr>
              <w:tc>
                <w:tcPr>
                  <w:tcW w:w="1065" w:type="dxa"/>
                  <w:tcBorders>
                    <w:top w:val="nil"/>
                    <w:left w:val="nil"/>
                    <w:bottom w:val="nil"/>
                    <w:right w:val="nil"/>
                  </w:tcBorders>
                </w:tcPr>
                <w:p w14:paraId="784BDA0D" w14:textId="77777777" w:rsidR="00855767" w:rsidRPr="00855767" w:rsidRDefault="00855767" w:rsidP="003941E5">
                  <w:pPr>
                    <w:framePr w:hSpace="180" w:vSpace="180" w:wrap="around" w:vAnchor="text" w:hAnchor="margin" w:y="373"/>
                    <w:widowControl w:val="0"/>
                    <w:spacing w:line="360" w:lineRule="auto"/>
                    <w:jc w:val="both"/>
                  </w:pPr>
                  <w:r w:rsidRPr="00855767">
                    <w:t>30 (82%)</w:t>
                  </w:r>
                </w:p>
              </w:tc>
            </w:tr>
          </w:tbl>
          <w:p w14:paraId="3EFF4162" w14:textId="77777777" w:rsidR="00855767" w:rsidRPr="00855767" w:rsidRDefault="00855767" w:rsidP="003941E5">
            <w:pPr>
              <w:widowControl w:val="0"/>
              <w:spacing w:line="360" w:lineRule="auto"/>
              <w:jc w:val="both"/>
            </w:pPr>
          </w:p>
          <w:tbl>
            <w:tblPr>
              <w:tblW w:w="230" w:type="dxa"/>
              <w:tblBorders>
                <w:top w:val="nil"/>
                <w:left w:val="nil"/>
                <w:bottom w:val="nil"/>
                <w:right w:val="nil"/>
                <w:insideH w:val="nil"/>
                <w:insideV w:val="nil"/>
              </w:tblBorders>
              <w:tblLayout w:type="fixed"/>
              <w:tblLook w:val="0600" w:firstRow="0" w:lastRow="0" w:firstColumn="0" w:lastColumn="0" w:noHBand="1" w:noVBand="1"/>
            </w:tblPr>
            <w:tblGrid>
              <w:gridCol w:w="236"/>
            </w:tblGrid>
            <w:tr w:rsidR="00855767" w:rsidRPr="00855767" w14:paraId="71408137" w14:textId="77777777" w:rsidTr="00A1124C">
              <w:trPr>
                <w:trHeight w:val="230"/>
              </w:trPr>
              <w:tc>
                <w:tcPr>
                  <w:tcW w:w="230" w:type="dxa"/>
                  <w:tcBorders>
                    <w:top w:val="nil"/>
                    <w:left w:val="nil"/>
                    <w:bottom w:val="nil"/>
                    <w:right w:val="nil"/>
                  </w:tcBorders>
                </w:tcPr>
                <w:p w14:paraId="617C1BB9" w14:textId="77777777" w:rsidR="00855767" w:rsidRPr="00855767" w:rsidRDefault="00855767" w:rsidP="003941E5">
                  <w:pPr>
                    <w:framePr w:hSpace="180" w:vSpace="180" w:wrap="around" w:vAnchor="text" w:hAnchor="margin" w:y="373"/>
                    <w:widowControl w:val="0"/>
                    <w:spacing w:line="360" w:lineRule="auto"/>
                    <w:jc w:val="both"/>
                  </w:pPr>
                </w:p>
              </w:tc>
            </w:tr>
          </w:tbl>
          <w:p w14:paraId="52AA023B" w14:textId="77777777" w:rsidR="00855767" w:rsidRPr="00855767" w:rsidRDefault="00855767" w:rsidP="003941E5">
            <w:pPr>
              <w:widowControl w:val="0"/>
              <w:spacing w:line="360" w:lineRule="auto"/>
              <w:jc w:val="both"/>
            </w:pPr>
          </w:p>
        </w:tc>
        <w:tc>
          <w:tcPr>
            <w:tcW w:w="2340" w:type="dxa"/>
          </w:tcPr>
          <w:p w14:paraId="5F2476F6" w14:textId="77777777" w:rsidR="00855767" w:rsidRPr="00855767" w:rsidRDefault="00855767" w:rsidP="003941E5">
            <w:pPr>
              <w:widowControl w:val="0"/>
              <w:spacing w:line="360" w:lineRule="auto"/>
              <w:jc w:val="both"/>
            </w:pPr>
            <w:r w:rsidRPr="00855767">
              <w:t>18.00 (15.78 - 20.22)</w:t>
            </w:r>
          </w:p>
        </w:tc>
        <w:tc>
          <w:tcPr>
            <w:tcW w:w="2220" w:type="dxa"/>
          </w:tcPr>
          <w:p w14:paraId="14F499EE" w14:textId="77777777" w:rsidR="00855767" w:rsidRPr="00855767" w:rsidRDefault="00855767" w:rsidP="003941E5">
            <w:pPr>
              <w:widowControl w:val="0"/>
              <w:spacing w:line="360" w:lineRule="auto"/>
              <w:jc w:val="both"/>
            </w:pPr>
            <w:r w:rsidRPr="00855767">
              <w:t>0.254 (0.126 - 0.513)</w:t>
            </w:r>
          </w:p>
        </w:tc>
        <w:tc>
          <w:tcPr>
            <w:tcW w:w="840" w:type="dxa"/>
          </w:tcPr>
          <w:p w14:paraId="06C1FBC8" w14:textId="77777777" w:rsidR="00855767" w:rsidRPr="00855767" w:rsidRDefault="00855767" w:rsidP="003941E5">
            <w:pPr>
              <w:widowControl w:val="0"/>
              <w:spacing w:line="360" w:lineRule="auto"/>
              <w:jc w:val="both"/>
            </w:pPr>
            <w:r w:rsidRPr="00855767">
              <w:t>0.040</w:t>
            </w:r>
          </w:p>
        </w:tc>
      </w:tr>
      <w:tr w:rsidR="00855767" w:rsidRPr="00855767" w14:paraId="315149E9" w14:textId="77777777" w:rsidTr="00A1124C">
        <w:tc>
          <w:tcPr>
            <w:tcW w:w="2460" w:type="dxa"/>
          </w:tcPr>
          <w:p w14:paraId="19FC4A6A" w14:textId="77777777" w:rsidR="00855767" w:rsidRPr="00855767" w:rsidRDefault="00855767" w:rsidP="003941E5">
            <w:pPr>
              <w:widowControl w:val="0"/>
              <w:spacing w:line="360" w:lineRule="auto"/>
              <w:jc w:val="both"/>
            </w:pPr>
            <w:r w:rsidRPr="00855767">
              <w:t>C Line (Purple, n=21)</w:t>
            </w:r>
          </w:p>
        </w:tc>
        <w:tc>
          <w:tcPr>
            <w:tcW w:w="1530" w:type="dxa"/>
          </w:tcPr>
          <w:p w14:paraId="7EBF7236" w14:textId="77777777" w:rsidR="00855767" w:rsidRPr="00855767" w:rsidRDefault="00855767" w:rsidP="003941E5">
            <w:pPr>
              <w:widowControl w:val="0"/>
              <w:spacing w:line="360" w:lineRule="auto"/>
              <w:jc w:val="both"/>
            </w:pPr>
            <w:r w:rsidRPr="00855767">
              <w:t>21 (100%)</w:t>
            </w:r>
          </w:p>
        </w:tc>
        <w:tc>
          <w:tcPr>
            <w:tcW w:w="2340" w:type="dxa"/>
          </w:tcPr>
          <w:p w14:paraId="118D7A2E" w14:textId="77777777" w:rsidR="00855767" w:rsidRPr="00855767" w:rsidRDefault="00855767" w:rsidP="003941E5">
            <w:pPr>
              <w:widowControl w:val="0"/>
              <w:spacing w:line="360" w:lineRule="auto"/>
              <w:jc w:val="both"/>
            </w:pPr>
            <w:r w:rsidRPr="00855767">
              <w:t>14.00 (9.56 - 18.45)</w:t>
            </w:r>
          </w:p>
        </w:tc>
        <w:tc>
          <w:tcPr>
            <w:tcW w:w="2220" w:type="dxa"/>
          </w:tcPr>
          <w:p w14:paraId="7B94F439" w14:textId="77777777" w:rsidR="00855767" w:rsidRPr="00855767" w:rsidRDefault="00855767" w:rsidP="003941E5">
            <w:pPr>
              <w:widowControl w:val="0"/>
              <w:spacing w:line="360" w:lineRule="auto"/>
              <w:jc w:val="both"/>
            </w:pPr>
            <w:r w:rsidRPr="00855767">
              <w:t>1 (reference)</w:t>
            </w:r>
          </w:p>
        </w:tc>
        <w:tc>
          <w:tcPr>
            <w:tcW w:w="840" w:type="dxa"/>
          </w:tcPr>
          <w:p w14:paraId="1C6A33C8" w14:textId="77777777" w:rsidR="00855767" w:rsidRPr="00855767" w:rsidRDefault="00855767" w:rsidP="003941E5">
            <w:pPr>
              <w:widowControl w:val="0"/>
              <w:spacing w:line="360" w:lineRule="auto"/>
              <w:jc w:val="both"/>
            </w:pPr>
            <w:r w:rsidRPr="00855767">
              <w:t>-</w:t>
            </w:r>
          </w:p>
        </w:tc>
      </w:tr>
    </w:tbl>
    <w:p w14:paraId="168D49B6" w14:textId="77777777" w:rsidR="00855767" w:rsidRDefault="00855767" w:rsidP="003941E5">
      <w:pPr>
        <w:spacing w:line="360" w:lineRule="auto"/>
        <w:jc w:val="both"/>
      </w:pPr>
      <w:bookmarkStart w:id="59" w:name="_Hlk194339767"/>
    </w:p>
    <w:p w14:paraId="7670C731" w14:textId="77777777" w:rsidR="00F71CC2" w:rsidRDefault="00F71CC2" w:rsidP="003941E5">
      <w:pPr>
        <w:spacing w:line="360" w:lineRule="auto"/>
        <w:jc w:val="both"/>
      </w:pPr>
    </w:p>
    <w:p w14:paraId="2E0710FF" w14:textId="77777777" w:rsidR="00F71CC2" w:rsidRDefault="00F71CC2" w:rsidP="003941E5">
      <w:pPr>
        <w:spacing w:line="360" w:lineRule="auto"/>
        <w:jc w:val="both"/>
      </w:pPr>
    </w:p>
    <w:p w14:paraId="002581BD" w14:textId="77777777" w:rsidR="00F71CC2" w:rsidRDefault="00F71CC2" w:rsidP="003941E5">
      <w:pPr>
        <w:spacing w:line="360" w:lineRule="auto"/>
        <w:jc w:val="both"/>
      </w:pPr>
    </w:p>
    <w:p w14:paraId="6CB608A1" w14:textId="77777777" w:rsidR="00F71CC2" w:rsidRDefault="00F71CC2" w:rsidP="003941E5">
      <w:pPr>
        <w:spacing w:line="360" w:lineRule="auto"/>
        <w:jc w:val="both"/>
      </w:pPr>
    </w:p>
    <w:p w14:paraId="1EE7BAC8" w14:textId="77777777" w:rsidR="00F71CC2" w:rsidRDefault="00F71CC2" w:rsidP="003941E5">
      <w:pPr>
        <w:spacing w:line="360" w:lineRule="auto"/>
        <w:jc w:val="both"/>
      </w:pPr>
    </w:p>
    <w:p w14:paraId="2EFD51E7" w14:textId="77777777" w:rsidR="00F71CC2" w:rsidRDefault="00F71CC2" w:rsidP="003941E5">
      <w:pPr>
        <w:spacing w:line="360" w:lineRule="auto"/>
        <w:jc w:val="both"/>
      </w:pPr>
    </w:p>
    <w:p w14:paraId="5C77CEF9" w14:textId="77777777" w:rsidR="00F71CC2" w:rsidRDefault="00F71CC2" w:rsidP="003941E5">
      <w:pPr>
        <w:spacing w:line="360" w:lineRule="auto"/>
        <w:jc w:val="both"/>
      </w:pPr>
    </w:p>
    <w:p w14:paraId="1BEA98C8" w14:textId="77777777" w:rsidR="00F71CC2" w:rsidRDefault="00F71CC2" w:rsidP="003941E5">
      <w:pPr>
        <w:spacing w:line="360" w:lineRule="auto"/>
        <w:jc w:val="both"/>
      </w:pPr>
    </w:p>
    <w:p w14:paraId="14058959" w14:textId="77777777" w:rsidR="00F71CC2" w:rsidRDefault="00F71CC2" w:rsidP="003941E5">
      <w:pPr>
        <w:spacing w:line="360" w:lineRule="auto"/>
        <w:jc w:val="both"/>
      </w:pPr>
    </w:p>
    <w:p w14:paraId="420F6D95" w14:textId="77777777" w:rsidR="00F71CC2" w:rsidRDefault="00F71CC2" w:rsidP="003941E5">
      <w:pPr>
        <w:spacing w:line="360" w:lineRule="auto"/>
        <w:jc w:val="both"/>
      </w:pPr>
    </w:p>
    <w:p w14:paraId="543E90F8" w14:textId="77777777" w:rsidR="00F71CC2" w:rsidRDefault="00F71CC2" w:rsidP="003941E5">
      <w:pPr>
        <w:spacing w:line="360" w:lineRule="auto"/>
        <w:jc w:val="both"/>
      </w:pPr>
    </w:p>
    <w:p w14:paraId="429161EF" w14:textId="77777777" w:rsidR="00F71CC2" w:rsidRDefault="00F71CC2" w:rsidP="003941E5">
      <w:pPr>
        <w:spacing w:line="360" w:lineRule="auto"/>
        <w:jc w:val="both"/>
      </w:pPr>
    </w:p>
    <w:p w14:paraId="06020BCE" w14:textId="77777777" w:rsidR="00F71CC2" w:rsidRDefault="00F71CC2" w:rsidP="003941E5">
      <w:pPr>
        <w:spacing w:line="360" w:lineRule="auto"/>
        <w:jc w:val="both"/>
      </w:pPr>
    </w:p>
    <w:p w14:paraId="0AB6CAE5" w14:textId="77777777" w:rsidR="00F71CC2" w:rsidRDefault="00F71CC2" w:rsidP="003941E5">
      <w:pPr>
        <w:spacing w:line="360" w:lineRule="auto"/>
        <w:jc w:val="both"/>
      </w:pPr>
    </w:p>
    <w:p w14:paraId="54CDBA92" w14:textId="77777777" w:rsidR="00F71CC2" w:rsidRDefault="00F71CC2" w:rsidP="003941E5">
      <w:pPr>
        <w:spacing w:line="360" w:lineRule="auto"/>
        <w:jc w:val="both"/>
      </w:pPr>
    </w:p>
    <w:p w14:paraId="23A8C137" w14:textId="77777777" w:rsidR="00F71CC2" w:rsidRDefault="00F71CC2" w:rsidP="003941E5">
      <w:pPr>
        <w:spacing w:line="360" w:lineRule="auto"/>
        <w:jc w:val="both"/>
      </w:pPr>
    </w:p>
    <w:p w14:paraId="3403B759" w14:textId="77777777" w:rsidR="00F71CC2" w:rsidRDefault="00F71CC2" w:rsidP="003941E5">
      <w:pPr>
        <w:spacing w:line="360" w:lineRule="auto"/>
        <w:jc w:val="both"/>
      </w:pPr>
    </w:p>
    <w:p w14:paraId="4B66DAF2" w14:textId="77777777" w:rsidR="00F71CC2" w:rsidRPr="00855767" w:rsidRDefault="00F71CC2" w:rsidP="003941E5">
      <w:pPr>
        <w:spacing w:line="360" w:lineRule="auto"/>
        <w:jc w:val="both"/>
      </w:pPr>
    </w:p>
    <w:p w14:paraId="45518B55" w14:textId="763DBB10" w:rsidR="00855767" w:rsidRPr="00855767" w:rsidRDefault="00855767" w:rsidP="003941E5">
      <w:pPr>
        <w:pStyle w:val="Heading2"/>
        <w:spacing w:line="360" w:lineRule="auto"/>
        <w:jc w:val="both"/>
        <w:rPr>
          <w:rFonts w:ascii="Arial" w:hAnsi="Arial" w:cs="Arial"/>
          <w:sz w:val="22"/>
          <w:szCs w:val="22"/>
        </w:rPr>
      </w:pPr>
      <w:bookmarkStart w:id="60" w:name="_ayer55m8host" w:colFirst="0" w:colLast="0"/>
      <w:bookmarkStart w:id="61" w:name="_Toc194120296"/>
      <w:bookmarkStart w:id="62" w:name="_Toc194180676"/>
      <w:bookmarkStart w:id="63" w:name="_Toc194182194"/>
      <w:bookmarkEnd w:id="60"/>
      <w:r w:rsidRPr="00855767">
        <w:rPr>
          <w:rFonts w:ascii="Arial" w:hAnsi="Arial" w:cs="Arial"/>
          <w:sz w:val="22"/>
          <w:szCs w:val="22"/>
        </w:rPr>
        <w:t>5. Current &amp; Emerging Approaches</w:t>
      </w:r>
      <w:bookmarkEnd w:id="61"/>
      <w:bookmarkEnd w:id="62"/>
      <w:bookmarkEnd w:id="63"/>
    </w:p>
    <w:p w14:paraId="12A224AD" w14:textId="18BB45BD" w:rsidR="00F71CC2" w:rsidRPr="00E36595" w:rsidRDefault="00855767" w:rsidP="003941E5">
      <w:pPr>
        <w:pStyle w:val="Heading3"/>
        <w:spacing w:line="360" w:lineRule="auto"/>
        <w:jc w:val="both"/>
        <w:rPr>
          <w:rFonts w:cs="Arial"/>
          <w:sz w:val="22"/>
          <w:szCs w:val="22"/>
        </w:rPr>
      </w:pPr>
      <w:bookmarkStart w:id="64" w:name="_h1w6qceieeqq" w:colFirst="0" w:colLast="0"/>
      <w:bookmarkStart w:id="65" w:name="_Toc194180677"/>
      <w:bookmarkStart w:id="66" w:name="_Toc194182195"/>
      <w:bookmarkEnd w:id="64"/>
      <w:r w:rsidRPr="00855767">
        <w:rPr>
          <w:rFonts w:cs="Arial"/>
          <w:sz w:val="22"/>
          <w:szCs w:val="22"/>
        </w:rPr>
        <w:t>5.1 Pharmacological Inhibitors of Glycolysis and OXPHOS</w:t>
      </w:r>
      <w:bookmarkStart w:id="67" w:name="_rdckeragrlr5" w:colFirst="0" w:colLast="0"/>
      <w:bookmarkStart w:id="68" w:name="_u87zsx6mxc2q" w:colFirst="0" w:colLast="0"/>
      <w:bookmarkEnd w:id="59"/>
      <w:bookmarkEnd w:id="65"/>
      <w:bookmarkEnd w:id="66"/>
      <w:bookmarkEnd w:id="67"/>
      <w:bookmarkEnd w:id="68"/>
      <w:r w:rsidR="00E36595">
        <w:rPr>
          <w:rFonts w:cs="Arial"/>
          <w:sz w:val="22"/>
          <w:szCs w:val="22"/>
        </w:rPr>
        <w:t xml:space="preserve"> 285 377</w:t>
      </w:r>
    </w:p>
    <w:p w14:paraId="68530856" w14:textId="77777777" w:rsidR="00F71CC2" w:rsidRDefault="00F71CC2" w:rsidP="003941E5">
      <w:pPr>
        <w:spacing w:line="360" w:lineRule="auto"/>
        <w:jc w:val="both"/>
        <w:rPr>
          <w:b/>
        </w:rPr>
      </w:pPr>
    </w:p>
    <w:p w14:paraId="13717BA2" w14:textId="7165C568" w:rsidR="00855767" w:rsidRDefault="00855767" w:rsidP="003941E5">
      <w:pPr>
        <w:spacing w:line="360" w:lineRule="auto"/>
        <w:jc w:val="both"/>
      </w:pPr>
      <w:r w:rsidRPr="00855767">
        <w:rPr>
          <w:b/>
        </w:rPr>
        <w:t>Table 4.</w:t>
      </w:r>
      <w:r w:rsidRPr="00855767">
        <w:t xml:space="preserve"> Glycolytic inhibitors and their mechanisms of action in PDAC. This table outlines key categories of inhibitors targeting glycolytic enzymes such as hexokinase 2 (HK2), phosphofructokinase (PFK), pyruvate kinase M2 (PKM2), and lactate dehydrogenase A (LDHA), as well as monocarboxylate transporters (MCT1 and MCT4).The table below shows the categories of inhibitors, targets, mechanisms of action, preclinical or clinical findings( tumour reduction or sensitisation to chemotherapy) from various studies and their known limitations such as off-target effects or poor efficacy as a monotherapy. The table also includes the combination therapies (e.g. 2-DG and Metformin) to demonstrate the synergistic approaches used to overcome metabolic compensation and enhance therapeutic efficiency for PDAC treatment.</w:t>
      </w:r>
    </w:p>
    <w:p w14:paraId="207892A3" w14:textId="77777777" w:rsidR="00F71CC2" w:rsidRDefault="00F71CC2" w:rsidP="003941E5">
      <w:pPr>
        <w:spacing w:line="360" w:lineRule="auto"/>
        <w:jc w:val="both"/>
      </w:pPr>
    </w:p>
    <w:p w14:paraId="6ADE59B6" w14:textId="77777777" w:rsidR="00F71CC2" w:rsidRDefault="00F71CC2" w:rsidP="003941E5">
      <w:pPr>
        <w:spacing w:line="360" w:lineRule="auto"/>
        <w:jc w:val="both"/>
      </w:pPr>
    </w:p>
    <w:p w14:paraId="6919F989" w14:textId="77777777" w:rsidR="00F71CC2" w:rsidRDefault="00F71CC2" w:rsidP="003941E5">
      <w:pPr>
        <w:spacing w:line="360" w:lineRule="auto"/>
        <w:jc w:val="both"/>
      </w:pPr>
    </w:p>
    <w:p w14:paraId="240EB1B5" w14:textId="77777777" w:rsidR="00F71CC2" w:rsidRPr="00855767" w:rsidRDefault="00F71CC2" w:rsidP="003941E5">
      <w:pPr>
        <w:spacing w:line="360" w:lineRule="auto"/>
        <w:jc w:val="both"/>
      </w:pPr>
    </w:p>
    <w:p w14:paraId="03A0B70B" w14:textId="77777777" w:rsidR="00855767" w:rsidRPr="00855767" w:rsidRDefault="00855767" w:rsidP="003941E5">
      <w:pPr>
        <w:spacing w:line="360" w:lineRule="auto"/>
        <w:jc w:val="both"/>
      </w:pPr>
    </w:p>
    <w:tbl>
      <w:tblPr>
        <w:tblW w:w="11467"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2310"/>
        <w:gridCol w:w="2160"/>
        <w:gridCol w:w="1260"/>
        <w:gridCol w:w="2085"/>
        <w:gridCol w:w="2115"/>
        <w:gridCol w:w="1537"/>
      </w:tblGrid>
      <w:tr w:rsidR="00855767" w:rsidRPr="00855767" w14:paraId="00939A3B" w14:textId="77777777" w:rsidTr="00A1124C">
        <w:trPr>
          <w:trHeight w:val="555"/>
          <w:jc w:val="center"/>
        </w:trPr>
        <w:tc>
          <w:tcPr>
            <w:tcW w:w="2310" w:type="dxa"/>
            <w:tcMar>
              <w:top w:w="0" w:type="dxa"/>
              <w:left w:w="100" w:type="dxa"/>
              <w:bottom w:w="0" w:type="dxa"/>
              <w:right w:w="100" w:type="dxa"/>
            </w:tcMar>
          </w:tcPr>
          <w:p w14:paraId="479AD585" w14:textId="77777777" w:rsidR="00855767" w:rsidRPr="00855767" w:rsidRDefault="00855767" w:rsidP="003941E5">
            <w:pPr>
              <w:spacing w:before="240" w:line="360" w:lineRule="auto"/>
              <w:jc w:val="both"/>
            </w:pPr>
            <w:r w:rsidRPr="00855767">
              <w:t>Category</w:t>
            </w:r>
          </w:p>
        </w:tc>
        <w:tc>
          <w:tcPr>
            <w:tcW w:w="2160" w:type="dxa"/>
            <w:tcMar>
              <w:top w:w="0" w:type="dxa"/>
              <w:left w:w="100" w:type="dxa"/>
              <w:bottom w:w="0" w:type="dxa"/>
              <w:right w:w="100" w:type="dxa"/>
            </w:tcMar>
          </w:tcPr>
          <w:p w14:paraId="19FE35D2" w14:textId="77777777" w:rsidR="00855767" w:rsidRPr="00855767" w:rsidRDefault="00855767" w:rsidP="003941E5">
            <w:pPr>
              <w:spacing w:before="240" w:line="360" w:lineRule="auto"/>
              <w:jc w:val="both"/>
            </w:pPr>
            <w:r w:rsidRPr="00855767">
              <w:t>Inhibitor</w:t>
            </w:r>
          </w:p>
        </w:tc>
        <w:tc>
          <w:tcPr>
            <w:tcW w:w="1260" w:type="dxa"/>
            <w:tcMar>
              <w:top w:w="0" w:type="dxa"/>
              <w:left w:w="100" w:type="dxa"/>
              <w:bottom w:w="0" w:type="dxa"/>
              <w:right w:w="100" w:type="dxa"/>
            </w:tcMar>
          </w:tcPr>
          <w:p w14:paraId="48637F59" w14:textId="77777777" w:rsidR="00855767" w:rsidRPr="00855767" w:rsidRDefault="00855767" w:rsidP="003941E5">
            <w:pPr>
              <w:spacing w:before="240" w:line="360" w:lineRule="auto"/>
              <w:jc w:val="both"/>
            </w:pPr>
            <w:r w:rsidRPr="00855767">
              <w:t>Target</w:t>
            </w:r>
          </w:p>
        </w:tc>
        <w:tc>
          <w:tcPr>
            <w:tcW w:w="2085" w:type="dxa"/>
            <w:tcMar>
              <w:top w:w="0" w:type="dxa"/>
              <w:left w:w="100" w:type="dxa"/>
              <w:bottom w:w="0" w:type="dxa"/>
              <w:right w:w="100" w:type="dxa"/>
            </w:tcMar>
          </w:tcPr>
          <w:p w14:paraId="2C194CCE" w14:textId="77777777" w:rsidR="00855767" w:rsidRPr="00855767" w:rsidRDefault="00855767" w:rsidP="003941E5">
            <w:pPr>
              <w:spacing w:before="240" w:line="360" w:lineRule="auto"/>
              <w:jc w:val="both"/>
            </w:pPr>
            <w:r w:rsidRPr="00855767">
              <w:t>Mechanism of Action</w:t>
            </w:r>
          </w:p>
        </w:tc>
        <w:tc>
          <w:tcPr>
            <w:tcW w:w="2115" w:type="dxa"/>
            <w:tcMar>
              <w:top w:w="0" w:type="dxa"/>
              <w:left w:w="100" w:type="dxa"/>
              <w:bottom w:w="0" w:type="dxa"/>
              <w:right w:w="100" w:type="dxa"/>
            </w:tcMar>
          </w:tcPr>
          <w:p w14:paraId="61A43BA6" w14:textId="77777777" w:rsidR="00855767" w:rsidRPr="00855767" w:rsidRDefault="00855767" w:rsidP="003941E5">
            <w:pPr>
              <w:spacing w:before="240" w:line="360" w:lineRule="auto"/>
              <w:jc w:val="both"/>
            </w:pPr>
            <w:r w:rsidRPr="00855767">
              <w:t>Key Findings</w:t>
            </w:r>
          </w:p>
        </w:tc>
        <w:tc>
          <w:tcPr>
            <w:tcW w:w="1537" w:type="dxa"/>
            <w:tcMar>
              <w:top w:w="0" w:type="dxa"/>
              <w:left w:w="100" w:type="dxa"/>
              <w:bottom w:w="0" w:type="dxa"/>
              <w:right w:w="100" w:type="dxa"/>
            </w:tcMar>
          </w:tcPr>
          <w:p w14:paraId="74912DB6" w14:textId="77777777" w:rsidR="00855767" w:rsidRPr="00855767" w:rsidRDefault="00855767" w:rsidP="003941E5">
            <w:pPr>
              <w:spacing w:before="240" w:line="360" w:lineRule="auto"/>
              <w:jc w:val="both"/>
            </w:pPr>
            <w:r w:rsidRPr="00855767">
              <w:t>Limitations</w:t>
            </w:r>
          </w:p>
        </w:tc>
      </w:tr>
      <w:tr w:rsidR="00855767" w:rsidRPr="00855767" w14:paraId="46DAB661" w14:textId="77777777" w:rsidTr="00A1124C">
        <w:trPr>
          <w:trHeight w:val="1905"/>
          <w:jc w:val="center"/>
        </w:trPr>
        <w:tc>
          <w:tcPr>
            <w:tcW w:w="2310" w:type="dxa"/>
            <w:tcMar>
              <w:top w:w="0" w:type="dxa"/>
              <w:left w:w="100" w:type="dxa"/>
              <w:bottom w:w="0" w:type="dxa"/>
              <w:right w:w="100" w:type="dxa"/>
            </w:tcMar>
          </w:tcPr>
          <w:p w14:paraId="39906755" w14:textId="77777777" w:rsidR="00855767" w:rsidRPr="00855767" w:rsidRDefault="00855767" w:rsidP="003941E5">
            <w:pPr>
              <w:spacing w:before="240" w:line="360" w:lineRule="auto"/>
              <w:jc w:val="both"/>
            </w:pPr>
            <w:r w:rsidRPr="00855767">
              <w:t>Hexokinase (</w:t>
            </w:r>
            <w:r w:rsidRPr="00855767">
              <w:rPr>
                <w:i/>
                <w:iCs/>
              </w:rPr>
              <w:t>HK</w:t>
            </w:r>
            <w:r w:rsidRPr="00855767">
              <w:t>) Inhibitors</w:t>
            </w:r>
          </w:p>
        </w:tc>
        <w:tc>
          <w:tcPr>
            <w:tcW w:w="2160" w:type="dxa"/>
            <w:tcMar>
              <w:top w:w="0" w:type="dxa"/>
              <w:left w:w="100" w:type="dxa"/>
              <w:bottom w:w="0" w:type="dxa"/>
              <w:right w:w="100" w:type="dxa"/>
            </w:tcMar>
          </w:tcPr>
          <w:p w14:paraId="73D8ED90" w14:textId="77777777" w:rsidR="00855767" w:rsidRPr="00855767" w:rsidRDefault="00855767" w:rsidP="003941E5">
            <w:pPr>
              <w:spacing w:before="240" w:line="360" w:lineRule="auto"/>
              <w:jc w:val="both"/>
            </w:pPr>
            <w:r w:rsidRPr="00855767">
              <w:t>3-Bromopyruvate (3-BrPA)</w:t>
            </w:r>
          </w:p>
        </w:tc>
        <w:tc>
          <w:tcPr>
            <w:tcW w:w="1260" w:type="dxa"/>
            <w:tcMar>
              <w:top w:w="0" w:type="dxa"/>
              <w:left w:w="100" w:type="dxa"/>
              <w:bottom w:w="0" w:type="dxa"/>
              <w:right w:w="100" w:type="dxa"/>
            </w:tcMar>
          </w:tcPr>
          <w:p w14:paraId="641E8FC4" w14:textId="77777777" w:rsidR="00855767" w:rsidRPr="00855767" w:rsidRDefault="00855767" w:rsidP="003941E5">
            <w:pPr>
              <w:spacing w:before="240" w:line="360" w:lineRule="auto"/>
              <w:jc w:val="both"/>
              <w:rPr>
                <w:i/>
                <w:iCs/>
              </w:rPr>
            </w:pPr>
            <w:r w:rsidRPr="00855767">
              <w:rPr>
                <w:i/>
                <w:iCs/>
              </w:rPr>
              <w:t>HK2</w:t>
            </w:r>
          </w:p>
        </w:tc>
        <w:tc>
          <w:tcPr>
            <w:tcW w:w="2085" w:type="dxa"/>
            <w:tcMar>
              <w:top w:w="0" w:type="dxa"/>
              <w:left w:w="100" w:type="dxa"/>
              <w:bottom w:w="0" w:type="dxa"/>
              <w:right w:w="100" w:type="dxa"/>
            </w:tcMar>
          </w:tcPr>
          <w:p w14:paraId="037E461F" w14:textId="77777777" w:rsidR="00855767" w:rsidRPr="00855767" w:rsidRDefault="00855767" w:rsidP="003941E5">
            <w:pPr>
              <w:spacing w:before="240" w:line="360" w:lineRule="auto"/>
              <w:jc w:val="both"/>
            </w:pPr>
            <w:r w:rsidRPr="00855767">
              <w:t xml:space="preserve">Alkylates </w:t>
            </w:r>
            <w:r w:rsidRPr="00855767">
              <w:rPr>
                <w:i/>
                <w:iCs/>
              </w:rPr>
              <w:t xml:space="preserve">HK2 </w:t>
            </w:r>
            <w:r w:rsidRPr="00855767">
              <w:t>disrupt glycolysis and ATP production</w:t>
            </w:r>
          </w:p>
        </w:tc>
        <w:tc>
          <w:tcPr>
            <w:tcW w:w="2115" w:type="dxa"/>
            <w:tcMar>
              <w:top w:w="0" w:type="dxa"/>
              <w:left w:w="100" w:type="dxa"/>
              <w:bottom w:w="0" w:type="dxa"/>
              <w:right w:w="100" w:type="dxa"/>
            </w:tcMar>
          </w:tcPr>
          <w:p w14:paraId="1E54C6AA" w14:textId="77777777" w:rsidR="00855767" w:rsidRPr="00855767" w:rsidRDefault="00855767" w:rsidP="003941E5">
            <w:pPr>
              <w:spacing w:before="240" w:line="360" w:lineRule="auto"/>
              <w:jc w:val="both"/>
            </w:pPr>
            <w:r w:rsidRPr="00855767">
              <w:t>Effective in reducing ATP, the microencapsulated form reduces off-target toxicity (Chapiro et al., 2014)</w:t>
            </w:r>
          </w:p>
        </w:tc>
        <w:tc>
          <w:tcPr>
            <w:tcW w:w="1537" w:type="dxa"/>
            <w:tcMar>
              <w:top w:w="0" w:type="dxa"/>
              <w:left w:w="100" w:type="dxa"/>
              <w:bottom w:w="0" w:type="dxa"/>
              <w:right w:w="100" w:type="dxa"/>
            </w:tcMar>
          </w:tcPr>
          <w:p w14:paraId="35563276" w14:textId="77777777" w:rsidR="00855767" w:rsidRPr="00855767" w:rsidRDefault="00855767" w:rsidP="003941E5">
            <w:pPr>
              <w:spacing w:before="240" w:line="360" w:lineRule="auto"/>
              <w:jc w:val="both"/>
            </w:pPr>
            <w:r w:rsidRPr="00855767">
              <w:t>Systemic toxicity in free form requires a delivery system</w:t>
            </w:r>
          </w:p>
        </w:tc>
      </w:tr>
      <w:tr w:rsidR="00855767" w:rsidRPr="00855767" w14:paraId="5C86CA7C" w14:textId="77777777" w:rsidTr="00A1124C">
        <w:trPr>
          <w:trHeight w:val="1905"/>
          <w:jc w:val="center"/>
        </w:trPr>
        <w:tc>
          <w:tcPr>
            <w:tcW w:w="2310" w:type="dxa"/>
            <w:tcMar>
              <w:top w:w="0" w:type="dxa"/>
              <w:left w:w="100" w:type="dxa"/>
              <w:bottom w:w="0" w:type="dxa"/>
              <w:right w:w="100" w:type="dxa"/>
            </w:tcMar>
          </w:tcPr>
          <w:p w14:paraId="4F937517" w14:textId="77777777" w:rsidR="00855767" w:rsidRPr="00855767" w:rsidRDefault="00855767" w:rsidP="003941E5">
            <w:pPr>
              <w:spacing w:before="240" w:line="360" w:lineRule="auto"/>
              <w:jc w:val="both"/>
            </w:pPr>
            <w:r w:rsidRPr="00855767">
              <w:lastRenderedPageBreak/>
              <w:t>Phosphofructokinase (</w:t>
            </w:r>
            <w:r w:rsidRPr="00855767">
              <w:rPr>
                <w:i/>
                <w:iCs/>
              </w:rPr>
              <w:t>PFK</w:t>
            </w:r>
            <w:r w:rsidRPr="00855767">
              <w:t>) Inhibitors</w:t>
            </w:r>
          </w:p>
        </w:tc>
        <w:tc>
          <w:tcPr>
            <w:tcW w:w="2160" w:type="dxa"/>
            <w:tcMar>
              <w:top w:w="0" w:type="dxa"/>
              <w:left w:w="100" w:type="dxa"/>
              <w:bottom w:w="0" w:type="dxa"/>
              <w:right w:w="100" w:type="dxa"/>
            </w:tcMar>
          </w:tcPr>
          <w:p w14:paraId="66FFC2A1" w14:textId="77777777" w:rsidR="00855767" w:rsidRPr="00855767" w:rsidRDefault="00855767" w:rsidP="003941E5">
            <w:pPr>
              <w:spacing w:before="240" w:line="360" w:lineRule="auto"/>
              <w:jc w:val="both"/>
            </w:pPr>
            <w:r w:rsidRPr="00855767">
              <w:t>2-Deoxy-D-Glucose (2-DG)</w:t>
            </w:r>
          </w:p>
        </w:tc>
        <w:tc>
          <w:tcPr>
            <w:tcW w:w="1260" w:type="dxa"/>
            <w:tcMar>
              <w:top w:w="0" w:type="dxa"/>
              <w:left w:w="100" w:type="dxa"/>
              <w:bottom w:w="0" w:type="dxa"/>
              <w:right w:w="100" w:type="dxa"/>
            </w:tcMar>
          </w:tcPr>
          <w:p w14:paraId="7CDA7B11" w14:textId="77777777" w:rsidR="00855767" w:rsidRPr="00855767" w:rsidRDefault="00855767" w:rsidP="003941E5">
            <w:pPr>
              <w:spacing w:before="240" w:line="360" w:lineRule="auto"/>
              <w:jc w:val="both"/>
            </w:pPr>
            <w:r w:rsidRPr="00855767">
              <w:t>PFK</w:t>
            </w:r>
          </w:p>
        </w:tc>
        <w:tc>
          <w:tcPr>
            <w:tcW w:w="2085" w:type="dxa"/>
            <w:tcMar>
              <w:top w:w="0" w:type="dxa"/>
              <w:left w:w="100" w:type="dxa"/>
              <w:bottom w:w="0" w:type="dxa"/>
              <w:right w:w="100" w:type="dxa"/>
            </w:tcMar>
          </w:tcPr>
          <w:p w14:paraId="64B0408C" w14:textId="77777777" w:rsidR="00855767" w:rsidRPr="00855767" w:rsidRDefault="00855767" w:rsidP="003941E5">
            <w:pPr>
              <w:spacing w:before="240" w:line="360" w:lineRule="auto"/>
              <w:jc w:val="both"/>
            </w:pPr>
            <w:r w:rsidRPr="00855767">
              <w:t>Competes with glucose for phosphorylation, inhibits glycolysis</w:t>
            </w:r>
          </w:p>
        </w:tc>
        <w:tc>
          <w:tcPr>
            <w:tcW w:w="2115" w:type="dxa"/>
            <w:tcMar>
              <w:top w:w="0" w:type="dxa"/>
              <w:left w:w="100" w:type="dxa"/>
              <w:bottom w:w="0" w:type="dxa"/>
              <w:right w:w="100" w:type="dxa"/>
            </w:tcMar>
          </w:tcPr>
          <w:p w14:paraId="58A920FC" w14:textId="77777777" w:rsidR="00855767" w:rsidRPr="00855767" w:rsidRDefault="00855767" w:rsidP="003941E5">
            <w:pPr>
              <w:spacing w:before="240" w:line="360" w:lineRule="auto"/>
              <w:jc w:val="both"/>
            </w:pPr>
            <w:r w:rsidRPr="00855767">
              <w:t>Enhanced efficacy in p53-mutant PDAC cells, limited as monotherapy (Shukla et al., 2017)</w:t>
            </w:r>
          </w:p>
        </w:tc>
        <w:tc>
          <w:tcPr>
            <w:tcW w:w="1537" w:type="dxa"/>
            <w:tcMar>
              <w:top w:w="0" w:type="dxa"/>
              <w:left w:w="100" w:type="dxa"/>
              <w:bottom w:w="0" w:type="dxa"/>
              <w:right w:w="100" w:type="dxa"/>
            </w:tcMar>
          </w:tcPr>
          <w:p w14:paraId="6B63537D" w14:textId="77777777" w:rsidR="00855767" w:rsidRPr="00855767" w:rsidRDefault="00855767" w:rsidP="003941E5">
            <w:pPr>
              <w:spacing w:before="240" w:line="360" w:lineRule="auto"/>
              <w:jc w:val="both"/>
            </w:pPr>
            <w:r w:rsidRPr="00855767">
              <w:t>Non-specific inhibition affects normal cells</w:t>
            </w:r>
          </w:p>
        </w:tc>
      </w:tr>
      <w:tr w:rsidR="00855767" w:rsidRPr="00855767" w14:paraId="6C2B094E" w14:textId="77777777" w:rsidTr="00A1124C">
        <w:trPr>
          <w:trHeight w:val="1905"/>
          <w:jc w:val="center"/>
        </w:trPr>
        <w:tc>
          <w:tcPr>
            <w:tcW w:w="2310" w:type="dxa"/>
            <w:tcMar>
              <w:top w:w="0" w:type="dxa"/>
              <w:left w:w="100" w:type="dxa"/>
              <w:bottom w:w="0" w:type="dxa"/>
              <w:right w:w="100" w:type="dxa"/>
            </w:tcMar>
          </w:tcPr>
          <w:p w14:paraId="3A12DC6D" w14:textId="77777777" w:rsidR="00855767" w:rsidRPr="00855767" w:rsidRDefault="00855767" w:rsidP="003941E5">
            <w:pPr>
              <w:spacing w:before="240" w:line="360" w:lineRule="auto"/>
              <w:jc w:val="both"/>
            </w:pPr>
            <w:r w:rsidRPr="00855767">
              <w:t>PKM2 Modulators</w:t>
            </w:r>
          </w:p>
        </w:tc>
        <w:tc>
          <w:tcPr>
            <w:tcW w:w="2160" w:type="dxa"/>
            <w:tcMar>
              <w:top w:w="0" w:type="dxa"/>
              <w:left w:w="100" w:type="dxa"/>
              <w:bottom w:w="0" w:type="dxa"/>
              <w:right w:w="100" w:type="dxa"/>
            </w:tcMar>
          </w:tcPr>
          <w:p w14:paraId="009F123A" w14:textId="77777777" w:rsidR="00855767" w:rsidRPr="00855767" w:rsidRDefault="00855767" w:rsidP="003941E5">
            <w:pPr>
              <w:spacing w:before="240" w:line="360" w:lineRule="auto"/>
              <w:jc w:val="both"/>
            </w:pPr>
            <w:r w:rsidRPr="00855767">
              <w:t>TEPP-46</w:t>
            </w:r>
          </w:p>
        </w:tc>
        <w:tc>
          <w:tcPr>
            <w:tcW w:w="1260" w:type="dxa"/>
            <w:tcMar>
              <w:top w:w="0" w:type="dxa"/>
              <w:left w:w="100" w:type="dxa"/>
              <w:bottom w:w="0" w:type="dxa"/>
              <w:right w:w="100" w:type="dxa"/>
            </w:tcMar>
          </w:tcPr>
          <w:p w14:paraId="718AD944" w14:textId="77777777" w:rsidR="00855767" w:rsidRPr="00855767" w:rsidRDefault="00855767" w:rsidP="003941E5">
            <w:pPr>
              <w:spacing w:before="240" w:line="360" w:lineRule="auto"/>
              <w:jc w:val="both"/>
              <w:rPr>
                <w:i/>
                <w:iCs/>
              </w:rPr>
            </w:pPr>
            <w:r w:rsidRPr="00855767">
              <w:rPr>
                <w:i/>
                <w:iCs/>
              </w:rPr>
              <w:t>PKM2</w:t>
            </w:r>
          </w:p>
        </w:tc>
        <w:tc>
          <w:tcPr>
            <w:tcW w:w="2085" w:type="dxa"/>
            <w:tcMar>
              <w:top w:w="0" w:type="dxa"/>
              <w:left w:w="100" w:type="dxa"/>
              <w:bottom w:w="0" w:type="dxa"/>
              <w:right w:w="100" w:type="dxa"/>
            </w:tcMar>
          </w:tcPr>
          <w:p w14:paraId="76BDE742" w14:textId="77777777" w:rsidR="00855767" w:rsidRPr="00855767" w:rsidRDefault="00855767" w:rsidP="003941E5">
            <w:pPr>
              <w:spacing w:before="240" w:line="360" w:lineRule="auto"/>
              <w:jc w:val="both"/>
            </w:pPr>
            <w:r w:rsidRPr="00855767">
              <w:t xml:space="preserve">Activates </w:t>
            </w:r>
            <w:r w:rsidRPr="00855767">
              <w:rPr>
                <w:i/>
                <w:iCs/>
              </w:rPr>
              <w:t>PKM2</w:t>
            </w:r>
            <w:r w:rsidRPr="00855767">
              <w:t xml:space="preserve"> to shift metabolism to lactate production</w:t>
            </w:r>
          </w:p>
        </w:tc>
        <w:tc>
          <w:tcPr>
            <w:tcW w:w="2115" w:type="dxa"/>
            <w:tcMar>
              <w:top w:w="0" w:type="dxa"/>
              <w:left w:w="100" w:type="dxa"/>
              <w:bottom w:w="0" w:type="dxa"/>
              <w:right w:w="100" w:type="dxa"/>
            </w:tcMar>
          </w:tcPr>
          <w:p w14:paraId="6E5DC762" w14:textId="77777777" w:rsidR="00855767" w:rsidRPr="00855767" w:rsidRDefault="00855767" w:rsidP="003941E5">
            <w:pPr>
              <w:spacing w:before="240" w:line="360" w:lineRule="auto"/>
              <w:jc w:val="both"/>
            </w:pPr>
            <w:r w:rsidRPr="00855767">
              <w:t xml:space="preserve">Failed to reduce ATP/tumour growth alone; effective when combined (Tee et al., 2017; </w:t>
            </w:r>
            <w:proofErr w:type="spellStart"/>
            <w:r w:rsidRPr="00855767">
              <w:t>Angiari</w:t>
            </w:r>
            <w:proofErr w:type="spellEnd"/>
            <w:r w:rsidRPr="00855767">
              <w:t xml:space="preserve"> et al., 2020)</w:t>
            </w:r>
          </w:p>
        </w:tc>
        <w:tc>
          <w:tcPr>
            <w:tcW w:w="1537" w:type="dxa"/>
            <w:tcMar>
              <w:top w:w="0" w:type="dxa"/>
              <w:left w:w="100" w:type="dxa"/>
              <w:bottom w:w="0" w:type="dxa"/>
              <w:right w:w="100" w:type="dxa"/>
            </w:tcMar>
          </w:tcPr>
          <w:p w14:paraId="1EB6F6E9" w14:textId="77777777" w:rsidR="00855767" w:rsidRPr="00855767" w:rsidRDefault="00855767" w:rsidP="003941E5">
            <w:pPr>
              <w:spacing w:before="240" w:line="360" w:lineRule="auto"/>
              <w:jc w:val="both"/>
            </w:pPr>
            <w:r w:rsidRPr="00855767">
              <w:t>Not effective as monotherapy</w:t>
            </w:r>
          </w:p>
        </w:tc>
      </w:tr>
      <w:tr w:rsidR="00855767" w:rsidRPr="00855767" w14:paraId="2F57D53B" w14:textId="77777777" w:rsidTr="00A1124C">
        <w:trPr>
          <w:trHeight w:val="1635"/>
          <w:jc w:val="center"/>
        </w:trPr>
        <w:tc>
          <w:tcPr>
            <w:tcW w:w="2310" w:type="dxa"/>
            <w:tcMar>
              <w:top w:w="0" w:type="dxa"/>
              <w:left w:w="100" w:type="dxa"/>
              <w:bottom w:w="0" w:type="dxa"/>
              <w:right w:w="100" w:type="dxa"/>
            </w:tcMar>
          </w:tcPr>
          <w:p w14:paraId="4A10EC2C" w14:textId="77777777" w:rsidR="00855767" w:rsidRPr="00855767" w:rsidRDefault="00855767" w:rsidP="003941E5">
            <w:pPr>
              <w:spacing w:before="240" w:line="360" w:lineRule="auto"/>
              <w:jc w:val="both"/>
            </w:pPr>
            <w:r w:rsidRPr="00855767">
              <w:t>LDH Inhibitors</w:t>
            </w:r>
          </w:p>
        </w:tc>
        <w:tc>
          <w:tcPr>
            <w:tcW w:w="2160" w:type="dxa"/>
            <w:tcMar>
              <w:top w:w="0" w:type="dxa"/>
              <w:left w:w="100" w:type="dxa"/>
              <w:bottom w:w="0" w:type="dxa"/>
              <w:right w:w="100" w:type="dxa"/>
            </w:tcMar>
          </w:tcPr>
          <w:p w14:paraId="06413120" w14:textId="77777777" w:rsidR="00855767" w:rsidRPr="00855767" w:rsidRDefault="00855767" w:rsidP="003941E5">
            <w:pPr>
              <w:spacing w:before="240" w:line="360" w:lineRule="auto"/>
              <w:jc w:val="both"/>
            </w:pPr>
            <w:r w:rsidRPr="00855767">
              <w:t>FX-11, Galloflavin</w:t>
            </w:r>
          </w:p>
        </w:tc>
        <w:tc>
          <w:tcPr>
            <w:tcW w:w="1260" w:type="dxa"/>
            <w:tcMar>
              <w:top w:w="0" w:type="dxa"/>
              <w:left w:w="100" w:type="dxa"/>
              <w:bottom w:w="0" w:type="dxa"/>
              <w:right w:w="100" w:type="dxa"/>
            </w:tcMar>
          </w:tcPr>
          <w:p w14:paraId="0E0643A3" w14:textId="77777777" w:rsidR="00855767" w:rsidRPr="00855767" w:rsidRDefault="00855767" w:rsidP="003941E5">
            <w:pPr>
              <w:spacing w:before="240" w:line="360" w:lineRule="auto"/>
              <w:jc w:val="both"/>
              <w:rPr>
                <w:i/>
                <w:iCs/>
              </w:rPr>
            </w:pPr>
            <w:r w:rsidRPr="00855767">
              <w:rPr>
                <w:i/>
                <w:iCs/>
              </w:rPr>
              <w:t>LDHA / LDHB</w:t>
            </w:r>
          </w:p>
        </w:tc>
        <w:tc>
          <w:tcPr>
            <w:tcW w:w="2085" w:type="dxa"/>
            <w:tcMar>
              <w:top w:w="0" w:type="dxa"/>
              <w:left w:w="100" w:type="dxa"/>
              <w:bottom w:w="0" w:type="dxa"/>
              <w:right w:w="100" w:type="dxa"/>
            </w:tcMar>
          </w:tcPr>
          <w:p w14:paraId="215D81BC" w14:textId="77777777" w:rsidR="00855767" w:rsidRPr="00855767" w:rsidRDefault="00855767" w:rsidP="003941E5">
            <w:pPr>
              <w:spacing w:before="240" w:line="360" w:lineRule="auto"/>
              <w:jc w:val="both"/>
            </w:pPr>
            <w:r w:rsidRPr="00855767">
              <w:t>Blocks pyruvate-to-lactate conversion induces oxidative stress</w:t>
            </w:r>
          </w:p>
        </w:tc>
        <w:tc>
          <w:tcPr>
            <w:tcW w:w="2115" w:type="dxa"/>
            <w:tcMar>
              <w:top w:w="0" w:type="dxa"/>
              <w:left w:w="100" w:type="dxa"/>
              <w:bottom w:w="0" w:type="dxa"/>
              <w:right w:w="100" w:type="dxa"/>
            </w:tcMar>
          </w:tcPr>
          <w:p w14:paraId="1B46C1A5" w14:textId="77777777" w:rsidR="00855767" w:rsidRPr="00855767" w:rsidRDefault="00855767" w:rsidP="003941E5">
            <w:pPr>
              <w:spacing w:before="240" w:line="360" w:lineRule="auto"/>
              <w:jc w:val="both"/>
            </w:pPr>
            <w:r w:rsidRPr="00855767">
              <w:t>Significant tumour reduction in combination therapy; limited as monotherapy (Moir et al., 2020)</w:t>
            </w:r>
          </w:p>
        </w:tc>
        <w:tc>
          <w:tcPr>
            <w:tcW w:w="1537" w:type="dxa"/>
            <w:tcMar>
              <w:top w:w="0" w:type="dxa"/>
              <w:left w:w="100" w:type="dxa"/>
              <w:bottom w:w="0" w:type="dxa"/>
              <w:right w:w="100" w:type="dxa"/>
            </w:tcMar>
          </w:tcPr>
          <w:p w14:paraId="047FA133" w14:textId="77777777" w:rsidR="00855767" w:rsidRPr="00855767" w:rsidRDefault="00855767" w:rsidP="003941E5">
            <w:pPr>
              <w:spacing w:before="240" w:line="360" w:lineRule="auto"/>
              <w:jc w:val="both"/>
            </w:pPr>
            <w:r w:rsidRPr="00855767">
              <w:t>Limited efficacy in PSC co-culture models</w:t>
            </w:r>
          </w:p>
        </w:tc>
      </w:tr>
      <w:tr w:rsidR="00855767" w:rsidRPr="00855767" w14:paraId="618EFC41" w14:textId="77777777" w:rsidTr="00A1124C">
        <w:trPr>
          <w:trHeight w:val="1905"/>
          <w:jc w:val="center"/>
        </w:trPr>
        <w:tc>
          <w:tcPr>
            <w:tcW w:w="2310" w:type="dxa"/>
            <w:tcMar>
              <w:top w:w="0" w:type="dxa"/>
              <w:left w:w="100" w:type="dxa"/>
              <w:bottom w:w="0" w:type="dxa"/>
              <w:right w:w="100" w:type="dxa"/>
            </w:tcMar>
          </w:tcPr>
          <w:p w14:paraId="579BF8A5" w14:textId="77777777" w:rsidR="00855767" w:rsidRPr="00855767" w:rsidRDefault="00855767" w:rsidP="003941E5">
            <w:pPr>
              <w:spacing w:before="240" w:line="360" w:lineRule="auto"/>
              <w:jc w:val="both"/>
            </w:pPr>
            <w:r w:rsidRPr="00855767">
              <w:t>Monocarboxylate Transporter (MCT) Inhibitors</w:t>
            </w:r>
          </w:p>
        </w:tc>
        <w:tc>
          <w:tcPr>
            <w:tcW w:w="2160" w:type="dxa"/>
            <w:tcMar>
              <w:top w:w="0" w:type="dxa"/>
              <w:left w:w="100" w:type="dxa"/>
              <w:bottom w:w="0" w:type="dxa"/>
              <w:right w:w="100" w:type="dxa"/>
            </w:tcMar>
          </w:tcPr>
          <w:p w14:paraId="159EC555" w14:textId="77777777" w:rsidR="00855767" w:rsidRPr="00855767" w:rsidRDefault="00855767" w:rsidP="003941E5">
            <w:pPr>
              <w:spacing w:before="240" w:line="360" w:lineRule="auto"/>
              <w:jc w:val="both"/>
            </w:pPr>
            <w:r w:rsidRPr="00855767">
              <w:t>AZD3965</w:t>
            </w:r>
          </w:p>
        </w:tc>
        <w:tc>
          <w:tcPr>
            <w:tcW w:w="1260" w:type="dxa"/>
            <w:tcMar>
              <w:top w:w="0" w:type="dxa"/>
              <w:left w:w="100" w:type="dxa"/>
              <w:bottom w:w="0" w:type="dxa"/>
              <w:right w:w="100" w:type="dxa"/>
            </w:tcMar>
          </w:tcPr>
          <w:p w14:paraId="07051D3B" w14:textId="77777777" w:rsidR="00855767" w:rsidRPr="00855767" w:rsidRDefault="00855767" w:rsidP="003941E5">
            <w:pPr>
              <w:spacing w:before="240" w:line="360" w:lineRule="auto"/>
              <w:jc w:val="both"/>
              <w:rPr>
                <w:i/>
                <w:iCs/>
              </w:rPr>
            </w:pPr>
            <w:r w:rsidRPr="00855767">
              <w:rPr>
                <w:i/>
                <w:iCs/>
              </w:rPr>
              <w:t>MCT1 / MCT4</w:t>
            </w:r>
          </w:p>
        </w:tc>
        <w:tc>
          <w:tcPr>
            <w:tcW w:w="2085" w:type="dxa"/>
            <w:tcMar>
              <w:top w:w="0" w:type="dxa"/>
              <w:left w:w="100" w:type="dxa"/>
              <w:bottom w:w="0" w:type="dxa"/>
              <w:right w:w="100" w:type="dxa"/>
            </w:tcMar>
          </w:tcPr>
          <w:p w14:paraId="6A3F219E" w14:textId="77777777" w:rsidR="00855767" w:rsidRPr="00855767" w:rsidRDefault="00855767" w:rsidP="003941E5">
            <w:pPr>
              <w:spacing w:before="240" w:line="360" w:lineRule="auto"/>
              <w:jc w:val="both"/>
            </w:pPr>
            <w:r w:rsidRPr="00855767">
              <w:t>Blocks lactate transport, forces metabolic crisis</w:t>
            </w:r>
          </w:p>
        </w:tc>
        <w:tc>
          <w:tcPr>
            <w:tcW w:w="2115" w:type="dxa"/>
            <w:tcMar>
              <w:top w:w="0" w:type="dxa"/>
              <w:left w:w="100" w:type="dxa"/>
              <w:bottom w:w="0" w:type="dxa"/>
              <w:right w:w="100" w:type="dxa"/>
            </w:tcMar>
          </w:tcPr>
          <w:p w14:paraId="12F9ABA7" w14:textId="77777777" w:rsidR="00855767" w:rsidRPr="00855767" w:rsidRDefault="00855767" w:rsidP="003941E5">
            <w:pPr>
              <w:spacing w:before="240" w:line="360" w:lineRule="auto"/>
              <w:jc w:val="both"/>
            </w:pPr>
            <w:r w:rsidRPr="00855767">
              <w:t>Disrupts CAF–tumour metabolic coupling; enhances therapeutic stress (Benjamin and Hall, 2022)</w:t>
            </w:r>
          </w:p>
        </w:tc>
        <w:tc>
          <w:tcPr>
            <w:tcW w:w="1537" w:type="dxa"/>
            <w:tcMar>
              <w:top w:w="0" w:type="dxa"/>
              <w:left w:w="100" w:type="dxa"/>
              <w:bottom w:w="0" w:type="dxa"/>
              <w:right w:w="100" w:type="dxa"/>
            </w:tcMar>
          </w:tcPr>
          <w:p w14:paraId="0F3AE5CF" w14:textId="77777777" w:rsidR="00855767" w:rsidRPr="00855767" w:rsidRDefault="00855767" w:rsidP="003941E5">
            <w:pPr>
              <w:spacing w:before="240" w:line="360" w:lineRule="auto"/>
              <w:jc w:val="both"/>
            </w:pPr>
            <w:r w:rsidRPr="00855767">
              <w:t>Lacks PDAC-specific clinical data</w:t>
            </w:r>
          </w:p>
        </w:tc>
      </w:tr>
      <w:tr w:rsidR="00855767" w:rsidRPr="00855767" w14:paraId="377B0045" w14:textId="77777777" w:rsidTr="00A1124C">
        <w:trPr>
          <w:trHeight w:val="1365"/>
          <w:jc w:val="center"/>
        </w:trPr>
        <w:tc>
          <w:tcPr>
            <w:tcW w:w="2310" w:type="dxa"/>
            <w:tcMar>
              <w:top w:w="0" w:type="dxa"/>
              <w:left w:w="100" w:type="dxa"/>
              <w:bottom w:w="0" w:type="dxa"/>
              <w:right w:w="100" w:type="dxa"/>
            </w:tcMar>
          </w:tcPr>
          <w:p w14:paraId="45704372" w14:textId="77777777" w:rsidR="00855767" w:rsidRPr="00855767" w:rsidRDefault="00855767" w:rsidP="003941E5">
            <w:pPr>
              <w:spacing w:before="240" w:line="360" w:lineRule="auto"/>
              <w:jc w:val="both"/>
            </w:pPr>
            <w:r w:rsidRPr="00855767">
              <w:t>Combination Strategies</w:t>
            </w:r>
          </w:p>
        </w:tc>
        <w:tc>
          <w:tcPr>
            <w:tcW w:w="2160" w:type="dxa"/>
            <w:tcMar>
              <w:top w:w="0" w:type="dxa"/>
              <w:left w:w="100" w:type="dxa"/>
              <w:bottom w:w="0" w:type="dxa"/>
              <w:right w:w="100" w:type="dxa"/>
            </w:tcMar>
          </w:tcPr>
          <w:p w14:paraId="7ED85396" w14:textId="77777777" w:rsidR="00855767" w:rsidRPr="00855767" w:rsidRDefault="00855767" w:rsidP="003941E5">
            <w:pPr>
              <w:spacing w:before="240" w:line="360" w:lineRule="auto"/>
              <w:jc w:val="both"/>
            </w:pPr>
            <w:r w:rsidRPr="00855767">
              <w:t>2-DG + Metformin, TEPP-46 + FX-11</w:t>
            </w:r>
          </w:p>
        </w:tc>
        <w:tc>
          <w:tcPr>
            <w:tcW w:w="1260" w:type="dxa"/>
            <w:tcMar>
              <w:top w:w="0" w:type="dxa"/>
              <w:left w:w="100" w:type="dxa"/>
              <w:bottom w:w="0" w:type="dxa"/>
              <w:right w:w="100" w:type="dxa"/>
            </w:tcMar>
          </w:tcPr>
          <w:p w14:paraId="4C0BA644" w14:textId="77777777" w:rsidR="00855767" w:rsidRPr="00855767" w:rsidRDefault="00855767" w:rsidP="003941E5">
            <w:pPr>
              <w:spacing w:before="240" w:line="360" w:lineRule="auto"/>
              <w:jc w:val="both"/>
            </w:pPr>
            <w:r w:rsidRPr="00855767">
              <w:rPr>
                <w:i/>
                <w:iCs/>
              </w:rPr>
              <w:t>PFK</w:t>
            </w:r>
            <w:r w:rsidRPr="00855767">
              <w:t xml:space="preserve"> + OXPHOS, Glycolysis + LDH</w:t>
            </w:r>
          </w:p>
        </w:tc>
        <w:tc>
          <w:tcPr>
            <w:tcW w:w="2085" w:type="dxa"/>
            <w:tcMar>
              <w:top w:w="0" w:type="dxa"/>
              <w:left w:w="100" w:type="dxa"/>
              <w:bottom w:w="0" w:type="dxa"/>
              <w:right w:w="100" w:type="dxa"/>
            </w:tcMar>
          </w:tcPr>
          <w:p w14:paraId="75F65372" w14:textId="77777777" w:rsidR="00855767" w:rsidRPr="00855767" w:rsidRDefault="00855767" w:rsidP="003941E5">
            <w:pPr>
              <w:spacing w:before="240" w:line="360" w:lineRule="auto"/>
              <w:jc w:val="both"/>
            </w:pPr>
            <w:r w:rsidRPr="00855767">
              <w:t>Targets multiple pathways to overcome compensatory metabolism</w:t>
            </w:r>
          </w:p>
        </w:tc>
        <w:tc>
          <w:tcPr>
            <w:tcW w:w="2115" w:type="dxa"/>
            <w:tcMar>
              <w:top w:w="0" w:type="dxa"/>
              <w:left w:w="100" w:type="dxa"/>
              <w:bottom w:w="0" w:type="dxa"/>
              <w:right w:w="100" w:type="dxa"/>
            </w:tcMar>
          </w:tcPr>
          <w:p w14:paraId="05EC26F7" w14:textId="77777777" w:rsidR="00855767" w:rsidRPr="00855767" w:rsidRDefault="00855767" w:rsidP="003941E5">
            <w:pPr>
              <w:spacing w:before="240" w:line="360" w:lineRule="auto"/>
              <w:jc w:val="both"/>
            </w:pPr>
            <w:r w:rsidRPr="00855767">
              <w:t>Combination therapies show superior tumour inhibition with minimal toxicity</w:t>
            </w:r>
          </w:p>
        </w:tc>
        <w:tc>
          <w:tcPr>
            <w:tcW w:w="1537" w:type="dxa"/>
            <w:tcMar>
              <w:top w:w="0" w:type="dxa"/>
              <w:left w:w="100" w:type="dxa"/>
              <w:bottom w:w="0" w:type="dxa"/>
              <w:right w:w="100" w:type="dxa"/>
            </w:tcMar>
          </w:tcPr>
          <w:p w14:paraId="4F9F9098" w14:textId="77777777" w:rsidR="00855767" w:rsidRPr="00855767" w:rsidRDefault="00855767" w:rsidP="003941E5">
            <w:pPr>
              <w:spacing w:before="240" w:line="360" w:lineRule="auto"/>
              <w:jc w:val="both"/>
            </w:pPr>
            <w:r w:rsidRPr="00855767">
              <w:t>Needs more validation in clinical settings</w:t>
            </w:r>
          </w:p>
        </w:tc>
      </w:tr>
    </w:tbl>
    <w:p w14:paraId="04C623DF" w14:textId="77777777" w:rsidR="00855767" w:rsidRPr="00855767" w:rsidRDefault="00855767" w:rsidP="003941E5">
      <w:pPr>
        <w:spacing w:before="240" w:after="240" w:line="360" w:lineRule="auto"/>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99"/>
      </w:tblGrid>
      <w:tr w:rsidR="00855767" w:rsidRPr="00855767" w14:paraId="204FAF11" w14:textId="77777777" w:rsidTr="00A1124C">
        <w:tc>
          <w:tcPr>
            <w:tcW w:w="8999" w:type="dxa"/>
          </w:tcPr>
          <w:p w14:paraId="7404AA28" w14:textId="4F939F09" w:rsidR="00F71CC2" w:rsidRDefault="00B26175" w:rsidP="003941E5">
            <w:pPr>
              <w:spacing w:before="240" w:after="240" w:line="360" w:lineRule="auto"/>
              <w:jc w:val="both"/>
            </w:pPr>
            <w:bookmarkStart w:id="69" w:name="_Hlk194339702"/>
            <w:r>
              <w:lastRenderedPageBreak/>
              <w:t xml:space="preserve">Given the limitations of current chemotherapy, attention has shifted toward disrupting PDAC’s metabolic </w:t>
            </w:r>
            <w:r w:rsidR="00282717">
              <w:t>networks. A</w:t>
            </w:r>
            <w:r>
              <w:t xml:space="preserve"> key challenge in </w:t>
            </w:r>
            <w:r w:rsidR="00282717">
              <w:t>targeting these pathways is the tumour’s ability to compensate when a single metabolic route is inhibited. As a result</w:t>
            </w:r>
            <w:r w:rsidR="00855767" w:rsidRPr="00855767">
              <w:t>, dual targeting of glycolysis and OXPHO</w:t>
            </w:r>
            <w:r w:rsidR="00092D8D">
              <w:t>S</w:t>
            </w:r>
            <w:r w:rsidR="00855767" w:rsidRPr="00855767">
              <w:t xml:space="preserve"> has emerged as a </w:t>
            </w:r>
            <w:r w:rsidR="00282717">
              <w:t xml:space="preserve">more effective </w:t>
            </w:r>
            <w:r w:rsidR="00855767" w:rsidRPr="00855767">
              <w:t xml:space="preserve">strategy to overcome </w:t>
            </w:r>
            <w:r w:rsidR="00282717">
              <w:t>this adaptability</w:t>
            </w:r>
            <w:r w:rsidR="00A35C37">
              <w:t xml:space="preserve"> (</w:t>
            </w:r>
            <w:r w:rsidR="00A35C37" w:rsidRPr="00A35C37">
              <w:t>Aisu et al., 2024</w:t>
            </w:r>
            <w:r w:rsidR="00282717">
              <w:t>.</w:t>
            </w:r>
          </w:p>
          <w:p w14:paraId="053AE03A" w14:textId="1DF52BD4" w:rsidR="00855767" w:rsidRDefault="00594E50" w:rsidP="003941E5">
            <w:pPr>
              <w:spacing w:before="240" w:after="240" w:line="360" w:lineRule="auto"/>
              <w:jc w:val="both"/>
            </w:pPr>
            <w:r>
              <w:t>Glycolytic</w:t>
            </w:r>
            <w:r w:rsidR="00282717">
              <w:t xml:space="preserve"> inhibitors have shown promise, though often only when used in combination.</w:t>
            </w:r>
            <w:r w:rsidR="00855767" w:rsidRPr="00855767">
              <w:t xml:space="preserve">, For instance, </w:t>
            </w:r>
            <w:r w:rsidR="00F41279" w:rsidRPr="00F41279">
              <w:t>2-deoxy-D-glucose (2-DG)</w:t>
            </w:r>
            <w:r w:rsidR="00F41279">
              <w:t xml:space="preserve"> </w:t>
            </w:r>
            <w:r w:rsidR="00855767" w:rsidRPr="00855767">
              <w:t xml:space="preserve">showed limited efficacy alone but </w:t>
            </w:r>
            <w:r w:rsidR="00F41279">
              <w:t xml:space="preserve">becomes potent </w:t>
            </w:r>
            <w:r w:rsidR="00855767" w:rsidRPr="00855767">
              <w:t xml:space="preserve">when paired with Ras inhibitor </w:t>
            </w:r>
            <w:r w:rsidR="00F41279">
              <w:t xml:space="preserve">such as </w:t>
            </w:r>
            <w:proofErr w:type="spellStart"/>
            <w:r w:rsidR="00855767" w:rsidRPr="00855767">
              <w:t>salirasib</w:t>
            </w:r>
            <w:proofErr w:type="spellEnd"/>
            <w:r w:rsidR="00855767" w:rsidRPr="00855767">
              <w:t xml:space="preserve">, leading to substantial tumour regression in xenograft models (Goldberg et al., 2012; Xiao et al., 2013). </w:t>
            </w:r>
            <w:r w:rsidR="00F41279">
              <w:t xml:space="preserve">Similarly, </w:t>
            </w:r>
            <w:r w:rsidR="00BD4048" w:rsidRPr="00BD4048">
              <w:t>3-bromopyruvate (3-BrPA)</w:t>
            </w:r>
            <w:r w:rsidR="00BD4048">
              <w:t xml:space="preserve"> enhanced tumour suppression when delivered in </w:t>
            </w:r>
            <w:r w:rsidR="002122EF" w:rsidRPr="002122EF">
              <w:t>its microencapsulated form (β-CD–3-BrPA)</w:t>
            </w:r>
            <w:r w:rsidR="00C17E1F" w:rsidRPr="00C17E1F">
              <w:t xml:space="preserve"> (Chapiro et al., 2014)</w:t>
            </w:r>
            <w:r w:rsidR="00855767" w:rsidRPr="00855767">
              <w:t>. Despite these promising results, the study's limitations include the absence of pharmacokinetic profiling and reliance on a single orthotopic mouse model.</w:t>
            </w:r>
          </w:p>
          <w:p w14:paraId="514D810C" w14:textId="382A2035" w:rsidR="00855767" w:rsidRDefault="002B718C" w:rsidP="003941E5">
            <w:pPr>
              <w:spacing w:before="240" w:after="240" w:line="360" w:lineRule="auto"/>
              <w:jc w:val="both"/>
            </w:pPr>
            <w:r w:rsidRPr="00855767">
              <w:t xml:space="preserve">Targeting </w:t>
            </w:r>
            <w:r w:rsidR="008E20B2" w:rsidRPr="008E20B2">
              <w:t>pyruvate kinase M2</w:t>
            </w:r>
            <w:r w:rsidR="008E20B2">
              <w:t xml:space="preserve"> (</w:t>
            </w:r>
            <w:r w:rsidRPr="00855767">
              <w:rPr>
                <w:i/>
                <w:iCs/>
              </w:rPr>
              <w:t>PKM2</w:t>
            </w:r>
            <w:r w:rsidR="008E20B2">
              <w:rPr>
                <w:i/>
                <w:iCs/>
              </w:rPr>
              <w:t>)</w:t>
            </w:r>
            <w:r w:rsidRPr="00855767">
              <w:rPr>
                <w:i/>
                <w:iCs/>
              </w:rPr>
              <w:t xml:space="preserve"> </w:t>
            </w:r>
            <w:r w:rsidR="008E20B2" w:rsidRPr="008E20B2">
              <w:t>with</w:t>
            </w:r>
            <w:r w:rsidR="008E20B2">
              <w:rPr>
                <w:i/>
                <w:iCs/>
              </w:rPr>
              <w:t xml:space="preserve"> </w:t>
            </w:r>
            <w:r w:rsidRPr="00855767">
              <w:t>TEPP-46</w:t>
            </w:r>
            <w:r w:rsidR="008E20B2">
              <w:t xml:space="preserve"> alone has been largely </w:t>
            </w:r>
            <w:r w:rsidRPr="00855767">
              <w:t>ineffective. Specifically, it failed to induce ATP depletion or tumour growth inhibition even in low (5 mM) and high (25 mM) glucose conditions over a 96-hour treatment period (Tee et al., 2017)</w:t>
            </w:r>
            <w:r w:rsidR="00A7763A">
              <w:t xml:space="preserve">. However, when combined </w:t>
            </w:r>
            <w:r w:rsidR="00855767" w:rsidRPr="00855767">
              <w:t xml:space="preserve">with 2-DG or </w:t>
            </w:r>
            <w:r w:rsidR="00A7763A">
              <w:t>the</w:t>
            </w:r>
            <w:r w:rsidR="00A7763A" w:rsidRPr="00A7763A">
              <w:t xml:space="preserve"> LDHA</w:t>
            </w:r>
            <w:r w:rsidR="00A7763A">
              <w:t xml:space="preserve"> inhibitor </w:t>
            </w:r>
            <w:r w:rsidR="00855767" w:rsidRPr="00855767">
              <w:t>FX-11</w:t>
            </w:r>
            <w:r w:rsidR="00780FB8">
              <w:t>, the combination yielded a synergistic effect, significantly decreasing tumour growth without</w:t>
            </w:r>
            <w:r w:rsidR="00855767" w:rsidRPr="00855767">
              <w:t xml:space="preserve"> </w:t>
            </w:r>
            <w:r w:rsidR="00780FB8">
              <w:t>inducing toxicity</w:t>
            </w:r>
            <w:r w:rsidR="00A9007F">
              <w:t xml:space="preserve"> </w:t>
            </w:r>
            <w:r w:rsidR="00A9007F" w:rsidRPr="00A9007F">
              <w:t>(Tee et al., 2017; Moir et al., 2020)</w:t>
            </w:r>
            <w:r w:rsidR="00780FB8">
              <w:t xml:space="preserve">. </w:t>
            </w:r>
            <w:r w:rsidR="00855767" w:rsidRPr="00855767">
              <w:t xml:space="preserve">These findings </w:t>
            </w:r>
            <w:r w:rsidR="00780FB8">
              <w:t xml:space="preserve">emphasise that monotherapies </w:t>
            </w:r>
            <w:r w:rsidR="00A9007F">
              <w:t>targeting glycolysis are unlikely to suc</w:t>
            </w:r>
            <w:r w:rsidR="000244A4">
              <w:t>c</w:t>
            </w:r>
            <w:r w:rsidR="00A9007F">
              <w:t>e</w:t>
            </w:r>
            <w:r w:rsidR="000244A4">
              <w:t>ed</w:t>
            </w:r>
            <w:r w:rsidR="00A9007F">
              <w:t xml:space="preserve"> in isolation.</w:t>
            </w:r>
          </w:p>
          <w:p w14:paraId="611B33BC" w14:textId="2F52394F" w:rsidR="00A9007F" w:rsidRDefault="00A9007F" w:rsidP="003941E5">
            <w:pPr>
              <w:spacing w:before="240" w:after="240" w:line="360" w:lineRule="auto"/>
              <w:jc w:val="both"/>
            </w:pPr>
            <w:r>
              <w:t>Moreover, these dual approaches are supported by mechanis</w:t>
            </w:r>
            <w:r w:rsidR="009F77ED">
              <w:t xml:space="preserve">tic </w:t>
            </w:r>
            <w:r w:rsidR="00635213">
              <w:t>insights</w:t>
            </w:r>
            <w:r w:rsidR="009F77ED">
              <w:t>, TEPP-46 increasing</w:t>
            </w:r>
            <w:r w:rsidR="009F77ED" w:rsidRPr="009F77ED">
              <w:rPr>
                <w:i/>
                <w:iCs/>
              </w:rPr>
              <w:t xml:space="preserve"> PKM2</w:t>
            </w:r>
            <w:r w:rsidR="009F77ED">
              <w:t xml:space="preserve"> activity, while FX-11 downregulates</w:t>
            </w:r>
            <w:r w:rsidR="009F77ED" w:rsidRPr="009F77ED">
              <w:rPr>
                <w:i/>
                <w:iCs/>
              </w:rPr>
              <w:t xml:space="preserve"> LDHA</w:t>
            </w:r>
            <w:r w:rsidR="0019543B">
              <w:rPr>
                <w:i/>
                <w:iCs/>
              </w:rPr>
              <w:t xml:space="preserve">, </w:t>
            </w:r>
            <w:r w:rsidR="0019543B" w:rsidRPr="0041593E">
              <w:t>simultaneously disrupting glycolytic flux and lactate production</w:t>
            </w:r>
            <w:r w:rsidR="00A35C37" w:rsidRPr="00A35C37">
              <w:t xml:space="preserve"> </w:t>
            </w:r>
            <w:r w:rsidR="00A35C37">
              <w:t>(</w:t>
            </w:r>
            <w:r w:rsidR="00A35C37" w:rsidRPr="00A35C37">
              <w:t>Moir et al., 2020)</w:t>
            </w:r>
            <w:r w:rsidR="0019543B" w:rsidRPr="0041593E">
              <w:t xml:space="preserve">. Such combinations not only induce ATP depletion but also elevate oxidative stress </w:t>
            </w:r>
            <w:r w:rsidR="0041593E" w:rsidRPr="0041593E">
              <w:t>pushing cancer cells beyond their compensatory capacity.</w:t>
            </w:r>
          </w:p>
          <w:p w14:paraId="0E00E7F7" w14:textId="5AF4A09C" w:rsidR="0041593E" w:rsidRPr="00855767" w:rsidRDefault="0041593E" w:rsidP="003941E5">
            <w:pPr>
              <w:spacing w:before="240" w:after="240" w:line="360" w:lineRule="auto"/>
              <w:jc w:val="both"/>
            </w:pPr>
            <w:r>
              <w:t xml:space="preserve">Collectively, these findings reinforce the rationale for targeting glycolysis and OXPHOS rather than sequentially or in isolation. As in Table 4, combination strategies </w:t>
            </w:r>
            <w:r w:rsidR="00635213">
              <w:t>consistently outperform single agents, overcoming PDAC’s metabolic compensation and resistance to monotherapy.</w:t>
            </w:r>
          </w:p>
          <w:bookmarkEnd w:id="69"/>
          <w:p w14:paraId="6B893185" w14:textId="77777777" w:rsidR="00855767" w:rsidRPr="00855767" w:rsidRDefault="00855767" w:rsidP="003941E5">
            <w:pPr>
              <w:spacing w:before="240" w:after="240" w:line="360" w:lineRule="auto"/>
              <w:jc w:val="both"/>
              <w:rPr>
                <w:b/>
              </w:rPr>
            </w:pPr>
          </w:p>
          <w:p w14:paraId="093DBB86" w14:textId="77777777" w:rsidR="00855767" w:rsidRPr="00855767" w:rsidRDefault="00855767" w:rsidP="003941E5">
            <w:pPr>
              <w:spacing w:before="240" w:after="240" w:line="360" w:lineRule="auto"/>
              <w:jc w:val="both"/>
            </w:pPr>
            <w:r w:rsidRPr="00855767">
              <w:rPr>
                <w:b/>
              </w:rPr>
              <w:t>Table 5.</w:t>
            </w:r>
            <w:r w:rsidRPr="00855767">
              <w:t xml:space="preserve"> Overview of key metabolic inhibitors targeting PDAC. The table lists key metabolic regulators and their cellular sources, as well as the pharmacological inhibitors used in </w:t>
            </w:r>
            <w:r w:rsidRPr="00855767">
              <w:lastRenderedPageBreak/>
              <w:t>PDAC models to target these pathways. Glycolytic inhibitors include 2-deoxy-D-glucose (2-DG), 3-bromopyruvate (3-BrPA), FX-11, and TEPP-46, while mitochondrial metabolism is targeted by metformin, phenformin, IACS-010759 (Complex I), atovaquone (Complex III), arsenic trioxide (Complex IV), and oligomycin (ATP synthase). These inhibitors aim to disrupt the metabolic crosstalk between stromal and tumour cells, thereby reducing therapeutic resistance.</w:t>
            </w:r>
          </w:p>
        </w:tc>
      </w:tr>
      <w:tr w:rsidR="00855767" w:rsidRPr="00855767" w14:paraId="7706B548" w14:textId="77777777" w:rsidTr="00A1124C">
        <w:tc>
          <w:tcPr>
            <w:tcW w:w="8999" w:type="dxa"/>
          </w:tcPr>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327"/>
              <w:gridCol w:w="1420"/>
              <w:gridCol w:w="1297"/>
              <w:gridCol w:w="1525"/>
              <w:gridCol w:w="1586"/>
              <w:gridCol w:w="1598"/>
            </w:tblGrid>
            <w:tr w:rsidR="00855767" w:rsidRPr="00855767" w14:paraId="6B62A39A" w14:textId="77777777" w:rsidTr="00A1124C">
              <w:tc>
                <w:tcPr>
                  <w:tcW w:w="1440" w:type="dxa"/>
                </w:tcPr>
                <w:p w14:paraId="2BFBD92C" w14:textId="77777777" w:rsidR="00855767" w:rsidRPr="00855767" w:rsidRDefault="00855767" w:rsidP="003941E5">
                  <w:pPr>
                    <w:spacing w:line="360" w:lineRule="auto"/>
                    <w:jc w:val="both"/>
                  </w:pPr>
                  <w:r w:rsidRPr="00855767">
                    <w:lastRenderedPageBreak/>
                    <w:t>Category</w:t>
                  </w:r>
                </w:p>
              </w:tc>
              <w:tc>
                <w:tcPr>
                  <w:tcW w:w="1440" w:type="dxa"/>
                </w:tcPr>
                <w:p w14:paraId="77C73716" w14:textId="77777777" w:rsidR="00855767" w:rsidRPr="00855767" w:rsidRDefault="00855767" w:rsidP="003941E5">
                  <w:pPr>
                    <w:spacing w:line="360" w:lineRule="auto"/>
                    <w:jc w:val="both"/>
                  </w:pPr>
                  <w:r w:rsidRPr="00855767">
                    <w:t>Inhibitor</w:t>
                  </w:r>
                </w:p>
              </w:tc>
              <w:tc>
                <w:tcPr>
                  <w:tcW w:w="1440" w:type="dxa"/>
                </w:tcPr>
                <w:p w14:paraId="3099397C" w14:textId="77777777" w:rsidR="00855767" w:rsidRPr="00855767" w:rsidRDefault="00855767" w:rsidP="003941E5">
                  <w:pPr>
                    <w:spacing w:line="360" w:lineRule="auto"/>
                    <w:jc w:val="both"/>
                  </w:pPr>
                  <w:r w:rsidRPr="00855767">
                    <w:t>Target</w:t>
                  </w:r>
                </w:p>
              </w:tc>
              <w:tc>
                <w:tcPr>
                  <w:tcW w:w="1440" w:type="dxa"/>
                </w:tcPr>
                <w:p w14:paraId="013F1282" w14:textId="77777777" w:rsidR="00855767" w:rsidRPr="00855767" w:rsidRDefault="00855767" w:rsidP="003941E5">
                  <w:pPr>
                    <w:spacing w:line="360" w:lineRule="auto"/>
                    <w:jc w:val="both"/>
                  </w:pPr>
                  <w:r w:rsidRPr="00855767">
                    <w:t>Mechanism of Action</w:t>
                  </w:r>
                </w:p>
              </w:tc>
              <w:tc>
                <w:tcPr>
                  <w:tcW w:w="1440" w:type="dxa"/>
                </w:tcPr>
                <w:p w14:paraId="6BB5AB23" w14:textId="77777777" w:rsidR="00855767" w:rsidRPr="00855767" w:rsidRDefault="00855767" w:rsidP="003941E5">
                  <w:pPr>
                    <w:spacing w:line="360" w:lineRule="auto"/>
                    <w:jc w:val="both"/>
                  </w:pPr>
                  <w:r w:rsidRPr="00855767">
                    <w:t>Key Findings</w:t>
                  </w:r>
                </w:p>
              </w:tc>
              <w:tc>
                <w:tcPr>
                  <w:tcW w:w="1440" w:type="dxa"/>
                </w:tcPr>
                <w:p w14:paraId="33735A79" w14:textId="77777777" w:rsidR="00855767" w:rsidRPr="00855767" w:rsidRDefault="00855767" w:rsidP="003941E5">
                  <w:pPr>
                    <w:spacing w:line="360" w:lineRule="auto"/>
                    <w:jc w:val="both"/>
                  </w:pPr>
                  <w:r w:rsidRPr="00855767">
                    <w:t>Limitations</w:t>
                  </w:r>
                </w:p>
              </w:tc>
            </w:tr>
            <w:tr w:rsidR="00855767" w:rsidRPr="00855767" w14:paraId="5F230B69" w14:textId="77777777" w:rsidTr="00A1124C">
              <w:tc>
                <w:tcPr>
                  <w:tcW w:w="1440" w:type="dxa"/>
                </w:tcPr>
                <w:p w14:paraId="422B4E5F" w14:textId="77777777" w:rsidR="00855767" w:rsidRPr="00855767" w:rsidRDefault="00855767" w:rsidP="003941E5">
                  <w:pPr>
                    <w:spacing w:line="360" w:lineRule="auto"/>
                    <w:jc w:val="both"/>
                  </w:pPr>
                  <w:r w:rsidRPr="00855767">
                    <w:t>OXPHOS Inhibitors</w:t>
                  </w:r>
                </w:p>
              </w:tc>
              <w:tc>
                <w:tcPr>
                  <w:tcW w:w="1440" w:type="dxa"/>
                </w:tcPr>
                <w:p w14:paraId="126A5D12" w14:textId="77777777" w:rsidR="00855767" w:rsidRPr="00855767" w:rsidRDefault="00855767" w:rsidP="003941E5">
                  <w:pPr>
                    <w:spacing w:line="360" w:lineRule="auto"/>
                    <w:jc w:val="both"/>
                  </w:pPr>
                  <w:r w:rsidRPr="00855767">
                    <w:t>Metformin</w:t>
                  </w:r>
                </w:p>
              </w:tc>
              <w:tc>
                <w:tcPr>
                  <w:tcW w:w="1440" w:type="dxa"/>
                </w:tcPr>
                <w:p w14:paraId="158124C1" w14:textId="77777777" w:rsidR="00855767" w:rsidRPr="00855767" w:rsidRDefault="00855767" w:rsidP="003941E5">
                  <w:pPr>
                    <w:spacing w:line="360" w:lineRule="auto"/>
                    <w:jc w:val="both"/>
                  </w:pPr>
                  <w:r w:rsidRPr="00855767">
                    <w:t>Complex I</w:t>
                  </w:r>
                </w:p>
              </w:tc>
              <w:tc>
                <w:tcPr>
                  <w:tcW w:w="1440" w:type="dxa"/>
                </w:tcPr>
                <w:p w14:paraId="166BAFD8" w14:textId="77777777" w:rsidR="00855767" w:rsidRPr="00855767" w:rsidRDefault="00855767" w:rsidP="003941E5">
                  <w:pPr>
                    <w:spacing w:line="360" w:lineRule="auto"/>
                    <w:jc w:val="both"/>
                  </w:pPr>
                  <w:r w:rsidRPr="00855767">
                    <w:t>Inhibits ETC Complex I; reprograms CAF metabolism</w:t>
                  </w:r>
                </w:p>
              </w:tc>
              <w:tc>
                <w:tcPr>
                  <w:tcW w:w="1440" w:type="dxa"/>
                </w:tcPr>
                <w:p w14:paraId="3C45BFFF" w14:textId="77777777" w:rsidR="00855767" w:rsidRPr="00855767" w:rsidRDefault="00855767" w:rsidP="003941E5">
                  <w:pPr>
                    <w:spacing w:line="360" w:lineRule="auto"/>
                    <w:jc w:val="both"/>
                  </w:pPr>
                  <w:r w:rsidRPr="00855767">
                    <w:t>Reprograms CAFs, reduces lactate shuttling and suppresses pro-tumorigenic phenotype (Benjamin and Hall, 2022)</w:t>
                  </w:r>
                </w:p>
              </w:tc>
              <w:tc>
                <w:tcPr>
                  <w:tcW w:w="1440" w:type="dxa"/>
                </w:tcPr>
                <w:p w14:paraId="5AE35AE6" w14:textId="77777777" w:rsidR="00855767" w:rsidRPr="00855767" w:rsidRDefault="00855767" w:rsidP="003941E5">
                  <w:pPr>
                    <w:spacing w:line="360" w:lineRule="auto"/>
                    <w:jc w:val="both"/>
                  </w:pPr>
                  <w:r w:rsidRPr="00855767">
                    <w:t>Limited efficacy as monotherapy due to compensatory glycolysis</w:t>
                  </w:r>
                </w:p>
              </w:tc>
            </w:tr>
            <w:tr w:rsidR="00855767" w:rsidRPr="00855767" w14:paraId="267BA08F" w14:textId="77777777" w:rsidTr="00A1124C">
              <w:tc>
                <w:tcPr>
                  <w:tcW w:w="1440" w:type="dxa"/>
                </w:tcPr>
                <w:p w14:paraId="5E799D86" w14:textId="77777777" w:rsidR="00855767" w:rsidRPr="00855767" w:rsidRDefault="00855767" w:rsidP="003941E5">
                  <w:pPr>
                    <w:spacing w:line="360" w:lineRule="auto"/>
                    <w:jc w:val="both"/>
                  </w:pPr>
                  <w:r w:rsidRPr="00855767">
                    <w:t>OXPHOS Inhibitors</w:t>
                  </w:r>
                </w:p>
              </w:tc>
              <w:tc>
                <w:tcPr>
                  <w:tcW w:w="1440" w:type="dxa"/>
                </w:tcPr>
                <w:p w14:paraId="7A9D0A79" w14:textId="77777777" w:rsidR="00855767" w:rsidRPr="00855767" w:rsidRDefault="00855767" w:rsidP="003941E5">
                  <w:pPr>
                    <w:spacing w:line="360" w:lineRule="auto"/>
                    <w:jc w:val="both"/>
                  </w:pPr>
                  <w:r w:rsidRPr="00855767">
                    <w:t>Phenformin</w:t>
                  </w:r>
                </w:p>
              </w:tc>
              <w:tc>
                <w:tcPr>
                  <w:tcW w:w="1440" w:type="dxa"/>
                </w:tcPr>
                <w:p w14:paraId="75A7BA44" w14:textId="77777777" w:rsidR="00855767" w:rsidRPr="00855767" w:rsidRDefault="00855767" w:rsidP="003941E5">
                  <w:pPr>
                    <w:spacing w:line="360" w:lineRule="auto"/>
                    <w:jc w:val="both"/>
                  </w:pPr>
                  <w:r w:rsidRPr="00855767">
                    <w:t>Complex I</w:t>
                  </w:r>
                </w:p>
              </w:tc>
              <w:tc>
                <w:tcPr>
                  <w:tcW w:w="1440" w:type="dxa"/>
                </w:tcPr>
                <w:p w14:paraId="3EA1BBB6" w14:textId="77777777" w:rsidR="00855767" w:rsidRPr="00855767" w:rsidRDefault="00855767" w:rsidP="003941E5">
                  <w:pPr>
                    <w:spacing w:line="360" w:lineRule="auto"/>
                    <w:jc w:val="both"/>
                  </w:pPr>
                  <w:r w:rsidRPr="00855767">
                    <w:t>Inhibits mitochondrial ATP production</w:t>
                  </w:r>
                </w:p>
              </w:tc>
              <w:tc>
                <w:tcPr>
                  <w:tcW w:w="1440" w:type="dxa"/>
                </w:tcPr>
                <w:p w14:paraId="5DAB1C71" w14:textId="77777777" w:rsidR="00855767" w:rsidRPr="00855767" w:rsidRDefault="00855767" w:rsidP="003941E5">
                  <w:pPr>
                    <w:spacing w:line="360" w:lineRule="auto"/>
                    <w:jc w:val="both"/>
                  </w:pPr>
                  <w:r w:rsidRPr="00855767">
                    <w:t>Shows synergy with gemcitabine in high-OXPHOS PDAC cells (Masoud et al., 2020)</w:t>
                  </w:r>
                </w:p>
              </w:tc>
              <w:tc>
                <w:tcPr>
                  <w:tcW w:w="1440" w:type="dxa"/>
                </w:tcPr>
                <w:p w14:paraId="086F0767" w14:textId="77777777" w:rsidR="00855767" w:rsidRPr="00855767" w:rsidRDefault="00855767" w:rsidP="003941E5">
                  <w:pPr>
                    <w:spacing w:line="360" w:lineRule="auto"/>
                    <w:jc w:val="both"/>
                  </w:pPr>
                  <w:r w:rsidRPr="00855767">
                    <w:t>Risk of lactic acidosis; limited to high-OXPHOS PDAC</w:t>
                  </w:r>
                </w:p>
              </w:tc>
            </w:tr>
            <w:tr w:rsidR="00855767" w:rsidRPr="00855767" w14:paraId="7E868B07" w14:textId="77777777" w:rsidTr="00A1124C">
              <w:tc>
                <w:tcPr>
                  <w:tcW w:w="1440" w:type="dxa"/>
                </w:tcPr>
                <w:p w14:paraId="6FCB52E1" w14:textId="77777777" w:rsidR="00855767" w:rsidRPr="00855767" w:rsidRDefault="00855767" w:rsidP="003941E5">
                  <w:pPr>
                    <w:spacing w:line="360" w:lineRule="auto"/>
                    <w:jc w:val="both"/>
                  </w:pPr>
                  <w:r w:rsidRPr="00855767">
                    <w:t>OXPHOS Inhibitors</w:t>
                  </w:r>
                </w:p>
              </w:tc>
              <w:tc>
                <w:tcPr>
                  <w:tcW w:w="1440" w:type="dxa"/>
                </w:tcPr>
                <w:p w14:paraId="66378622" w14:textId="77777777" w:rsidR="00855767" w:rsidRPr="00855767" w:rsidRDefault="00855767" w:rsidP="003941E5">
                  <w:pPr>
                    <w:spacing w:line="360" w:lineRule="auto"/>
                    <w:jc w:val="both"/>
                  </w:pPr>
                  <w:r w:rsidRPr="00855767">
                    <w:t>IACS-010759</w:t>
                  </w:r>
                </w:p>
              </w:tc>
              <w:tc>
                <w:tcPr>
                  <w:tcW w:w="1440" w:type="dxa"/>
                </w:tcPr>
                <w:p w14:paraId="7B21C50D" w14:textId="77777777" w:rsidR="00855767" w:rsidRPr="00855767" w:rsidRDefault="00855767" w:rsidP="003941E5">
                  <w:pPr>
                    <w:spacing w:line="360" w:lineRule="auto"/>
                    <w:jc w:val="both"/>
                  </w:pPr>
                  <w:r w:rsidRPr="00855767">
                    <w:t>Complex I</w:t>
                  </w:r>
                </w:p>
              </w:tc>
              <w:tc>
                <w:tcPr>
                  <w:tcW w:w="1440" w:type="dxa"/>
                </w:tcPr>
                <w:p w14:paraId="599189D8" w14:textId="77777777" w:rsidR="00855767" w:rsidRPr="00855767" w:rsidRDefault="00855767" w:rsidP="003941E5">
                  <w:pPr>
                    <w:spacing w:line="360" w:lineRule="auto"/>
                    <w:jc w:val="both"/>
                  </w:pPr>
                  <w:r w:rsidRPr="00855767">
                    <w:t>Inhibits mitochondrial respiration and ATP synthesis</w:t>
                  </w:r>
                </w:p>
              </w:tc>
              <w:tc>
                <w:tcPr>
                  <w:tcW w:w="1440" w:type="dxa"/>
                </w:tcPr>
                <w:p w14:paraId="3F6202B4" w14:textId="77777777" w:rsidR="00855767" w:rsidRPr="00855767" w:rsidRDefault="00855767" w:rsidP="003941E5">
                  <w:pPr>
                    <w:spacing w:line="360" w:lineRule="auto"/>
                    <w:jc w:val="both"/>
                  </w:pPr>
                  <w:r w:rsidRPr="00855767">
                    <w:t>Reduces ATP and tumour volume by 40% (Tsuji et al., 2020)</w:t>
                  </w:r>
                </w:p>
              </w:tc>
              <w:tc>
                <w:tcPr>
                  <w:tcW w:w="1440" w:type="dxa"/>
                </w:tcPr>
                <w:p w14:paraId="2E0E8810" w14:textId="77777777" w:rsidR="00855767" w:rsidRPr="00855767" w:rsidRDefault="00855767" w:rsidP="003941E5">
                  <w:pPr>
                    <w:spacing w:line="360" w:lineRule="auto"/>
                    <w:jc w:val="both"/>
                  </w:pPr>
                  <w:r w:rsidRPr="00855767">
                    <w:t>Neurotoxicity: ineffective due to metabolic compensation</w:t>
                  </w:r>
                </w:p>
              </w:tc>
            </w:tr>
            <w:tr w:rsidR="00855767" w:rsidRPr="00855767" w14:paraId="59D46E7A" w14:textId="77777777" w:rsidTr="00A1124C">
              <w:tc>
                <w:tcPr>
                  <w:tcW w:w="1440" w:type="dxa"/>
                </w:tcPr>
                <w:p w14:paraId="0A9074BF" w14:textId="77777777" w:rsidR="00855767" w:rsidRPr="00855767" w:rsidRDefault="00855767" w:rsidP="003941E5">
                  <w:pPr>
                    <w:spacing w:line="360" w:lineRule="auto"/>
                    <w:jc w:val="both"/>
                  </w:pPr>
                  <w:r w:rsidRPr="00855767">
                    <w:lastRenderedPageBreak/>
                    <w:t>OXPHOS Inhibitors</w:t>
                  </w:r>
                </w:p>
              </w:tc>
              <w:tc>
                <w:tcPr>
                  <w:tcW w:w="1440" w:type="dxa"/>
                </w:tcPr>
                <w:p w14:paraId="62DB77C3" w14:textId="77777777" w:rsidR="00855767" w:rsidRPr="00855767" w:rsidRDefault="00855767" w:rsidP="003941E5">
                  <w:pPr>
                    <w:spacing w:line="360" w:lineRule="auto"/>
                    <w:jc w:val="both"/>
                  </w:pPr>
                  <w:r w:rsidRPr="00855767">
                    <w:t>Atovaquone</w:t>
                  </w:r>
                </w:p>
              </w:tc>
              <w:tc>
                <w:tcPr>
                  <w:tcW w:w="1440" w:type="dxa"/>
                </w:tcPr>
                <w:p w14:paraId="188E4C68" w14:textId="77777777" w:rsidR="00855767" w:rsidRPr="00855767" w:rsidRDefault="00855767" w:rsidP="003941E5">
                  <w:pPr>
                    <w:spacing w:line="360" w:lineRule="auto"/>
                    <w:jc w:val="both"/>
                  </w:pPr>
                  <w:r w:rsidRPr="00855767">
                    <w:t>Complex III</w:t>
                  </w:r>
                </w:p>
              </w:tc>
              <w:tc>
                <w:tcPr>
                  <w:tcW w:w="1440" w:type="dxa"/>
                </w:tcPr>
                <w:p w14:paraId="26160015" w14:textId="77777777" w:rsidR="00855767" w:rsidRPr="00855767" w:rsidRDefault="00855767" w:rsidP="003941E5">
                  <w:pPr>
                    <w:spacing w:line="360" w:lineRule="auto"/>
                    <w:jc w:val="both"/>
                  </w:pPr>
                  <w:r w:rsidRPr="00855767">
                    <w:t>Disrupts mitochondrial respiration increases ROS</w:t>
                  </w:r>
                </w:p>
              </w:tc>
              <w:tc>
                <w:tcPr>
                  <w:tcW w:w="1440" w:type="dxa"/>
                </w:tcPr>
                <w:p w14:paraId="350DF85A" w14:textId="77777777" w:rsidR="00855767" w:rsidRPr="00855767" w:rsidRDefault="00855767" w:rsidP="003941E5">
                  <w:pPr>
                    <w:spacing w:line="360" w:lineRule="auto"/>
                    <w:jc w:val="both"/>
                  </w:pPr>
                  <w:r w:rsidRPr="00855767">
                    <w:t>Inhibits CSCs at ~1 µM and reduces oxygen consumption (Fiorillo et al., 2016)</w:t>
                  </w:r>
                </w:p>
              </w:tc>
              <w:tc>
                <w:tcPr>
                  <w:tcW w:w="1440" w:type="dxa"/>
                </w:tcPr>
                <w:p w14:paraId="73FD5C8C" w14:textId="77777777" w:rsidR="00855767" w:rsidRPr="00855767" w:rsidRDefault="00855767" w:rsidP="003941E5">
                  <w:pPr>
                    <w:spacing w:line="360" w:lineRule="auto"/>
                    <w:jc w:val="both"/>
                  </w:pPr>
                  <w:r w:rsidRPr="00855767">
                    <w:t>Limited effect on bulk tumour cells</w:t>
                  </w:r>
                </w:p>
              </w:tc>
            </w:tr>
            <w:tr w:rsidR="00855767" w:rsidRPr="00855767" w14:paraId="5966D149" w14:textId="77777777" w:rsidTr="00A1124C">
              <w:tc>
                <w:tcPr>
                  <w:tcW w:w="1440" w:type="dxa"/>
                </w:tcPr>
                <w:p w14:paraId="459F35D5" w14:textId="77777777" w:rsidR="00855767" w:rsidRPr="00855767" w:rsidRDefault="00855767" w:rsidP="003941E5">
                  <w:pPr>
                    <w:spacing w:line="360" w:lineRule="auto"/>
                    <w:jc w:val="both"/>
                  </w:pPr>
                  <w:r w:rsidRPr="00855767">
                    <w:t>OXPHOS Inhibitors</w:t>
                  </w:r>
                </w:p>
              </w:tc>
              <w:tc>
                <w:tcPr>
                  <w:tcW w:w="1440" w:type="dxa"/>
                </w:tcPr>
                <w:p w14:paraId="07E0FB5B" w14:textId="77777777" w:rsidR="00855767" w:rsidRPr="00855767" w:rsidRDefault="00855767" w:rsidP="003941E5">
                  <w:pPr>
                    <w:spacing w:line="360" w:lineRule="auto"/>
                    <w:jc w:val="both"/>
                  </w:pPr>
                  <w:r w:rsidRPr="00855767">
                    <w:t>Arsenic Trioxide (ATO)</w:t>
                  </w:r>
                </w:p>
              </w:tc>
              <w:tc>
                <w:tcPr>
                  <w:tcW w:w="1440" w:type="dxa"/>
                </w:tcPr>
                <w:p w14:paraId="5D1796C4" w14:textId="77777777" w:rsidR="00855767" w:rsidRPr="00855767" w:rsidRDefault="00855767" w:rsidP="003941E5">
                  <w:pPr>
                    <w:spacing w:line="360" w:lineRule="auto"/>
                    <w:jc w:val="both"/>
                  </w:pPr>
                  <w:r w:rsidRPr="00855767">
                    <w:t>Complex IV</w:t>
                  </w:r>
                </w:p>
              </w:tc>
              <w:tc>
                <w:tcPr>
                  <w:tcW w:w="1440" w:type="dxa"/>
                </w:tcPr>
                <w:p w14:paraId="6CFFCCB2" w14:textId="77777777" w:rsidR="00855767" w:rsidRPr="00855767" w:rsidRDefault="00855767" w:rsidP="003941E5">
                  <w:pPr>
                    <w:spacing w:line="360" w:lineRule="auto"/>
                    <w:jc w:val="both"/>
                  </w:pPr>
                  <w:r w:rsidRPr="00855767">
                    <w:t>Inhibits mitochondrial respiration; sensitises cells to gemcitabine</w:t>
                  </w:r>
                </w:p>
              </w:tc>
              <w:tc>
                <w:tcPr>
                  <w:tcW w:w="1440" w:type="dxa"/>
                </w:tcPr>
                <w:p w14:paraId="2C5CAD4B" w14:textId="77777777" w:rsidR="00855767" w:rsidRPr="00855767" w:rsidRDefault="00855767" w:rsidP="003941E5">
                  <w:pPr>
                    <w:spacing w:line="360" w:lineRule="auto"/>
                    <w:jc w:val="both"/>
                  </w:pPr>
                  <w:r w:rsidRPr="00855767">
                    <w:t>Combined with gemcitabine, it reduces tumour volume by 65-70% (Tian et al., 2023)</w:t>
                  </w:r>
                </w:p>
              </w:tc>
              <w:tc>
                <w:tcPr>
                  <w:tcW w:w="1440" w:type="dxa"/>
                </w:tcPr>
                <w:p w14:paraId="7A70EDFC" w14:textId="77777777" w:rsidR="00855767" w:rsidRPr="00855767" w:rsidRDefault="00855767" w:rsidP="003941E5">
                  <w:pPr>
                    <w:spacing w:line="360" w:lineRule="auto"/>
                    <w:jc w:val="both"/>
                  </w:pPr>
                  <w:r w:rsidRPr="00855767">
                    <w:t>Off-target effects require clinical validation</w:t>
                  </w:r>
                </w:p>
              </w:tc>
            </w:tr>
            <w:tr w:rsidR="00855767" w:rsidRPr="00855767" w14:paraId="274AB03B" w14:textId="77777777" w:rsidTr="00A1124C">
              <w:tc>
                <w:tcPr>
                  <w:tcW w:w="1440" w:type="dxa"/>
                </w:tcPr>
                <w:p w14:paraId="5877B75B" w14:textId="77777777" w:rsidR="00855767" w:rsidRPr="00855767" w:rsidRDefault="00855767" w:rsidP="003941E5">
                  <w:pPr>
                    <w:spacing w:line="360" w:lineRule="auto"/>
                    <w:jc w:val="both"/>
                  </w:pPr>
                  <w:r w:rsidRPr="00855767">
                    <w:t>OXPHOS Inhibitors</w:t>
                  </w:r>
                </w:p>
              </w:tc>
              <w:tc>
                <w:tcPr>
                  <w:tcW w:w="1440" w:type="dxa"/>
                </w:tcPr>
                <w:p w14:paraId="03C21619" w14:textId="77777777" w:rsidR="00855767" w:rsidRPr="00855767" w:rsidRDefault="00855767" w:rsidP="003941E5">
                  <w:pPr>
                    <w:spacing w:line="360" w:lineRule="auto"/>
                    <w:jc w:val="both"/>
                  </w:pPr>
                  <w:r w:rsidRPr="00855767">
                    <w:t>Oligomycin</w:t>
                  </w:r>
                </w:p>
              </w:tc>
              <w:tc>
                <w:tcPr>
                  <w:tcW w:w="1440" w:type="dxa"/>
                </w:tcPr>
                <w:p w14:paraId="47D6701C" w14:textId="77777777" w:rsidR="00855767" w:rsidRPr="00855767" w:rsidRDefault="00855767" w:rsidP="003941E5">
                  <w:pPr>
                    <w:spacing w:line="360" w:lineRule="auto"/>
                    <w:jc w:val="both"/>
                  </w:pPr>
                  <w:r w:rsidRPr="00855767">
                    <w:t>Complex V</w:t>
                  </w:r>
                </w:p>
              </w:tc>
              <w:tc>
                <w:tcPr>
                  <w:tcW w:w="1440" w:type="dxa"/>
                </w:tcPr>
                <w:p w14:paraId="0897B067" w14:textId="77777777" w:rsidR="00855767" w:rsidRPr="00855767" w:rsidRDefault="00855767" w:rsidP="003941E5">
                  <w:pPr>
                    <w:spacing w:line="360" w:lineRule="auto"/>
                    <w:jc w:val="both"/>
                  </w:pPr>
                  <w:r w:rsidRPr="00855767">
                    <w:t>Inhibits ATP synthase</w:t>
                  </w:r>
                </w:p>
              </w:tc>
              <w:tc>
                <w:tcPr>
                  <w:tcW w:w="1440" w:type="dxa"/>
                </w:tcPr>
                <w:p w14:paraId="3E5704CF" w14:textId="77777777" w:rsidR="00855767" w:rsidRPr="00855767" w:rsidRDefault="00855767" w:rsidP="003941E5">
                  <w:pPr>
                    <w:spacing w:line="360" w:lineRule="auto"/>
                    <w:jc w:val="both"/>
                  </w:pPr>
                  <w:r w:rsidRPr="00855767">
                    <w:t>Ineffective alone; ATP maintained by glycolytic compensation (Tanton et al., 2018)</w:t>
                  </w:r>
                </w:p>
              </w:tc>
              <w:tc>
                <w:tcPr>
                  <w:tcW w:w="1440" w:type="dxa"/>
                </w:tcPr>
                <w:p w14:paraId="2B60452E" w14:textId="77777777" w:rsidR="00855767" w:rsidRPr="00855767" w:rsidRDefault="00855767" w:rsidP="003941E5">
                  <w:pPr>
                    <w:spacing w:line="360" w:lineRule="auto"/>
                    <w:jc w:val="both"/>
                  </w:pPr>
                  <w:r w:rsidRPr="00855767">
                    <w:t>It cannot be used as monotherapy due to metabolic plasticity.</w:t>
                  </w:r>
                </w:p>
              </w:tc>
            </w:tr>
          </w:tbl>
          <w:p w14:paraId="77579BF3" w14:textId="77777777" w:rsidR="00855767" w:rsidRPr="00855767" w:rsidRDefault="00855767" w:rsidP="003941E5">
            <w:pPr>
              <w:spacing w:line="360" w:lineRule="auto"/>
              <w:jc w:val="both"/>
            </w:pPr>
          </w:p>
        </w:tc>
      </w:tr>
    </w:tbl>
    <w:p w14:paraId="57AF618D" w14:textId="77777777" w:rsidR="00837F8E" w:rsidRDefault="00837F8E" w:rsidP="003941E5">
      <w:pPr>
        <w:spacing w:before="240" w:after="240" w:line="360" w:lineRule="auto"/>
        <w:jc w:val="both"/>
      </w:pPr>
      <w:bookmarkStart w:id="70" w:name="_Hlk194339745"/>
    </w:p>
    <w:p w14:paraId="57657CAC" w14:textId="2C6D2BE0" w:rsidR="00855767" w:rsidRPr="00855767" w:rsidRDefault="00837F8E" w:rsidP="003941E5">
      <w:pPr>
        <w:spacing w:before="240" w:after="240" w:line="360" w:lineRule="auto"/>
        <w:jc w:val="both"/>
      </w:pPr>
      <w:r>
        <w:t xml:space="preserve">To effectively </w:t>
      </w:r>
      <w:r w:rsidR="0041200C">
        <w:t>prove PDAC’s reliance on mitochondrial respiration, various OXPHOS inhibitors have been developed, each targeting different complexes of the electron transport chain. (ETC</w:t>
      </w:r>
      <w:r w:rsidR="00BF0B86">
        <w:t>). Among</w:t>
      </w:r>
      <w:r w:rsidR="0041200C">
        <w:t xml:space="preserve"> these, metformin attracte</w:t>
      </w:r>
      <w:r w:rsidR="00B80178">
        <w:t>d attention not only for its inhibition of Complex I but also for its ability to reprogram CAFs</w:t>
      </w:r>
      <w:r w:rsidR="00D96BB5" w:rsidRPr="00D96BB5">
        <w:t xml:space="preserve"> (Benjamin and Hall, 2022)</w:t>
      </w:r>
      <w:r w:rsidR="00B80178">
        <w:t xml:space="preserve">. By shifting CAF metabolism </w:t>
      </w:r>
      <w:r w:rsidR="00855767" w:rsidRPr="00855767">
        <w:t>glycolysis to</w:t>
      </w:r>
      <w:r w:rsidR="00B80178">
        <w:t xml:space="preserve"> OXPHOS, metformin</w:t>
      </w:r>
      <w:r w:rsidR="00855767" w:rsidRPr="00855767">
        <w:t xml:space="preserve"> reduces lactate</w:t>
      </w:r>
      <w:r w:rsidR="00B80178">
        <w:t xml:space="preserve"> production</w:t>
      </w:r>
      <w:r w:rsidR="00B81C69">
        <w:t xml:space="preserve"> and limit metabolic support to tumour cells </w:t>
      </w:r>
      <w:r w:rsidR="00855767" w:rsidRPr="00855767">
        <w:t>(Benjamin and Hall, 2022</w:t>
      </w:r>
      <w:r w:rsidR="00BF0B86" w:rsidRPr="00855767">
        <w:t>).</w:t>
      </w:r>
      <w:r w:rsidR="00BF0B86">
        <w:t xml:space="preserve"> However</w:t>
      </w:r>
      <w:r w:rsidR="00B81C69">
        <w:t xml:space="preserve">, its </w:t>
      </w:r>
      <w:proofErr w:type="spellStart"/>
      <w:r w:rsidR="00B81C69">
        <w:t>monotherapeutic</w:t>
      </w:r>
      <w:proofErr w:type="spellEnd"/>
      <w:r w:rsidR="00B81C69">
        <w:t xml:space="preserve"> effect is restricted by tumour’s compensatory upregulation of glycolysis limiting sustained efficacy.</w:t>
      </w:r>
    </w:p>
    <w:p w14:paraId="7EFA446D" w14:textId="0DE8D9C8" w:rsidR="00855767" w:rsidRPr="00855767" w:rsidRDefault="00B81C69" w:rsidP="003941E5">
      <w:pPr>
        <w:spacing w:before="240" w:after="240" w:line="360" w:lineRule="auto"/>
        <w:jc w:val="both"/>
      </w:pPr>
      <w:r w:rsidRPr="00855767">
        <w:t>To</w:t>
      </w:r>
      <w:r>
        <w:t xml:space="preserve"> enhance its therapeutic benefit</w:t>
      </w:r>
      <w:r w:rsidR="00855767" w:rsidRPr="00855767">
        <w:t>, metformin is studied in combination with lactate transport inhibitors, particularly those targeting monocarboxylate transporters (MCTs)</w:t>
      </w:r>
      <w:r w:rsidR="00D96BB5" w:rsidRPr="00D96BB5">
        <w:t xml:space="preserve"> (Benjamin and Hall, 2022)</w:t>
      </w:r>
      <w:r w:rsidR="00855767" w:rsidRPr="00855767">
        <w:t xml:space="preserve">. </w:t>
      </w:r>
      <w:r w:rsidR="00D86480" w:rsidRPr="00D86480">
        <w:t xml:space="preserve">These transporters </w:t>
      </w:r>
      <w:r w:rsidR="00BF0B86" w:rsidRPr="00855767">
        <w:t>maintain</w:t>
      </w:r>
      <w:r w:rsidR="00855767" w:rsidRPr="00855767">
        <w:t xml:space="preserve"> metabolic symbiosis between CAFs and tumour cells. </w:t>
      </w:r>
      <w:r w:rsidR="00BF0B86">
        <w:t xml:space="preserve">Simultaneous inhibition </w:t>
      </w:r>
      <w:r w:rsidR="00BF2A96">
        <w:t xml:space="preserve">disrupts lactate cycling, remodels TME and </w:t>
      </w:r>
      <w:r w:rsidR="00855767" w:rsidRPr="00855767">
        <w:t xml:space="preserve">sensitises PDAC cells to </w:t>
      </w:r>
      <w:r w:rsidR="00855767" w:rsidRPr="00855767">
        <w:lastRenderedPageBreak/>
        <w:t>chemotherapy. However, compensatory nutrient pathways such as</w:t>
      </w:r>
      <w:r w:rsidR="00BF2A96">
        <w:t xml:space="preserve"> </w:t>
      </w:r>
      <w:proofErr w:type="spellStart"/>
      <w:r w:rsidR="00BF2A96">
        <w:t>glutaminolysis</w:t>
      </w:r>
      <w:proofErr w:type="spellEnd"/>
      <w:r w:rsidR="00BF2A96">
        <w:t xml:space="preserve"> can emerge</w:t>
      </w:r>
      <w:r w:rsidR="00855767" w:rsidRPr="00855767">
        <w:t xml:space="preserve">, </w:t>
      </w:r>
      <w:r w:rsidR="00BF2A96">
        <w:t xml:space="preserve">underscoring the resilience of PDAC metabolism </w:t>
      </w:r>
      <w:r w:rsidR="00855767" w:rsidRPr="00855767">
        <w:t>(Benjamin and Hall, 2022).</w:t>
      </w:r>
    </w:p>
    <w:p w14:paraId="621FFAD0" w14:textId="4FC7E6B9" w:rsidR="00855767" w:rsidRPr="00855767" w:rsidRDefault="00BF2A96" w:rsidP="003941E5">
      <w:pPr>
        <w:spacing w:before="240" w:after="240" w:line="360" w:lineRule="auto"/>
        <w:jc w:val="both"/>
      </w:pPr>
      <w:r>
        <w:t xml:space="preserve">Phenformin, a more potent biguanide, similarly targets Complex I and shows stronger synergy with </w:t>
      </w:r>
      <w:r w:rsidR="00855767" w:rsidRPr="00855767">
        <w:t>gemcitabine in high OXPHOS PDAC cells</w:t>
      </w:r>
      <w:r w:rsidR="0006035B">
        <w:t>, reducing viability and enhancing drug response</w:t>
      </w:r>
      <w:r w:rsidR="00D96BB5" w:rsidRPr="00D96BB5">
        <w:t xml:space="preserve"> </w:t>
      </w:r>
      <w:r w:rsidR="00D96BB5">
        <w:t>(</w:t>
      </w:r>
      <w:r w:rsidR="00D96BB5" w:rsidRPr="00D96BB5">
        <w:t>Masoud et al., 2020)</w:t>
      </w:r>
      <w:r w:rsidR="0006035B">
        <w:t>. Yet,</w:t>
      </w:r>
      <w:r w:rsidR="00855767" w:rsidRPr="00855767">
        <w:t xml:space="preserve"> its clinical use is limited by lactic acidosis risk</w:t>
      </w:r>
      <w:r w:rsidR="00D0435F">
        <w:t xml:space="preserve"> and variable efficacy across metabolic subtypes</w:t>
      </w:r>
      <w:r w:rsidR="00D0435F" w:rsidRPr="00D0435F">
        <w:t xml:space="preserve"> </w:t>
      </w:r>
      <w:r w:rsidR="00D0435F">
        <w:t>h</w:t>
      </w:r>
      <w:r w:rsidR="00D0435F" w:rsidRPr="00855767">
        <w:t>ighlighting the importance of patient stratification</w:t>
      </w:r>
      <w:r w:rsidR="00855767" w:rsidRPr="00855767">
        <w:t xml:space="preserve"> (Masoud et al., 2020</w:t>
      </w:r>
      <w:r w:rsidR="00D0435F">
        <w:t>).</w:t>
      </w:r>
    </w:p>
    <w:p w14:paraId="322F98F1" w14:textId="12F35E88" w:rsidR="00B916DF" w:rsidRDefault="00855767" w:rsidP="003941E5">
      <w:pPr>
        <w:spacing w:before="240" w:after="240" w:line="360" w:lineRule="auto"/>
        <w:jc w:val="both"/>
      </w:pPr>
      <w:r w:rsidRPr="00855767">
        <w:t>IACS-010759, a</w:t>
      </w:r>
      <w:r w:rsidR="00D0435F">
        <w:t>nother</w:t>
      </w:r>
      <w:r w:rsidRPr="00855767">
        <w:t xml:space="preserve"> Complex I inhibitor, resulted in a 40% reduction in tumour volume in PDAC models and was associated with substantial ATP depletion and decreased viability</w:t>
      </w:r>
      <w:r w:rsidR="00D96BB5" w:rsidRPr="00D96BB5">
        <w:rPr>
          <w:b/>
          <w:bCs/>
        </w:rPr>
        <w:t xml:space="preserve"> </w:t>
      </w:r>
      <w:r w:rsidR="00D96BB5" w:rsidRPr="00D96BB5">
        <w:t>(Tsuji et al., 2020)</w:t>
      </w:r>
      <w:r w:rsidRPr="00D96BB5">
        <w:t>.</w:t>
      </w:r>
      <w:r w:rsidRPr="00855767">
        <w:t xml:space="preserve"> However, the clinical use is challenged by dose-limiting neurotoxicity and metabolic compensation</w:t>
      </w:r>
      <w:r w:rsidR="00824726">
        <w:t xml:space="preserve"> through glycolytic </w:t>
      </w:r>
      <w:r w:rsidR="00611B32">
        <w:t>reprogramming</w:t>
      </w:r>
      <w:r w:rsidRPr="00855767">
        <w:t xml:space="preserve">, which may reduce its long-term effectiveness (Tsuji et al., 2020). </w:t>
      </w:r>
      <w:r w:rsidR="00C82B6D">
        <w:t xml:space="preserve">Similarly, inhibitors of downstream complexes, such as </w:t>
      </w:r>
      <w:r w:rsidR="00C82B6D" w:rsidRPr="00C82B6D">
        <w:t>Atovaquone targeting Complex III,</w:t>
      </w:r>
      <w:r w:rsidR="00C82B6D">
        <w:t xml:space="preserve"> show preferential activity against CSCs, but are less effective against bulk tumour population, limiting its standalone utility</w:t>
      </w:r>
      <w:r w:rsidRPr="00855767">
        <w:t xml:space="preserve"> (Fiorillo et al., 2016).</w:t>
      </w:r>
    </w:p>
    <w:p w14:paraId="53145617" w14:textId="256D3D61" w:rsidR="00855767" w:rsidRPr="00855767" w:rsidRDefault="00B916DF" w:rsidP="003941E5">
      <w:pPr>
        <w:spacing w:before="240" w:after="240" w:line="360" w:lineRule="auto"/>
        <w:jc w:val="both"/>
      </w:pPr>
      <w:r w:rsidRPr="00B916DF">
        <w:t>Arsenic trioxide (ATO), which inhibits Complex IV,</w:t>
      </w:r>
      <w:r w:rsidR="00855767" w:rsidRPr="00855767">
        <w:t xml:space="preserve"> was found to enhance the effectiveness of gemcitabine in treating </w:t>
      </w:r>
      <w:r>
        <w:t>PDAC, achieving tumour volume reductions up to 70</w:t>
      </w:r>
      <w:r w:rsidR="00195B75">
        <w:t>%</w:t>
      </w:r>
      <w:r w:rsidR="00D96BB5" w:rsidRPr="00D96BB5">
        <w:t xml:space="preserve"> (Tian et al., 2023)</w:t>
      </w:r>
      <w:r w:rsidR="00195B75">
        <w:t>. However</w:t>
      </w:r>
      <w:r w:rsidR="00A348AA">
        <w:t>, off-target effects and the need for clinical validation remain concerns</w:t>
      </w:r>
      <w:r w:rsidR="00D26D68">
        <w:t xml:space="preserve"> </w:t>
      </w:r>
      <w:r w:rsidR="00855767" w:rsidRPr="00855767">
        <w:t>(Tian et al., 2023).</w:t>
      </w:r>
    </w:p>
    <w:p w14:paraId="4E379835" w14:textId="326744CE" w:rsidR="00855767" w:rsidRDefault="00855767" w:rsidP="003941E5">
      <w:pPr>
        <w:spacing w:before="240" w:after="240" w:line="360" w:lineRule="auto"/>
        <w:jc w:val="both"/>
      </w:pPr>
      <w:r w:rsidRPr="00855767">
        <w:t xml:space="preserve">Lastly, Oligomycin, a Complex V inhibitor, failed to reduce ATP levels, </w:t>
      </w:r>
      <w:r w:rsidR="00D26D68">
        <w:t xml:space="preserve">due to compensatory </w:t>
      </w:r>
      <w:r w:rsidRPr="00855767">
        <w:t>glycolysis</w:t>
      </w:r>
      <w:r w:rsidR="00D26D68">
        <w:t>.</w:t>
      </w:r>
      <w:r w:rsidR="001C22AB">
        <w:t>, yet showed sensitivity in normal pancreatic acinar cells, emphasising the metabolic adaptability that</w:t>
      </w:r>
      <w:r w:rsidR="008B593A">
        <w:t xml:space="preserve"> enables </w:t>
      </w:r>
      <w:r w:rsidRPr="00855767">
        <w:t xml:space="preserve">tumour cells </w:t>
      </w:r>
      <w:r w:rsidR="008B593A">
        <w:t xml:space="preserve">to survive mitochondrial </w:t>
      </w:r>
      <w:r w:rsidR="00CA40D7">
        <w:t>inhibition</w:t>
      </w:r>
      <w:r w:rsidRPr="00855767">
        <w:t xml:space="preserve"> (Tanton et al., 2018). </w:t>
      </w:r>
    </w:p>
    <w:p w14:paraId="14355474" w14:textId="612DD472" w:rsidR="008B593A" w:rsidRPr="00855767" w:rsidRDefault="008B593A" w:rsidP="003941E5">
      <w:pPr>
        <w:spacing w:before="240" w:after="240" w:line="360" w:lineRule="auto"/>
        <w:jc w:val="both"/>
      </w:pPr>
      <w:r>
        <w:t xml:space="preserve">These findings illustrate that although OXPHOS inhibitors hold therapeutic promise, their success depends on combination strategies that anticipate and counteract metabolic </w:t>
      </w:r>
      <w:r w:rsidR="00CA40D7">
        <w:t>compensation. As</w:t>
      </w:r>
      <w:r>
        <w:t xml:space="preserve"> summarised in Table 5, no single agent is sufficient, </w:t>
      </w:r>
      <w:r w:rsidR="00CA40D7">
        <w:t>and multi-targeted approaches are essential to fully disrupt the interconnect metabolic networks supporting PDAC survival.</w:t>
      </w:r>
    </w:p>
    <w:p w14:paraId="674D5849" w14:textId="77777777" w:rsidR="005111D0" w:rsidRDefault="005111D0" w:rsidP="003941E5">
      <w:pPr>
        <w:pStyle w:val="Heading3"/>
        <w:spacing w:line="360" w:lineRule="auto"/>
        <w:jc w:val="both"/>
        <w:rPr>
          <w:rFonts w:cs="Arial"/>
          <w:sz w:val="22"/>
          <w:szCs w:val="22"/>
        </w:rPr>
      </w:pPr>
      <w:bookmarkStart w:id="71" w:name="_Toc194180678"/>
      <w:bookmarkStart w:id="72" w:name="_Toc194182196"/>
      <w:bookmarkStart w:id="73" w:name="_Hlk194339785"/>
      <w:bookmarkEnd w:id="70"/>
    </w:p>
    <w:p w14:paraId="777181DA" w14:textId="523F2F0B" w:rsidR="00855767" w:rsidRPr="00855767" w:rsidRDefault="00855767" w:rsidP="003941E5">
      <w:pPr>
        <w:pStyle w:val="Heading3"/>
        <w:spacing w:line="360" w:lineRule="auto"/>
        <w:jc w:val="both"/>
        <w:rPr>
          <w:rFonts w:cs="Arial"/>
          <w:sz w:val="22"/>
          <w:szCs w:val="22"/>
        </w:rPr>
      </w:pPr>
      <w:r w:rsidRPr="00855767">
        <w:rPr>
          <w:rFonts w:cs="Arial"/>
          <w:sz w:val="22"/>
          <w:szCs w:val="22"/>
        </w:rPr>
        <w:t>5.2 CRISPR-Based Metabolic Gene Editing</w:t>
      </w:r>
      <w:bookmarkEnd w:id="71"/>
      <w:bookmarkEnd w:id="72"/>
      <w:r w:rsidR="00E36595">
        <w:rPr>
          <w:rFonts w:cs="Arial"/>
          <w:sz w:val="22"/>
          <w:szCs w:val="22"/>
        </w:rPr>
        <w:t xml:space="preserve"> 347</w:t>
      </w:r>
    </w:p>
    <w:bookmarkEnd w:id="73"/>
    <w:p w14:paraId="588F73DE" w14:textId="77777777" w:rsidR="00855767" w:rsidRPr="00855767" w:rsidRDefault="00855767" w:rsidP="003941E5">
      <w:pPr>
        <w:spacing w:line="360" w:lineRule="auto"/>
        <w:jc w:val="both"/>
      </w:pPr>
      <w:r w:rsidRPr="00855767">
        <w:rPr>
          <w:b/>
          <w:bCs/>
        </w:rPr>
        <w:t>Table 6.</w:t>
      </w:r>
      <w:r w:rsidRPr="00855767">
        <w:t xml:space="preserve"> Potential genes could be targeted via CRISPR-Cas9. The study context, gene function, key findings, and limitations are presented in the table. </w:t>
      </w:r>
      <w:r w:rsidRPr="00855767">
        <w:rPr>
          <w:bCs/>
          <w:i/>
          <w:iCs/>
        </w:rPr>
        <w:t>NDUFS1</w:t>
      </w:r>
      <w:r w:rsidRPr="00855767">
        <w:rPr>
          <w:bCs/>
        </w:rPr>
        <w:t xml:space="preserve">, </w:t>
      </w:r>
      <w:r w:rsidRPr="00855767">
        <w:rPr>
          <w:bCs/>
          <w:i/>
          <w:iCs/>
        </w:rPr>
        <w:t>SDHA</w:t>
      </w:r>
      <w:r w:rsidRPr="00855767">
        <w:rPr>
          <w:bCs/>
        </w:rPr>
        <w:t>,</w:t>
      </w:r>
      <w:r w:rsidRPr="00855767">
        <w:rPr>
          <w:bCs/>
          <w:i/>
          <w:iCs/>
        </w:rPr>
        <w:t xml:space="preserve"> COX6B2</w:t>
      </w:r>
      <w:r w:rsidRPr="00855767">
        <w:rPr>
          <w:bCs/>
        </w:rPr>
        <w:t>, and the F</w:t>
      </w:r>
      <w:r w:rsidRPr="00855767">
        <w:rPr>
          <w:rFonts w:ascii="Cambria Math" w:hAnsi="Cambria Math" w:cs="Cambria Math"/>
          <w:bCs/>
        </w:rPr>
        <w:t>₀</w:t>
      </w:r>
      <w:r w:rsidRPr="00855767">
        <w:rPr>
          <w:bCs/>
        </w:rPr>
        <w:t xml:space="preserve"> subunit of ATP synthase (Complex V). </w:t>
      </w:r>
      <w:r w:rsidRPr="00855767">
        <w:t xml:space="preserve">Targeting these genes disrupts the mitochondrial mechanism by preventing electron flow, the proton gradient, and ATP </w:t>
      </w:r>
      <w:r w:rsidRPr="00855767">
        <w:lastRenderedPageBreak/>
        <w:t>production. Specifically, targeting Complex I and V increases reactive oxygen species (ROS), inducing oxidative stress and apoptosis.</w:t>
      </w:r>
    </w:p>
    <w:p w14:paraId="125CE63D" w14:textId="77777777" w:rsidR="00855767" w:rsidRPr="00855767" w:rsidRDefault="00855767" w:rsidP="003941E5">
      <w:pPr>
        <w:spacing w:line="360" w:lineRule="auto"/>
        <w:jc w:val="both"/>
      </w:pPr>
    </w:p>
    <w:tbl>
      <w:tblPr>
        <w:tblW w:w="882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1215"/>
        <w:gridCol w:w="2205"/>
        <w:gridCol w:w="1800"/>
        <w:gridCol w:w="1800"/>
        <w:gridCol w:w="1800"/>
      </w:tblGrid>
      <w:tr w:rsidR="00855767" w:rsidRPr="00855767" w14:paraId="161B8300" w14:textId="77777777" w:rsidTr="00A1124C">
        <w:trPr>
          <w:trHeight w:val="285"/>
        </w:trPr>
        <w:tc>
          <w:tcPr>
            <w:tcW w:w="1215" w:type="dxa"/>
            <w:tcMar>
              <w:top w:w="0" w:type="dxa"/>
              <w:left w:w="100" w:type="dxa"/>
              <w:bottom w:w="0" w:type="dxa"/>
              <w:right w:w="100" w:type="dxa"/>
            </w:tcMar>
          </w:tcPr>
          <w:p w14:paraId="10F97CCB" w14:textId="77777777" w:rsidR="00855767" w:rsidRPr="00855767" w:rsidRDefault="00855767" w:rsidP="003941E5">
            <w:pPr>
              <w:spacing w:before="240" w:line="360" w:lineRule="auto"/>
              <w:jc w:val="both"/>
            </w:pPr>
            <w:r w:rsidRPr="00855767">
              <w:t>Gene Targeted</w:t>
            </w:r>
          </w:p>
        </w:tc>
        <w:tc>
          <w:tcPr>
            <w:tcW w:w="2205" w:type="dxa"/>
            <w:tcMar>
              <w:top w:w="0" w:type="dxa"/>
              <w:left w:w="100" w:type="dxa"/>
              <w:bottom w:w="0" w:type="dxa"/>
              <w:right w:w="100" w:type="dxa"/>
            </w:tcMar>
          </w:tcPr>
          <w:p w14:paraId="4E3527ED" w14:textId="77777777" w:rsidR="00855767" w:rsidRPr="00855767" w:rsidRDefault="00855767" w:rsidP="003941E5">
            <w:pPr>
              <w:spacing w:before="240" w:line="360" w:lineRule="auto"/>
              <w:jc w:val="both"/>
            </w:pPr>
            <w:r w:rsidRPr="00855767">
              <w:t>Study Context</w:t>
            </w:r>
          </w:p>
        </w:tc>
        <w:tc>
          <w:tcPr>
            <w:tcW w:w="1800" w:type="dxa"/>
            <w:tcMar>
              <w:top w:w="0" w:type="dxa"/>
              <w:left w:w="100" w:type="dxa"/>
              <w:bottom w:w="0" w:type="dxa"/>
              <w:right w:w="100" w:type="dxa"/>
            </w:tcMar>
          </w:tcPr>
          <w:p w14:paraId="68498111" w14:textId="77777777" w:rsidR="00855767" w:rsidRPr="00855767" w:rsidRDefault="00855767" w:rsidP="003941E5">
            <w:pPr>
              <w:spacing w:before="240" w:line="360" w:lineRule="auto"/>
              <w:jc w:val="both"/>
            </w:pPr>
            <w:r w:rsidRPr="00855767">
              <w:t>Function</w:t>
            </w:r>
          </w:p>
        </w:tc>
        <w:tc>
          <w:tcPr>
            <w:tcW w:w="1800" w:type="dxa"/>
            <w:tcMar>
              <w:top w:w="0" w:type="dxa"/>
              <w:left w:w="100" w:type="dxa"/>
              <w:bottom w:w="0" w:type="dxa"/>
              <w:right w:w="100" w:type="dxa"/>
            </w:tcMar>
          </w:tcPr>
          <w:p w14:paraId="66E95E70" w14:textId="77777777" w:rsidR="00855767" w:rsidRPr="00855767" w:rsidRDefault="00855767" w:rsidP="003941E5">
            <w:pPr>
              <w:spacing w:before="240" w:line="360" w:lineRule="auto"/>
              <w:jc w:val="both"/>
            </w:pPr>
            <w:r w:rsidRPr="00855767">
              <w:t>Key Findings</w:t>
            </w:r>
          </w:p>
        </w:tc>
        <w:tc>
          <w:tcPr>
            <w:tcW w:w="1800" w:type="dxa"/>
            <w:tcMar>
              <w:top w:w="0" w:type="dxa"/>
              <w:left w:w="100" w:type="dxa"/>
              <w:bottom w:w="0" w:type="dxa"/>
              <w:right w:w="100" w:type="dxa"/>
            </w:tcMar>
          </w:tcPr>
          <w:p w14:paraId="21D8D2CB" w14:textId="77777777" w:rsidR="00855767" w:rsidRPr="00855767" w:rsidRDefault="00855767" w:rsidP="003941E5">
            <w:pPr>
              <w:spacing w:before="240" w:line="360" w:lineRule="auto"/>
              <w:jc w:val="both"/>
            </w:pPr>
            <w:r w:rsidRPr="00855767">
              <w:t>Limitations</w:t>
            </w:r>
          </w:p>
        </w:tc>
      </w:tr>
      <w:tr w:rsidR="00855767" w:rsidRPr="00855767" w14:paraId="147DD3F3" w14:textId="77777777" w:rsidTr="00A1124C">
        <w:trPr>
          <w:trHeight w:val="1935"/>
        </w:trPr>
        <w:tc>
          <w:tcPr>
            <w:tcW w:w="1215" w:type="dxa"/>
            <w:tcMar>
              <w:top w:w="0" w:type="dxa"/>
              <w:left w:w="100" w:type="dxa"/>
              <w:bottom w:w="0" w:type="dxa"/>
              <w:right w:w="100" w:type="dxa"/>
            </w:tcMar>
          </w:tcPr>
          <w:p w14:paraId="387D54E4" w14:textId="77777777" w:rsidR="00855767" w:rsidRPr="00855767" w:rsidRDefault="00855767" w:rsidP="003941E5">
            <w:pPr>
              <w:spacing w:before="240" w:line="360" w:lineRule="auto"/>
              <w:jc w:val="both"/>
              <w:rPr>
                <w:i/>
                <w:iCs/>
              </w:rPr>
            </w:pPr>
            <w:r w:rsidRPr="00855767">
              <w:rPr>
                <w:i/>
                <w:iCs/>
              </w:rPr>
              <w:t>NDUFS1</w:t>
            </w:r>
          </w:p>
        </w:tc>
        <w:tc>
          <w:tcPr>
            <w:tcW w:w="2205" w:type="dxa"/>
            <w:tcMar>
              <w:top w:w="0" w:type="dxa"/>
              <w:left w:w="100" w:type="dxa"/>
              <w:bottom w:w="0" w:type="dxa"/>
              <w:right w:w="100" w:type="dxa"/>
            </w:tcMar>
          </w:tcPr>
          <w:p w14:paraId="3B2E8A04" w14:textId="77777777" w:rsidR="00855767" w:rsidRPr="00855767" w:rsidRDefault="00855767" w:rsidP="003941E5">
            <w:pPr>
              <w:spacing w:before="240" w:line="360" w:lineRule="auto"/>
              <w:jc w:val="both"/>
            </w:pPr>
            <w:r w:rsidRPr="00855767">
              <w:t>Gastric and colorectal cancer proposed for PDAC (Xu et al., 2023; Michl et al.,2022)</w:t>
            </w:r>
          </w:p>
        </w:tc>
        <w:tc>
          <w:tcPr>
            <w:tcW w:w="1800" w:type="dxa"/>
            <w:tcMar>
              <w:top w:w="0" w:type="dxa"/>
              <w:left w:w="100" w:type="dxa"/>
              <w:bottom w:w="0" w:type="dxa"/>
              <w:right w:w="100" w:type="dxa"/>
            </w:tcMar>
          </w:tcPr>
          <w:p w14:paraId="03719778" w14:textId="77777777" w:rsidR="00855767" w:rsidRPr="00855767" w:rsidRDefault="00855767" w:rsidP="003941E5">
            <w:pPr>
              <w:spacing w:before="240" w:line="360" w:lineRule="auto"/>
              <w:jc w:val="both"/>
            </w:pPr>
            <w:r w:rsidRPr="00855767">
              <w:t>Complex I subunit catalyses NADH oxidation and initiates ETC</w:t>
            </w:r>
          </w:p>
        </w:tc>
        <w:tc>
          <w:tcPr>
            <w:tcW w:w="1800" w:type="dxa"/>
            <w:tcMar>
              <w:top w:w="0" w:type="dxa"/>
              <w:left w:w="100" w:type="dxa"/>
              <w:bottom w:w="0" w:type="dxa"/>
              <w:right w:w="100" w:type="dxa"/>
            </w:tcMar>
          </w:tcPr>
          <w:p w14:paraId="37CC8C2B" w14:textId="77777777" w:rsidR="00855767" w:rsidRPr="00855767" w:rsidRDefault="00855767" w:rsidP="003941E5">
            <w:pPr>
              <w:spacing w:before="240" w:line="360" w:lineRule="auto"/>
              <w:jc w:val="both"/>
            </w:pPr>
            <w:r w:rsidRPr="00855767">
              <w:t>Knockout led to impaired ATP production and enhanced sensitivity to glycolytic inhibition</w:t>
            </w:r>
          </w:p>
        </w:tc>
        <w:tc>
          <w:tcPr>
            <w:tcW w:w="1800" w:type="dxa"/>
            <w:tcMar>
              <w:top w:w="0" w:type="dxa"/>
              <w:left w:w="100" w:type="dxa"/>
              <w:bottom w:w="0" w:type="dxa"/>
              <w:right w:w="100" w:type="dxa"/>
            </w:tcMar>
          </w:tcPr>
          <w:p w14:paraId="3D2A2297" w14:textId="77777777" w:rsidR="00855767" w:rsidRPr="00855767" w:rsidRDefault="00855767" w:rsidP="003941E5">
            <w:pPr>
              <w:spacing w:before="240" w:line="360" w:lineRule="auto"/>
              <w:jc w:val="both"/>
            </w:pPr>
            <w:r w:rsidRPr="00855767">
              <w:t>Delivery to tumour cells remains challenging; it needs tumour-specific vector systems</w:t>
            </w:r>
          </w:p>
        </w:tc>
      </w:tr>
      <w:tr w:rsidR="00855767" w:rsidRPr="00855767" w14:paraId="7297EC15" w14:textId="77777777" w:rsidTr="00A1124C">
        <w:trPr>
          <w:trHeight w:val="2220"/>
        </w:trPr>
        <w:tc>
          <w:tcPr>
            <w:tcW w:w="1215" w:type="dxa"/>
            <w:tcMar>
              <w:top w:w="0" w:type="dxa"/>
              <w:left w:w="100" w:type="dxa"/>
              <w:bottom w:w="0" w:type="dxa"/>
              <w:right w:w="100" w:type="dxa"/>
            </w:tcMar>
          </w:tcPr>
          <w:p w14:paraId="3A38C3A1" w14:textId="77777777" w:rsidR="00855767" w:rsidRPr="00855767" w:rsidRDefault="00855767" w:rsidP="003941E5">
            <w:pPr>
              <w:spacing w:before="240" w:line="360" w:lineRule="auto"/>
              <w:jc w:val="both"/>
              <w:rPr>
                <w:i/>
                <w:iCs/>
              </w:rPr>
            </w:pPr>
            <w:r w:rsidRPr="00855767">
              <w:rPr>
                <w:i/>
                <w:iCs/>
              </w:rPr>
              <w:t>SDHA</w:t>
            </w:r>
          </w:p>
        </w:tc>
        <w:tc>
          <w:tcPr>
            <w:tcW w:w="2205" w:type="dxa"/>
            <w:tcMar>
              <w:top w:w="0" w:type="dxa"/>
              <w:left w:w="100" w:type="dxa"/>
              <w:bottom w:w="0" w:type="dxa"/>
              <w:right w:w="100" w:type="dxa"/>
            </w:tcMar>
          </w:tcPr>
          <w:p w14:paraId="2EB5D3BA" w14:textId="77777777" w:rsidR="00855767" w:rsidRPr="00855767" w:rsidRDefault="00855767" w:rsidP="003941E5">
            <w:pPr>
              <w:spacing w:before="240" w:line="360" w:lineRule="auto"/>
              <w:jc w:val="both"/>
            </w:pPr>
            <w:r w:rsidRPr="00855767">
              <w:t>Preclinical and clinical studies in pancreatic neuroendocrine tumours and other SDH-related cancers (</w:t>
            </w:r>
            <w:proofErr w:type="spellStart"/>
            <w:r w:rsidRPr="00855767">
              <w:t>Niemeijer</w:t>
            </w:r>
            <w:proofErr w:type="spellEnd"/>
            <w:r w:rsidRPr="00855767">
              <w:t xml:space="preserve"> et al., 2015)</w:t>
            </w:r>
          </w:p>
        </w:tc>
        <w:tc>
          <w:tcPr>
            <w:tcW w:w="1800" w:type="dxa"/>
            <w:tcMar>
              <w:top w:w="0" w:type="dxa"/>
              <w:left w:w="100" w:type="dxa"/>
              <w:bottom w:w="0" w:type="dxa"/>
              <w:right w:w="100" w:type="dxa"/>
            </w:tcMar>
          </w:tcPr>
          <w:p w14:paraId="1088510D" w14:textId="77777777" w:rsidR="00855767" w:rsidRPr="00855767" w:rsidRDefault="00855767" w:rsidP="003941E5">
            <w:pPr>
              <w:spacing w:before="240" w:line="360" w:lineRule="auto"/>
              <w:jc w:val="both"/>
            </w:pPr>
            <w:r w:rsidRPr="00855767">
              <w:t xml:space="preserve">The subunit of Complex II (succinate dehydrogenase) oxidises FADH2 and feeds electrons into </w:t>
            </w:r>
            <w:proofErr w:type="spellStart"/>
            <w:r w:rsidRPr="00855767">
              <w:t>CoQ</w:t>
            </w:r>
            <w:proofErr w:type="spellEnd"/>
            <w:r w:rsidRPr="00855767">
              <w:t>.</w:t>
            </w:r>
          </w:p>
        </w:tc>
        <w:tc>
          <w:tcPr>
            <w:tcW w:w="1800" w:type="dxa"/>
            <w:tcMar>
              <w:top w:w="0" w:type="dxa"/>
              <w:left w:w="100" w:type="dxa"/>
              <w:bottom w:w="0" w:type="dxa"/>
              <w:right w:w="100" w:type="dxa"/>
            </w:tcMar>
          </w:tcPr>
          <w:p w14:paraId="589A2854" w14:textId="77777777" w:rsidR="00855767" w:rsidRPr="00855767" w:rsidRDefault="00855767" w:rsidP="003941E5">
            <w:pPr>
              <w:spacing w:before="240" w:line="360" w:lineRule="auto"/>
              <w:jc w:val="both"/>
            </w:pPr>
            <w:r w:rsidRPr="00855767">
              <w:t>Disruption impairs succinate metabolism ETC input; increases ROS</w:t>
            </w:r>
          </w:p>
        </w:tc>
        <w:tc>
          <w:tcPr>
            <w:tcW w:w="1800" w:type="dxa"/>
            <w:tcMar>
              <w:top w:w="0" w:type="dxa"/>
              <w:left w:w="100" w:type="dxa"/>
              <w:bottom w:w="0" w:type="dxa"/>
              <w:right w:w="100" w:type="dxa"/>
            </w:tcMar>
          </w:tcPr>
          <w:p w14:paraId="2D09F8BB" w14:textId="77777777" w:rsidR="00855767" w:rsidRPr="00855767" w:rsidRDefault="00855767" w:rsidP="003941E5">
            <w:pPr>
              <w:spacing w:before="240" w:line="360" w:lineRule="auto"/>
              <w:jc w:val="both"/>
            </w:pPr>
            <w:r w:rsidRPr="00855767">
              <w:t>May have redundant pathways; tumour-specific effects unclear</w:t>
            </w:r>
          </w:p>
        </w:tc>
      </w:tr>
      <w:tr w:rsidR="00855767" w:rsidRPr="00855767" w14:paraId="6475B139" w14:textId="77777777" w:rsidTr="00A1124C">
        <w:trPr>
          <w:trHeight w:val="2220"/>
        </w:trPr>
        <w:tc>
          <w:tcPr>
            <w:tcW w:w="1215" w:type="dxa"/>
            <w:tcMar>
              <w:top w:w="0" w:type="dxa"/>
              <w:left w:w="100" w:type="dxa"/>
              <w:bottom w:w="0" w:type="dxa"/>
              <w:right w:w="100" w:type="dxa"/>
            </w:tcMar>
          </w:tcPr>
          <w:p w14:paraId="4948CCC7" w14:textId="77777777" w:rsidR="00855767" w:rsidRPr="00855767" w:rsidRDefault="00855767" w:rsidP="003941E5">
            <w:pPr>
              <w:spacing w:before="240" w:line="360" w:lineRule="auto"/>
              <w:jc w:val="both"/>
              <w:rPr>
                <w:i/>
                <w:iCs/>
              </w:rPr>
            </w:pPr>
            <w:r w:rsidRPr="00855767">
              <w:rPr>
                <w:i/>
                <w:iCs/>
              </w:rPr>
              <w:t>COX6B2</w:t>
            </w:r>
          </w:p>
        </w:tc>
        <w:tc>
          <w:tcPr>
            <w:tcW w:w="2205" w:type="dxa"/>
            <w:tcMar>
              <w:top w:w="0" w:type="dxa"/>
              <w:left w:w="100" w:type="dxa"/>
              <w:bottom w:w="0" w:type="dxa"/>
              <w:right w:w="100" w:type="dxa"/>
            </w:tcMar>
          </w:tcPr>
          <w:p w14:paraId="08E4BE8B" w14:textId="77777777" w:rsidR="00855767" w:rsidRPr="00855767" w:rsidRDefault="00855767" w:rsidP="003941E5">
            <w:pPr>
              <w:spacing w:before="240" w:line="360" w:lineRule="auto"/>
              <w:jc w:val="both"/>
            </w:pPr>
            <w:r w:rsidRPr="00855767">
              <w:t xml:space="preserve"> Pancreatic ductal adenocarcinoma (PDAC) models (Nie et al., 2020)</w:t>
            </w:r>
          </w:p>
        </w:tc>
        <w:tc>
          <w:tcPr>
            <w:tcW w:w="1800" w:type="dxa"/>
            <w:tcMar>
              <w:top w:w="0" w:type="dxa"/>
              <w:left w:w="100" w:type="dxa"/>
              <w:bottom w:w="0" w:type="dxa"/>
              <w:right w:w="100" w:type="dxa"/>
            </w:tcMar>
          </w:tcPr>
          <w:p w14:paraId="4A6EA294" w14:textId="77777777" w:rsidR="00855767" w:rsidRPr="00855767" w:rsidRDefault="00855767" w:rsidP="003941E5">
            <w:pPr>
              <w:spacing w:before="240" w:line="360" w:lineRule="auto"/>
              <w:jc w:val="both"/>
            </w:pPr>
            <w:r w:rsidRPr="00855767">
              <w:t>The complex IV subunit facilitates electron transfer to oxygen during the final ETC step</w:t>
            </w:r>
          </w:p>
        </w:tc>
        <w:tc>
          <w:tcPr>
            <w:tcW w:w="1800" w:type="dxa"/>
            <w:tcMar>
              <w:top w:w="0" w:type="dxa"/>
              <w:left w:w="100" w:type="dxa"/>
              <w:bottom w:w="0" w:type="dxa"/>
              <w:right w:w="100" w:type="dxa"/>
            </w:tcMar>
          </w:tcPr>
          <w:p w14:paraId="115FD791" w14:textId="77777777" w:rsidR="00855767" w:rsidRPr="00855767" w:rsidRDefault="00855767" w:rsidP="003941E5">
            <w:pPr>
              <w:spacing w:before="240" w:line="360" w:lineRule="auto"/>
              <w:jc w:val="both"/>
            </w:pPr>
            <w:r w:rsidRPr="00855767">
              <w:t>Knockdown reduced Complex IV assembly, impaired OXPHOS activity, decreased ATP production, and inhibited metastatic potential in PDAC cells</w:t>
            </w:r>
          </w:p>
        </w:tc>
        <w:tc>
          <w:tcPr>
            <w:tcW w:w="1800" w:type="dxa"/>
            <w:tcMar>
              <w:top w:w="0" w:type="dxa"/>
              <w:left w:w="100" w:type="dxa"/>
              <w:bottom w:w="0" w:type="dxa"/>
              <w:right w:w="100" w:type="dxa"/>
            </w:tcMar>
          </w:tcPr>
          <w:p w14:paraId="24DD9A50" w14:textId="77777777" w:rsidR="00855767" w:rsidRPr="00855767" w:rsidRDefault="00855767" w:rsidP="003941E5">
            <w:pPr>
              <w:spacing w:before="240" w:line="360" w:lineRule="auto"/>
              <w:jc w:val="both"/>
            </w:pPr>
            <w:r w:rsidRPr="00855767">
              <w:t xml:space="preserve">Limited data on CRISPR knockout; possible compensation by </w:t>
            </w:r>
            <w:r w:rsidRPr="00855767">
              <w:rPr>
                <w:i/>
                <w:iCs/>
              </w:rPr>
              <w:t>COX6B1</w:t>
            </w:r>
            <w:r w:rsidRPr="00855767">
              <w:t xml:space="preserve"> in some tissues</w:t>
            </w:r>
          </w:p>
        </w:tc>
      </w:tr>
    </w:tbl>
    <w:p w14:paraId="121CC076" w14:textId="77777777" w:rsidR="00855767" w:rsidRPr="00855767" w:rsidRDefault="00855767" w:rsidP="003941E5">
      <w:pPr>
        <w:spacing w:line="360" w:lineRule="auto"/>
        <w:jc w:val="both"/>
      </w:pPr>
    </w:p>
    <w:p w14:paraId="74101FCB" w14:textId="77777777" w:rsidR="00855767" w:rsidRPr="00855767" w:rsidRDefault="00855767" w:rsidP="003941E5">
      <w:pPr>
        <w:spacing w:line="360" w:lineRule="auto"/>
        <w:jc w:val="both"/>
      </w:pPr>
    </w:p>
    <w:p w14:paraId="29A0A00A" w14:textId="77777777" w:rsidR="00855767" w:rsidRPr="00855767" w:rsidRDefault="00855767" w:rsidP="003941E5">
      <w:pPr>
        <w:spacing w:line="360" w:lineRule="auto"/>
        <w:jc w:val="both"/>
      </w:pPr>
    </w:p>
    <w:p w14:paraId="12286BB0" w14:textId="77777777" w:rsidR="00855767" w:rsidRPr="00855767" w:rsidRDefault="00855767" w:rsidP="003941E5">
      <w:pPr>
        <w:spacing w:line="360" w:lineRule="auto"/>
        <w:jc w:val="both"/>
      </w:pPr>
    </w:p>
    <w:p w14:paraId="33B8006D" w14:textId="77777777" w:rsidR="00855767" w:rsidRPr="00855767" w:rsidRDefault="00855767" w:rsidP="003941E5">
      <w:pPr>
        <w:spacing w:line="360" w:lineRule="auto"/>
        <w:jc w:val="both"/>
      </w:pPr>
    </w:p>
    <w:p w14:paraId="34F525FF" w14:textId="77777777" w:rsidR="00855767" w:rsidRPr="00855767" w:rsidRDefault="00855767" w:rsidP="003941E5">
      <w:pPr>
        <w:spacing w:line="360" w:lineRule="auto"/>
        <w:jc w:val="both"/>
      </w:pPr>
    </w:p>
    <w:p w14:paraId="3BBF7DA8" w14:textId="77777777" w:rsidR="00855767" w:rsidRPr="00855767" w:rsidRDefault="00855767" w:rsidP="003941E5">
      <w:pPr>
        <w:spacing w:line="360" w:lineRule="auto"/>
        <w:jc w:val="both"/>
      </w:pPr>
    </w:p>
    <w:p w14:paraId="3C445D97" w14:textId="77777777" w:rsidR="00855767" w:rsidRPr="00855767" w:rsidRDefault="00855767" w:rsidP="003941E5">
      <w:pPr>
        <w:spacing w:line="360" w:lineRule="auto"/>
        <w:jc w:val="both"/>
      </w:pPr>
      <w:r w:rsidRPr="00855767">
        <w:rPr>
          <w:noProof/>
        </w:rPr>
        <w:drawing>
          <wp:inline distT="0" distB="0" distL="0" distR="0" wp14:anchorId="067F9C52" wp14:editId="689CA31E">
            <wp:extent cx="4495800" cy="6218136"/>
            <wp:effectExtent l="0" t="0" r="0" b="0"/>
            <wp:docPr id="310898434" name="Picture 2" descr="A diagram of a ce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898434" name="Picture 2" descr="A diagram of a cell&#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00446" cy="6224561"/>
                    </a:xfrm>
                    <a:prstGeom prst="rect">
                      <a:avLst/>
                    </a:prstGeom>
                  </pic:spPr>
                </pic:pic>
              </a:graphicData>
            </a:graphic>
          </wp:inline>
        </w:drawing>
      </w:r>
    </w:p>
    <w:p w14:paraId="25C72F3E" w14:textId="7B369D2A" w:rsidR="00855767" w:rsidRPr="00855767" w:rsidRDefault="00855767" w:rsidP="003941E5">
      <w:pPr>
        <w:spacing w:line="360" w:lineRule="auto"/>
        <w:jc w:val="both"/>
      </w:pPr>
      <w:r w:rsidRPr="00855767">
        <w:rPr>
          <w:b/>
          <w:bCs/>
        </w:rPr>
        <w:t>Figure 6.</w:t>
      </w:r>
      <w:r w:rsidRPr="00855767">
        <w:t xml:space="preserve"> CRISPR (Clustered Regularly Interspaced Short Palindromic Repeats)-Cas9 system to target and knock out </w:t>
      </w:r>
      <w:r w:rsidRPr="00855767">
        <w:rPr>
          <w:i/>
          <w:iCs/>
        </w:rPr>
        <w:t>NDUFS1</w:t>
      </w:r>
      <w:r w:rsidRPr="00855767">
        <w:t xml:space="preserve"> gene in PDAC cells. A single guide RNA (sgRNA) direct Cas9 endonuclease enzyme to exon 2 of the NDUFS1 gene where it introduces double stranded break in DNA, leading to gene knock out. </w:t>
      </w:r>
      <w:r w:rsidRPr="00855767">
        <w:rPr>
          <w:i/>
          <w:iCs/>
        </w:rPr>
        <w:t>NDUFS1</w:t>
      </w:r>
      <w:r w:rsidRPr="00855767">
        <w:t xml:space="preserve"> encodes a core subunit for </w:t>
      </w:r>
      <w:r w:rsidRPr="00855767">
        <w:lastRenderedPageBreak/>
        <w:t xml:space="preserve">Complex I in the electron transport chain (ETC). Its loss disrupts electron flow, resulting in reduced ATP production and the accumulated reactive oxygen species (ROS). This process contributes to mitochondrial stress and enhances sensitivity of PDAC to inhibitors. This figure highlights sequential effects of gene editing from DNA targeting to mitochondrial dysfunction. </w:t>
      </w:r>
      <w:r w:rsidRPr="00855767">
        <w:rPr>
          <w:i/>
          <w:iCs/>
        </w:rPr>
        <w:t>Created using BioRender.com.</w:t>
      </w:r>
    </w:p>
    <w:p w14:paraId="656C18A4" w14:textId="77777777" w:rsidR="00855767" w:rsidRPr="00855767" w:rsidRDefault="00855767" w:rsidP="003941E5">
      <w:pPr>
        <w:spacing w:line="360" w:lineRule="auto"/>
        <w:jc w:val="both"/>
      </w:pPr>
    </w:p>
    <w:p w14:paraId="7EFA317A" w14:textId="77777777" w:rsidR="00855767" w:rsidRPr="00855767" w:rsidRDefault="00855767" w:rsidP="003941E5">
      <w:pPr>
        <w:spacing w:line="360" w:lineRule="auto"/>
        <w:jc w:val="both"/>
      </w:pPr>
    </w:p>
    <w:p w14:paraId="67D94F2D" w14:textId="00C2BC27" w:rsidR="00DF15FB" w:rsidRDefault="0023383B" w:rsidP="003941E5">
      <w:pPr>
        <w:spacing w:line="360" w:lineRule="auto"/>
        <w:jc w:val="both"/>
      </w:pPr>
      <w:bookmarkStart w:id="74" w:name="_Hlk194339832"/>
      <w:r>
        <w:t xml:space="preserve">While pharmacological inhibitors can disrupt metabolic pathways, they are restricted in terms of incomplete efficacy and compensatory mechanisms. In contrast, </w:t>
      </w:r>
      <w:r w:rsidR="00DF15FB">
        <w:t>gene editing tools such as</w:t>
      </w:r>
      <w:r w:rsidR="00855767" w:rsidRPr="00855767">
        <w:t xml:space="preserve"> CRISPR-Cas9, offer a </w:t>
      </w:r>
      <w:r w:rsidR="00DF15FB">
        <w:t>more targeted approach by directly disrupting genes essential for metabolic function</w:t>
      </w:r>
      <w:r w:rsidR="00855767" w:rsidRPr="00855767">
        <w:t xml:space="preserve">. </w:t>
      </w:r>
      <w:r w:rsidR="00DF15FB">
        <w:t xml:space="preserve">This strategy hold </w:t>
      </w:r>
      <w:r w:rsidR="00D177AE">
        <w:t>promises</w:t>
      </w:r>
      <w:r w:rsidR="00DF15FB">
        <w:t xml:space="preserve"> in PDAC where metabolic plasticity underlies treatment resistance and tumour survival</w:t>
      </w:r>
      <w:r w:rsidR="00D96BB5" w:rsidRPr="00D96BB5">
        <w:t xml:space="preserve"> </w:t>
      </w:r>
      <w:r w:rsidR="00D96BB5">
        <w:t>(S</w:t>
      </w:r>
      <w:r w:rsidR="00D96BB5" w:rsidRPr="00D96BB5">
        <w:t>ancho et al., 2015; Michl et al., 2022)</w:t>
      </w:r>
      <w:r w:rsidR="00DF15FB">
        <w:t>.</w:t>
      </w:r>
    </w:p>
    <w:p w14:paraId="4C4A4531" w14:textId="1EB9D9DD" w:rsidR="00DF15FB" w:rsidRDefault="00855767" w:rsidP="003941E5">
      <w:pPr>
        <w:spacing w:line="360" w:lineRule="auto"/>
        <w:jc w:val="both"/>
      </w:pPr>
      <w:r w:rsidRPr="00855767">
        <w:t>Recent studies have shown that CRISPR-mediated knockouts of OXPHOS-related genes</w:t>
      </w:r>
      <w:r w:rsidR="00972817">
        <w:t xml:space="preserve"> </w:t>
      </w:r>
      <w:r w:rsidRPr="00855767">
        <w:t xml:space="preserve">can impair mitochondrial function and sensitise PDAC cells to metabolic stress (Michl et al., 2022; Chen et al., 2023) (Table 6). </w:t>
      </w:r>
    </w:p>
    <w:p w14:paraId="2C7DDF35" w14:textId="3282F803" w:rsidR="00855767" w:rsidRDefault="00855767" w:rsidP="003941E5">
      <w:pPr>
        <w:spacing w:line="360" w:lineRule="auto"/>
        <w:jc w:val="both"/>
      </w:pPr>
      <w:r w:rsidRPr="00855767">
        <w:t xml:space="preserve">When glycolysis is already suppressed, the knockout of </w:t>
      </w:r>
      <w:r w:rsidRPr="00855767">
        <w:rPr>
          <w:i/>
          <w:iCs/>
        </w:rPr>
        <w:t>NDUFS1</w:t>
      </w:r>
      <w:r w:rsidRPr="00855767">
        <w:t xml:space="preserve"> results in immediate ATP depletion in cancer cells, thereby increasing ROS and oxidative stress (Michl et al., 2022). This mechanism is visually summarised in Figure 6, which illustrates CRISPR-Cas9 mediated knockout of NDUFS1 leading to mitochondrial dysfunction, ATP depletion and ROS accumulation. </w:t>
      </w:r>
      <w:r w:rsidR="00FC58A9">
        <w:t>These effects are more pronounced when glycolysis is simultaneously inhibited, as cells are unable to switch energy pathways under dual blockade</w:t>
      </w:r>
      <w:r w:rsidR="00D96BB5" w:rsidRPr="00D96BB5">
        <w:t xml:space="preserve"> </w:t>
      </w:r>
      <w:r w:rsidR="00D96BB5">
        <w:t>(</w:t>
      </w:r>
      <w:r w:rsidR="00D96BB5" w:rsidRPr="00D96BB5">
        <w:t>Moir et al., 2020</w:t>
      </w:r>
      <w:r w:rsidR="004D051C">
        <w:t>)</w:t>
      </w:r>
      <w:r w:rsidR="00FC58A9">
        <w:t>.</w:t>
      </w:r>
      <w:r w:rsidRPr="00855767">
        <w:t xml:space="preserve"> </w:t>
      </w:r>
    </w:p>
    <w:p w14:paraId="0903E8AA" w14:textId="61FC0559" w:rsidR="00FC58A9" w:rsidRPr="00855767" w:rsidRDefault="00FC58A9" w:rsidP="003941E5">
      <w:pPr>
        <w:spacing w:line="360" w:lineRule="auto"/>
        <w:jc w:val="both"/>
      </w:pPr>
      <w:r>
        <w:t xml:space="preserve">Supporting data </w:t>
      </w:r>
      <w:r w:rsidR="00964E05">
        <w:t xml:space="preserve">from preclinical models confirm that </w:t>
      </w:r>
      <w:r w:rsidR="00964E05" w:rsidRPr="00D177AE">
        <w:t>NDUFS1 knockout significantly sensitises cancer cells to metabolic stress</w:t>
      </w:r>
      <w:r w:rsidR="00251640">
        <w:rPr>
          <w:i/>
          <w:iCs/>
        </w:rPr>
        <w:t xml:space="preserve"> </w:t>
      </w:r>
      <w:r w:rsidR="00251640" w:rsidRPr="00855767">
        <w:t>(Chen et al., 2023</w:t>
      </w:r>
      <w:r w:rsidR="001B49CD" w:rsidRPr="00855767">
        <w:t>).</w:t>
      </w:r>
      <w:r w:rsidR="001B49CD">
        <w:t xml:space="preserve"> Other</w:t>
      </w:r>
      <w:r w:rsidR="00575C76">
        <w:t xml:space="preserve"> targets such as </w:t>
      </w:r>
      <w:r w:rsidR="000524DD" w:rsidRPr="000524DD">
        <w:rPr>
          <w:i/>
          <w:iCs/>
        </w:rPr>
        <w:t>SDHA</w:t>
      </w:r>
      <w:r w:rsidR="000524DD" w:rsidRPr="000524DD">
        <w:t xml:space="preserve"> (Complex II) and </w:t>
      </w:r>
      <w:r w:rsidR="000524DD" w:rsidRPr="000524DD">
        <w:rPr>
          <w:i/>
          <w:iCs/>
        </w:rPr>
        <w:t>COX6B2</w:t>
      </w:r>
      <w:r w:rsidR="000524DD" w:rsidRPr="000524DD">
        <w:t xml:space="preserve"> (Complex IV),</w:t>
      </w:r>
      <w:r w:rsidR="000524DD">
        <w:t xml:space="preserve"> also impairs ETC function but their downstream positions allow metabolic bypass or partial compensation</w:t>
      </w:r>
      <w:r w:rsidR="00D96BB5" w:rsidRPr="00D96BB5">
        <w:t xml:space="preserve"> </w:t>
      </w:r>
      <w:r w:rsidR="00D96BB5">
        <w:t>(</w:t>
      </w:r>
      <w:r w:rsidR="00D96BB5" w:rsidRPr="00D96BB5">
        <w:t>Michl et al., 2022</w:t>
      </w:r>
      <w:r w:rsidR="00D96BB5">
        <w:t>)</w:t>
      </w:r>
      <w:r w:rsidR="000524DD">
        <w:t xml:space="preserve">. </w:t>
      </w:r>
      <w:r w:rsidR="008466A1">
        <w:t xml:space="preserve">Consequently, </w:t>
      </w:r>
      <w:r w:rsidR="008466A1" w:rsidRPr="00855767">
        <w:t>NDUFS</w:t>
      </w:r>
      <w:r w:rsidR="000524DD" w:rsidRPr="00855767">
        <w:rPr>
          <w:i/>
          <w:iCs/>
        </w:rPr>
        <w:t>1</w:t>
      </w:r>
      <w:r w:rsidR="000524DD" w:rsidRPr="00855767">
        <w:t xml:space="preserve"> </w:t>
      </w:r>
      <w:r w:rsidR="001B49CD">
        <w:t>stand</w:t>
      </w:r>
      <w:r w:rsidR="0032402A">
        <w:t>s</w:t>
      </w:r>
      <w:r w:rsidR="00F55034">
        <w:t xml:space="preserve"> out for its ability to collapse ETC at its initiation point</w:t>
      </w:r>
      <w:r w:rsidR="000524DD" w:rsidRPr="00855767">
        <w:t xml:space="preserve">, </w:t>
      </w:r>
      <w:r w:rsidR="008466A1">
        <w:t xml:space="preserve">making it an </w:t>
      </w:r>
      <w:r w:rsidR="000524DD" w:rsidRPr="00855767">
        <w:t>effective and optimal target</w:t>
      </w:r>
      <w:r w:rsidR="008466A1">
        <w:t xml:space="preserve"> for CRISPR-based interventions</w:t>
      </w:r>
      <w:r w:rsidR="000524DD" w:rsidRPr="00855767">
        <w:t xml:space="preserve"> among all the listed genes (Chen et al., 2023).</w:t>
      </w:r>
    </w:p>
    <w:p w14:paraId="73E8C459" w14:textId="156BFCC2" w:rsidR="00855767" w:rsidRDefault="00855767" w:rsidP="003941E5">
      <w:pPr>
        <w:spacing w:line="360" w:lineRule="auto"/>
        <w:jc w:val="both"/>
      </w:pPr>
      <w:r w:rsidRPr="00855767">
        <w:t xml:space="preserve">However, CRISPR alone is insufficient to prevent metabolic compensation, as tumours reactivate alternative pathways or rely on microenvironmental support to sustain energy production (Sancho et al., 2015; Alcalá et al., 2020). </w:t>
      </w:r>
      <w:r w:rsidR="0019167F">
        <w:t xml:space="preserve">Moreover, the delivery </w:t>
      </w:r>
      <w:r w:rsidR="008A58B9">
        <w:t>of CRISPR</w:t>
      </w:r>
      <w:r w:rsidR="0019167F">
        <w:t xml:space="preserve"> </w:t>
      </w:r>
      <w:r w:rsidR="00161945">
        <w:t>to PDAC cells remains a challenge, requiring tumour-specific vectors to avoid off-target effects and immune responses</w:t>
      </w:r>
      <w:r w:rsidR="00AF0994" w:rsidRPr="00AF0994">
        <w:t xml:space="preserve"> (Rasul et al., 2022)</w:t>
      </w:r>
      <w:r w:rsidR="00161945">
        <w:t>.</w:t>
      </w:r>
      <w:r w:rsidR="00161945" w:rsidRPr="00855767">
        <w:t xml:space="preserve"> </w:t>
      </w:r>
      <w:r w:rsidR="008A58B9">
        <w:t xml:space="preserve">To overcome these limitations, </w:t>
      </w:r>
      <w:r w:rsidRPr="00855767">
        <w:t>dual-targeting approach</w:t>
      </w:r>
      <w:r w:rsidR="008A58B9">
        <w:t>es are being explored</w:t>
      </w:r>
      <w:r w:rsidR="00D96BB5" w:rsidRPr="00D96BB5">
        <w:t xml:space="preserve"> </w:t>
      </w:r>
      <w:r w:rsidR="00D96BB5">
        <w:t>(</w:t>
      </w:r>
      <w:r w:rsidR="00D96BB5" w:rsidRPr="00D96BB5">
        <w:t>Moir et al., 2020</w:t>
      </w:r>
      <w:r w:rsidR="00AF0994">
        <w:t>)</w:t>
      </w:r>
      <w:r w:rsidR="008A58B9">
        <w:t xml:space="preserve">. For </w:t>
      </w:r>
      <w:r w:rsidR="00CD1788">
        <w:t>instance,</w:t>
      </w:r>
      <w:r w:rsidR="008A58B9">
        <w:t xml:space="preserve"> combining</w:t>
      </w:r>
      <w:r w:rsidR="00474B32">
        <w:t xml:space="preserve"> </w:t>
      </w:r>
      <w:r w:rsidR="00474B32" w:rsidRPr="00D177AE">
        <w:rPr>
          <w:i/>
          <w:iCs/>
        </w:rPr>
        <w:t>NDUFS1</w:t>
      </w:r>
      <w:r w:rsidR="00474B32">
        <w:t xml:space="preserve"> </w:t>
      </w:r>
      <w:r w:rsidR="00CD1788">
        <w:t>knockout</w:t>
      </w:r>
      <w:r w:rsidR="00474B32">
        <w:t xml:space="preserve"> with glycolytic inhibitors such as FX-11 has shown </w:t>
      </w:r>
      <w:r w:rsidR="00CD1788">
        <w:t>enhanced tumour suppression in vivo and vitro</w:t>
      </w:r>
      <w:r w:rsidR="00CD1788" w:rsidRPr="00CD1788">
        <w:t xml:space="preserve"> (Sancho et al., 2015; Moir et al., 2020)</w:t>
      </w:r>
      <w:r w:rsidRPr="00855767">
        <w:t xml:space="preserve">. </w:t>
      </w:r>
      <w:r w:rsidR="00CD1788">
        <w:t xml:space="preserve">This integrative approach aims to block both pathways simultaneously </w:t>
      </w:r>
      <w:r w:rsidR="005D09E7">
        <w:t>forcing tumour cells into metabolic collapse.</w:t>
      </w:r>
    </w:p>
    <w:p w14:paraId="52B1CAD8" w14:textId="6B85A983" w:rsidR="005D09E7" w:rsidRPr="00855767" w:rsidRDefault="005D09E7" w:rsidP="003941E5">
      <w:pPr>
        <w:spacing w:line="360" w:lineRule="auto"/>
        <w:jc w:val="both"/>
      </w:pPr>
      <w:r>
        <w:lastRenderedPageBreak/>
        <w:t xml:space="preserve">To sum up, CRISPR based targeting of mitochondrial genes particularly NDUFS1, provides a highly specific and potent strategy to undermine PDAC metabolism. </w:t>
      </w:r>
      <w:r w:rsidR="001B49CD">
        <w:t>When integrated with pharmacological inhibitors of glycolysis, this dual modality holds strong potential overcoming resistance and improving therapeutic outcomes.</w:t>
      </w:r>
    </w:p>
    <w:p w14:paraId="43C19134" w14:textId="77777777" w:rsidR="00855767" w:rsidRPr="00855767" w:rsidRDefault="00855767" w:rsidP="003941E5">
      <w:pPr>
        <w:spacing w:line="360" w:lineRule="auto"/>
        <w:jc w:val="both"/>
      </w:pPr>
    </w:p>
    <w:p w14:paraId="73EC4FEE" w14:textId="77777777" w:rsidR="00855767" w:rsidRPr="00855767" w:rsidRDefault="00855767" w:rsidP="003941E5">
      <w:pPr>
        <w:spacing w:line="360" w:lineRule="auto"/>
        <w:jc w:val="both"/>
      </w:pPr>
    </w:p>
    <w:bookmarkEnd w:id="74"/>
    <w:p w14:paraId="7716F693" w14:textId="77777777" w:rsidR="00855767" w:rsidRPr="00855767" w:rsidRDefault="00855767" w:rsidP="003941E5">
      <w:pPr>
        <w:spacing w:line="360" w:lineRule="auto"/>
        <w:jc w:val="both"/>
      </w:pPr>
    </w:p>
    <w:p w14:paraId="46FE5A97" w14:textId="1887A222" w:rsidR="00855767" w:rsidRPr="00855767" w:rsidRDefault="00855767" w:rsidP="003941E5">
      <w:pPr>
        <w:pStyle w:val="Heading2"/>
        <w:spacing w:line="360" w:lineRule="auto"/>
        <w:jc w:val="both"/>
        <w:rPr>
          <w:rFonts w:ascii="Arial" w:hAnsi="Arial" w:cs="Arial"/>
          <w:sz w:val="22"/>
          <w:szCs w:val="22"/>
        </w:rPr>
      </w:pPr>
      <w:bookmarkStart w:id="75" w:name="_Toc194120297"/>
      <w:bookmarkStart w:id="76" w:name="_Toc194180679"/>
      <w:bookmarkStart w:id="77" w:name="_Toc194182197"/>
      <w:r w:rsidRPr="00855767">
        <w:rPr>
          <w:rFonts w:ascii="Arial" w:hAnsi="Arial" w:cs="Arial"/>
          <w:sz w:val="22"/>
          <w:szCs w:val="22"/>
        </w:rPr>
        <w:t>6. Discussion</w:t>
      </w:r>
      <w:bookmarkEnd w:id="75"/>
      <w:bookmarkEnd w:id="76"/>
      <w:bookmarkEnd w:id="77"/>
      <w:r w:rsidR="00E36595">
        <w:rPr>
          <w:rFonts w:ascii="Arial" w:hAnsi="Arial" w:cs="Arial"/>
          <w:sz w:val="22"/>
          <w:szCs w:val="22"/>
        </w:rPr>
        <w:t xml:space="preserve"> 468</w:t>
      </w:r>
    </w:p>
    <w:p w14:paraId="67CBF4A5" w14:textId="396B5CCC" w:rsidR="00855767" w:rsidRPr="00855767" w:rsidRDefault="00301E97" w:rsidP="003941E5">
      <w:pPr>
        <w:spacing w:line="360" w:lineRule="auto"/>
        <w:jc w:val="both"/>
      </w:pPr>
      <w:bookmarkStart w:id="78" w:name="_Hlk194339879"/>
      <w:r>
        <w:t>P</w:t>
      </w:r>
      <w:r w:rsidR="00855767" w:rsidRPr="00855767">
        <w:t>ancreatic ductal adenocarcinoma (PDAC), exhibit significant metabolic plasticity, allowing cells to switch between glycolysis and oxidative phosphorylation pathways in fluctuating environmental conditions and therapeutic pressures</w:t>
      </w:r>
      <w:r w:rsidR="00D96BB5" w:rsidRPr="00D96BB5">
        <w:rPr>
          <w:b/>
          <w:bCs/>
        </w:rPr>
        <w:t xml:space="preserve"> </w:t>
      </w:r>
      <w:r w:rsidR="00D96BB5" w:rsidRPr="007475AF">
        <w:t>(Dong et al., 2022)</w:t>
      </w:r>
      <w:r w:rsidR="00D96BB5" w:rsidRPr="00D96BB5">
        <w:t>.</w:t>
      </w:r>
      <w:r w:rsidR="00855767" w:rsidRPr="00855767">
        <w:t xml:space="preserve"> This flexibility underpins the therapeutic resistance observed in many cancer treatments, particularly those targeting single metabolic pathways</w:t>
      </w:r>
      <w:r w:rsidR="00CA276E">
        <w:t xml:space="preserve">. </w:t>
      </w:r>
      <w:r w:rsidR="00855767" w:rsidRPr="00855767">
        <w:t>Aisu et al. (2024</w:t>
      </w:r>
      <w:r w:rsidR="00D177AE">
        <w:t>)</w:t>
      </w:r>
      <w:r w:rsidR="00CA276E">
        <w:t xml:space="preserve"> demonstrated </w:t>
      </w:r>
      <w:r w:rsidR="00855767" w:rsidRPr="00855767">
        <w:t xml:space="preserve">a dual inhibition on glycolysis and OXPHOS, </w:t>
      </w:r>
      <w:r w:rsidR="00443FC5">
        <w:t xml:space="preserve">achieved </w:t>
      </w:r>
      <w:r w:rsidR="00855767" w:rsidRPr="00855767">
        <w:t>synergistic antitumour effect in colorectal and gastric cancer cells, suggesting its applicability to PDAC, which share similar metabolic flexibility</w:t>
      </w:r>
      <w:r w:rsidR="00D177AE">
        <w:t>.</w:t>
      </w:r>
    </w:p>
    <w:p w14:paraId="167541D3" w14:textId="4665048E" w:rsidR="00855767" w:rsidRPr="00855767" w:rsidRDefault="00443FC5" w:rsidP="003941E5">
      <w:pPr>
        <w:spacing w:line="360" w:lineRule="auto"/>
        <w:jc w:val="both"/>
      </w:pPr>
      <w:r>
        <w:t xml:space="preserve">Among potential </w:t>
      </w:r>
      <w:r w:rsidR="00855767" w:rsidRPr="00855767">
        <w:t>OXPHOS target</w:t>
      </w:r>
      <w:r>
        <w:t>s,</w:t>
      </w:r>
      <w:r w:rsidR="00855767" w:rsidRPr="00855767">
        <w:t xml:space="preserve"> </w:t>
      </w:r>
      <w:r w:rsidR="00855767" w:rsidRPr="00855767">
        <w:rPr>
          <w:i/>
          <w:iCs/>
        </w:rPr>
        <w:t>NDUFS1</w:t>
      </w:r>
      <w:r w:rsidR="00855767" w:rsidRPr="00855767">
        <w:t>, a core unit of Complex I in the ETC</w:t>
      </w:r>
      <w:r>
        <w:t xml:space="preserve"> stands out for its strategic role</w:t>
      </w:r>
      <w:r w:rsidR="00855767" w:rsidRPr="00855767">
        <w:t xml:space="preserve"> in initiating ETC, making it an ideal target for OXPHOS inhibition</w:t>
      </w:r>
      <w:r w:rsidR="00D96BB5" w:rsidRPr="00D96BB5">
        <w:t xml:space="preserve"> </w:t>
      </w:r>
      <w:r w:rsidR="00D96BB5">
        <w:t>(C</w:t>
      </w:r>
      <w:r w:rsidR="00D96BB5" w:rsidRPr="00D96BB5">
        <w:t>hen et al., 2023</w:t>
      </w:r>
      <w:r w:rsidR="00D96BB5">
        <w:t>)</w:t>
      </w:r>
      <w:r w:rsidR="00855767" w:rsidRPr="00855767">
        <w:t xml:space="preserve">. </w:t>
      </w:r>
      <w:r>
        <w:t>Its disruption leads to ATP depletion and ROS accumulation, triggering mi</w:t>
      </w:r>
      <w:r w:rsidR="00617E2F">
        <w:t>tochondrial dysfunction and cancer cell death (</w:t>
      </w:r>
      <w:r w:rsidR="00855767" w:rsidRPr="00855767">
        <w:t>Chen et al.</w:t>
      </w:r>
      <w:r w:rsidR="00617E2F">
        <w:t xml:space="preserve">, </w:t>
      </w:r>
      <w:r w:rsidR="00855767" w:rsidRPr="00855767">
        <w:t>2023)</w:t>
      </w:r>
      <w:r w:rsidR="000808A7">
        <w:t xml:space="preserve">. </w:t>
      </w:r>
      <w:r w:rsidR="00855767" w:rsidRPr="00855767">
        <w:t>The inhibition of the gene not only disrupts ATP production but also induces oxidative stress, which is a powerful strategy to sensitise cancer cells to glycolytic inhibition</w:t>
      </w:r>
      <w:r w:rsidR="00D96BB5" w:rsidRPr="00D96BB5">
        <w:t xml:space="preserve"> </w:t>
      </w:r>
      <w:r w:rsidR="00D96BB5">
        <w:t>(</w:t>
      </w:r>
      <w:r w:rsidR="00D96BB5" w:rsidRPr="00D96BB5">
        <w:t>Moir et al., 2020</w:t>
      </w:r>
      <w:r w:rsidR="00D96BB5">
        <w:t>)</w:t>
      </w:r>
      <w:r w:rsidR="00855767" w:rsidRPr="00855767">
        <w:t xml:space="preserve">. Targeting </w:t>
      </w:r>
      <w:r w:rsidR="00855767" w:rsidRPr="00855767">
        <w:rPr>
          <w:i/>
          <w:iCs/>
        </w:rPr>
        <w:t>NDUFS1</w:t>
      </w:r>
      <w:r w:rsidR="00855767" w:rsidRPr="00855767">
        <w:t xml:space="preserve"> can have a more immediate and profound effect on mitochondrial function compared to other OXPHOS targets, such as </w:t>
      </w:r>
      <w:r w:rsidR="00855767" w:rsidRPr="00855767">
        <w:rPr>
          <w:i/>
          <w:iCs/>
        </w:rPr>
        <w:t xml:space="preserve">SDHA </w:t>
      </w:r>
      <w:r w:rsidR="00855767" w:rsidRPr="00855767">
        <w:t xml:space="preserve">and </w:t>
      </w:r>
      <w:r w:rsidR="00855767" w:rsidRPr="00855767">
        <w:rPr>
          <w:i/>
          <w:iCs/>
        </w:rPr>
        <w:t>COX6B2</w:t>
      </w:r>
      <w:r w:rsidR="00855767" w:rsidRPr="00855767">
        <w:t>, which may allow some compensation through different pathways</w:t>
      </w:r>
      <w:r w:rsidR="00D96BB5" w:rsidRPr="00D96BB5">
        <w:rPr>
          <w:b/>
          <w:bCs/>
        </w:rPr>
        <w:t xml:space="preserve"> </w:t>
      </w:r>
      <w:r w:rsidR="00D96BB5" w:rsidRPr="00D96BB5">
        <w:t>(Michl et al., 2022)</w:t>
      </w:r>
      <w:r w:rsidR="00855767" w:rsidRPr="00D96BB5">
        <w:t>.</w:t>
      </w:r>
      <w:r w:rsidR="00855767" w:rsidRPr="00855767">
        <w:t xml:space="preserve"> Therefore, </w:t>
      </w:r>
      <w:r w:rsidR="00855767" w:rsidRPr="00855767">
        <w:rPr>
          <w:i/>
          <w:iCs/>
        </w:rPr>
        <w:t>NDUFS1</w:t>
      </w:r>
      <w:r w:rsidR="00855767" w:rsidRPr="00855767">
        <w:t xml:space="preserve"> stands out as a critical and practical target for combination therapies aimed to disrupt both glycolysis and OXPHOS, which could maximise tumour cell death. </w:t>
      </w:r>
    </w:p>
    <w:p w14:paraId="2508EAC9" w14:textId="4D7C075E" w:rsidR="00912C78" w:rsidRDefault="00007975" w:rsidP="003941E5">
      <w:pPr>
        <w:spacing w:line="360" w:lineRule="auto"/>
        <w:jc w:val="both"/>
      </w:pPr>
      <w:r>
        <w:t xml:space="preserve">This strategy becomes even more effective when paired with </w:t>
      </w:r>
      <w:r w:rsidR="00855767" w:rsidRPr="00855767">
        <w:t>glycolytic inhibitors</w:t>
      </w:r>
      <w:r>
        <w:t xml:space="preserve"> such as</w:t>
      </w:r>
      <w:r w:rsidR="00855767" w:rsidRPr="00855767">
        <w:t xml:space="preserve"> FX-11</w:t>
      </w:r>
      <w:r w:rsidR="00F71CC2">
        <w:t xml:space="preserve">, </w:t>
      </w:r>
      <w:r w:rsidR="004C3D5C">
        <w:t xml:space="preserve">which </w:t>
      </w:r>
      <w:r w:rsidR="00855767" w:rsidRPr="00855767">
        <w:t>block</w:t>
      </w:r>
      <w:r w:rsidR="004C3D5C">
        <w:t>s</w:t>
      </w:r>
      <w:r w:rsidR="00855767" w:rsidRPr="00855767">
        <w:t xml:space="preserve"> lactate production and forc</w:t>
      </w:r>
      <w:r w:rsidR="004C3D5C">
        <w:t>e</w:t>
      </w:r>
      <w:r w:rsidR="00855767" w:rsidRPr="00855767">
        <w:t xml:space="preserve"> cells to rely </w:t>
      </w:r>
      <w:r w:rsidR="004C3D5C" w:rsidRPr="00855767">
        <w:t>on</w:t>
      </w:r>
      <w:r w:rsidR="004C3D5C">
        <w:t xml:space="preserve"> mitochondrial respiration</w:t>
      </w:r>
      <w:r w:rsidR="00855767" w:rsidRPr="00855767">
        <w:t xml:space="preserve">. </w:t>
      </w:r>
      <w:r w:rsidR="00AC2C8F">
        <w:t>The d</w:t>
      </w:r>
      <w:r w:rsidR="00D7290D">
        <w:t>ual metabolic inhibition created by inhibiting both pathways has demonstrated synergistic effects in preclinical models</w:t>
      </w:r>
      <w:r w:rsidR="00BC6803" w:rsidRPr="00BC6803">
        <w:t xml:space="preserve"> (Le et al., 2010</w:t>
      </w:r>
      <w:r w:rsidR="00FA6E15">
        <w:t>)</w:t>
      </w:r>
      <w:r w:rsidR="00BC6803">
        <w:t>. However, compounds like</w:t>
      </w:r>
      <w:r w:rsidR="00855767" w:rsidRPr="00855767">
        <w:t xml:space="preserve"> FX-11 and 3-BrPA </w:t>
      </w:r>
      <w:r w:rsidR="00BC6803">
        <w:t xml:space="preserve">pose toxicity concerns including </w:t>
      </w:r>
      <w:r w:rsidR="00855767" w:rsidRPr="00855767">
        <w:t xml:space="preserve">their off-target effects </w:t>
      </w:r>
      <w:r w:rsidR="00912C78">
        <w:t xml:space="preserve">on healthy tissues and potential cardiotoxicity </w:t>
      </w:r>
      <w:r w:rsidR="00855767" w:rsidRPr="00855767">
        <w:t xml:space="preserve">(Chapiro et al., 2014). </w:t>
      </w:r>
      <w:r w:rsidR="00912C78">
        <w:t>These challenges emphasise the need for more targeted delivery strategies</w:t>
      </w:r>
      <w:r w:rsidR="00D96BB5" w:rsidRPr="00D96BB5">
        <w:rPr>
          <w:b/>
          <w:bCs/>
        </w:rPr>
        <w:t xml:space="preserve"> </w:t>
      </w:r>
      <w:r w:rsidR="00D96BB5" w:rsidRPr="007475AF">
        <w:t>(Wu et al., 2024)</w:t>
      </w:r>
      <w:r w:rsidR="00912C78" w:rsidRPr="007475AF">
        <w:t>.</w:t>
      </w:r>
    </w:p>
    <w:p w14:paraId="2B6AF400" w14:textId="525C8A22" w:rsidR="00855767" w:rsidRPr="00855767" w:rsidRDefault="00855767" w:rsidP="003941E5">
      <w:pPr>
        <w:spacing w:line="360" w:lineRule="auto"/>
        <w:jc w:val="both"/>
      </w:pPr>
      <w:r w:rsidRPr="00855767">
        <w:t xml:space="preserve">To mitigate these risks, advanced drug delivery systems, such as lipid nanoparticles or exosome-mediated delivery, need to be </w:t>
      </w:r>
      <w:r w:rsidR="000D3A71" w:rsidRPr="00855767">
        <w:t xml:space="preserve">integrated </w:t>
      </w:r>
      <w:r w:rsidR="000D3A71">
        <w:t>to</w:t>
      </w:r>
      <w:r w:rsidR="00912C78">
        <w:t xml:space="preserve"> improve </w:t>
      </w:r>
      <w:r w:rsidR="00D177AE">
        <w:t>precision</w:t>
      </w:r>
      <w:r w:rsidR="00D177AE" w:rsidRPr="00855767">
        <w:t xml:space="preserve"> (</w:t>
      </w:r>
      <w:r w:rsidRPr="00855767">
        <w:t>Wu et al., 2024).</w:t>
      </w:r>
    </w:p>
    <w:p w14:paraId="480AF267" w14:textId="65CAC8F4" w:rsidR="00BC3CD3" w:rsidRDefault="00855767" w:rsidP="003941E5">
      <w:pPr>
        <w:spacing w:line="360" w:lineRule="auto"/>
        <w:jc w:val="both"/>
      </w:pPr>
      <w:r w:rsidRPr="00855767">
        <w:lastRenderedPageBreak/>
        <w:t xml:space="preserve">Exosome-based systems </w:t>
      </w:r>
      <w:r w:rsidR="000D3A71">
        <w:t>show</w:t>
      </w:r>
      <w:r w:rsidR="009059AE">
        <w:t xml:space="preserve"> promise for delivering metabolic inhibitors</w:t>
      </w:r>
      <w:r w:rsidRPr="00855767">
        <w:t xml:space="preserve"> </w:t>
      </w:r>
      <w:r w:rsidR="009059AE">
        <w:t xml:space="preserve">and CRISPR components directly </w:t>
      </w:r>
      <w:r w:rsidRPr="00855767">
        <w:t xml:space="preserve">to PDAC cells, reducing the systemic toxicity while increasing their efficacy within the tumour microenvironment (Kim et al., 2023). Moreover, </w:t>
      </w:r>
      <w:r w:rsidR="006605D9" w:rsidRPr="006605D9">
        <w:t>Michl et al. (2022)</w:t>
      </w:r>
      <w:r w:rsidR="006605D9">
        <w:t xml:space="preserve"> further validated</w:t>
      </w:r>
      <w:r w:rsidR="006605D9" w:rsidRPr="006605D9">
        <w:rPr>
          <w:i/>
          <w:iCs/>
        </w:rPr>
        <w:t xml:space="preserve"> </w:t>
      </w:r>
      <w:r w:rsidR="006605D9" w:rsidRPr="00855767">
        <w:rPr>
          <w:i/>
          <w:iCs/>
        </w:rPr>
        <w:t>NDUFS1</w:t>
      </w:r>
      <w:r w:rsidR="006605D9">
        <w:t xml:space="preserve"> as a CRISPR target in PDAC showing </w:t>
      </w:r>
      <w:r w:rsidR="00BC3CD3">
        <w:t xml:space="preserve">that its knockout </w:t>
      </w:r>
      <w:r w:rsidRPr="00855767">
        <w:t>resulted in disrupted mitochondrial function, increased ROS production and cell death.</w:t>
      </w:r>
    </w:p>
    <w:p w14:paraId="4284788D" w14:textId="66335AC4" w:rsidR="00BC3CD3" w:rsidRPr="00855767" w:rsidRDefault="00855767" w:rsidP="003941E5">
      <w:pPr>
        <w:spacing w:line="360" w:lineRule="auto"/>
        <w:jc w:val="both"/>
      </w:pPr>
      <w:r w:rsidRPr="00855767">
        <w:t xml:space="preserve"> Additionally, exosome-mediated CRISPR delivery has proven effective in targeting oncogenes, such as </w:t>
      </w:r>
      <w:r w:rsidRPr="00855767">
        <w:rPr>
          <w:i/>
          <w:iCs/>
        </w:rPr>
        <w:t>KRASG12D</w:t>
      </w:r>
      <w:r w:rsidRPr="00855767">
        <w:t>, leading to tumour regression and inhibition of oncogenic signalling pathways</w:t>
      </w:r>
      <w:r w:rsidR="00D96BB5" w:rsidRPr="00D96BB5">
        <w:t xml:space="preserve"> </w:t>
      </w:r>
      <w:r w:rsidR="00D96BB5">
        <w:t>(</w:t>
      </w:r>
      <w:r w:rsidR="00D96BB5" w:rsidRPr="00D96BB5">
        <w:t>Li et al., 2023</w:t>
      </w:r>
      <w:r w:rsidR="00D96BB5">
        <w:t>)</w:t>
      </w:r>
      <w:r w:rsidRPr="00855767">
        <w:t>. However, permanent CRISPR knock out may also trigger compensatory activation of alternate ETC subunits or stress pathways</w:t>
      </w:r>
      <w:r w:rsidR="00D96BB5" w:rsidRPr="00D96BB5">
        <w:t xml:space="preserve"> </w:t>
      </w:r>
      <w:r w:rsidR="00D96BB5">
        <w:t>(</w:t>
      </w:r>
      <w:r w:rsidR="00D96BB5" w:rsidRPr="00D96BB5">
        <w:t>Alcalá et al., 2020</w:t>
      </w:r>
      <w:r w:rsidR="00D96BB5">
        <w:t>)</w:t>
      </w:r>
      <w:r w:rsidRPr="00855767">
        <w:t xml:space="preserve">. </w:t>
      </w:r>
      <w:r w:rsidR="00BC3CD3">
        <w:t>To</w:t>
      </w:r>
      <w:r w:rsidR="00BC3CD3" w:rsidRPr="00855767">
        <w:t xml:space="preserve"> mitigate </w:t>
      </w:r>
      <w:r w:rsidR="00BC3CD3">
        <w:t xml:space="preserve">such risks, </w:t>
      </w:r>
      <w:r w:rsidR="00645BB3">
        <w:t>gene editing tools such as base editing or prime editing are being developed to enhance specificity and minimise genotoxicity</w:t>
      </w:r>
      <w:r w:rsidR="00AF0994">
        <w:t xml:space="preserve"> </w:t>
      </w:r>
      <w:r w:rsidR="00AF0994" w:rsidRPr="00AF0994">
        <w:t>(Carlaw, Zhang and Ross, 2020)</w:t>
      </w:r>
      <w:r w:rsidR="00D96BB5" w:rsidRPr="00D96BB5">
        <w:t>.</w:t>
      </w:r>
    </w:p>
    <w:p w14:paraId="34A90C6D" w14:textId="085232BE" w:rsidR="00855767" w:rsidRPr="00855767" w:rsidRDefault="007440A8" w:rsidP="003941E5">
      <w:pPr>
        <w:spacing w:line="360" w:lineRule="auto"/>
        <w:jc w:val="both"/>
      </w:pPr>
      <w:r>
        <w:t xml:space="preserve">In summary, while dual targeting of metabolic pathways offers a therapeutic potential for PDAC, its success depends on optimising delivery methods and limiting off-target effects. </w:t>
      </w:r>
      <w:r w:rsidR="000A1B22">
        <w:t>CRISPR-Cas9 mediated targeting of NDUFS1 combined with glycolytic inhibition with FX-11 represents a highly promising strategy to overcome metabolic resistance and improve clinical outcomes.</w:t>
      </w:r>
    </w:p>
    <w:p w14:paraId="544E7EB3" w14:textId="7627AEA8" w:rsidR="00855767" w:rsidRPr="00855767" w:rsidRDefault="00855767" w:rsidP="003941E5">
      <w:pPr>
        <w:pStyle w:val="Heading2"/>
        <w:spacing w:line="360" w:lineRule="auto"/>
        <w:jc w:val="both"/>
        <w:rPr>
          <w:rFonts w:ascii="Arial" w:hAnsi="Arial" w:cs="Arial"/>
          <w:sz w:val="22"/>
          <w:szCs w:val="22"/>
        </w:rPr>
      </w:pPr>
      <w:bookmarkStart w:id="79" w:name="_adi77luv4g32" w:colFirst="0" w:colLast="0"/>
      <w:bookmarkStart w:id="80" w:name="_Toc194120298"/>
      <w:bookmarkStart w:id="81" w:name="_Toc194180680"/>
      <w:bookmarkStart w:id="82" w:name="_Toc194182198"/>
      <w:bookmarkEnd w:id="79"/>
      <w:r w:rsidRPr="00855767">
        <w:rPr>
          <w:rFonts w:ascii="Arial" w:hAnsi="Arial" w:cs="Arial"/>
          <w:sz w:val="22"/>
          <w:szCs w:val="22"/>
        </w:rPr>
        <w:t>7. Conclusion</w:t>
      </w:r>
      <w:bookmarkEnd w:id="80"/>
      <w:bookmarkEnd w:id="81"/>
      <w:bookmarkEnd w:id="82"/>
      <w:r w:rsidRPr="00855767">
        <w:rPr>
          <w:rFonts w:ascii="Arial" w:hAnsi="Arial" w:cs="Arial"/>
          <w:sz w:val="22"/>
          <w:szCs w:val="22"/>
        </w:rPr>
        <w:t xml:space="preserve"> </w:t>
      </w:r>
      <w:r w:rsidR="00E36595">
        <w:rPr>
          <w:rFonts w:ascii="Arial" w:hAnsi="Arial" w:cs="Arial"/>
          <w:sz w:val="22"/>
          <w:szCs w:val="22"/>
        </w:rPr>
        <w:t xml:space="preserve"> 108</w:t>
      </w:r>
    </w:p>
    <w:p w14:paraId="625F6F58" w14:textId="14D73CCA" w:rsidR="00855767" w:rsidRPr="00855767" w:rsidRDefault="00855767" w:rsidP="003941E5">
      <w:pPr>
        <w:spacing w:line="360" w:lineRule="auto"/>
        <w:jc w:val="both"/>
      </w:pPr>
      <w:r w:rsidRPr="00855767">
        <w:t xml:space="preserve">The combination of glycolytic inhibitors with CRISPR-Cas9 based OXPHOS targeting represents a highly effective approach to overcoming the metabolic </w:t>
      </w:r>
      <w:r w:rsidR="00051FF0">
        <w:t>plasticity</w:t>
      </w:r>
      <w:r w:rsidRPr="00855767">
        <w:t xml:space="preserve"> of PDAC and </w:t>
      </w:r>
      <w:r w:rsidR="00051FF0">
        <w:t xml:space="preserve">similar </w:t>
      </w:r>
      <w:r w:rsidRPr="00855767">
        <w:t xml:space="preserve">cancers. Specifically, targeting </w:t>
      </w:r>
      <w:r w:rsidRPr="00855767">
        <w:rPr>
          <w:i/>
          <w:iCs/>
        </w:rPr>
        <w:t>NDUFS1</w:t>
      </w:r>
      <w:r w:rsidRPr="00855767">
        <w:t xml:space="preserve"> </w:t>
      </w:r>
      <w:r w:rsidR="00051FF0">
        <w:t xml:space="preserve">alongside </w:t>
      </w:r>
      <w:r w:rsidRPr="00855767">
        <w:t>glycolytic inhibitors, such as FX-11, demonstrate</w:t>
      </w:r>
      <w:r w:rsidR="004A2961">
        <w:t>d</w:t>
      </w:r>
      <w:r w:rsidRPr="00855767">
        <w:t xml:space="preserve"> a synergistic effect. However, </w:t>
      </w:r>
      <w:r w:rsidR="004A2961">
        <w:t>this approach face</w:t>
      </w:r>
      <w:r w:rsidR="00F71CC2">
        <w:t>s</w:t>
      </w:r>
      <w:r w:rsidR="004A2961">
        <w:t xml:space="preserve"> challenges particularly achieving efficient </w:t>
      </w:r>
      <w:r w:rsidRPr="00855767">
        <w:t xml:space="preserve">gene delivery and </w:t>
      </w:r>
      <w:r w:rsidR="009E733D">
        <w:t xml:space="preserve">avoiding </w:t>
      </w:r>
      <w:r w:rsidRPr="00855767">
        <w:t>off-target</w:t>
      </w:r>
      <w:r w:rsidR="009E733D">
        <w:t xml:space="preserve">. To address these </w:t>
      </w:r>
      <w:r w:rsidR="000D3A71">
        <w:t xml:space="preserve">limitations, </w:t>
      </w:r>
      <w:r w:rsidR="000D3A71" w:rsidRPr="00855767">
        <w:t>advanced</w:t>
      </w:r>
      <w:r w:rsidRPr="00855767">
        <w:t xml:space="preserve"> delivery systems </w:t>
      </w:r>
      <w:r w:rsidR="009E733D">
        <w:t xml:space="preserve">such as </w:t>
      </w:r>
      <w:r w:rsidRPr="00855767">
        <w:t>lipid nanoparticles and exosome-mediated CRISPR therapy are crucial in enhancing the efficacy and safety of these treatments in clinical settings.</w:t>
      </w:r>
    </w:p>
    <w:p w14:paraId="023F6667" w14:textId="5C7289C1" w:rsidR="00855767" w:rsidRPr="00855767" w:rsidRDefault="009E733D" w:rsidP="003941E5">
      <w:pPr>
        <w:spacing w:line="360" w:lineRule="auto"/>
        <w:jc w:val="both"/>
      </w:pPr>
      <w:r>
        <w:t xml:space="preserve">While </w:t>
      </w:r>
      <w:r w:rsidR="00855767" w:rsidRPr="00855767">
        <w:t>dual inhibition of glycolysis and OXPHOS holds great promise for PDAC therapy, further research is needed to optimise treatment regimens and ensure their clinical feasibility.</w:t>
      </w:r>
    </w:p>
    <w:p w14:paraId="4DBF3068" w14:textId="77777777" w:rsidR="00855767" w:rsidRPr="00855767" w:rsidRDefault="00855767" w:rsidP="003941E5">
      <w:pPr>
        <w:pStyle w:val="Heading2"/>
        <w:spacing w:line="360" w:lineRule="auto"/>
        <w:jc w:val="both"/>
        <w:rPr>
          <w:rFonts w:ascii="Arial" w:hAnsi="Arial" w:cs="Arial"/>
          <w:sz w:val="22"/>
          <w:szCs w:val="22"/>
        </w:rPr>
      </w:pPr>
      <w:bookmarkStart w:id="83" w:name="_Toc194180681"/>
      <w:bookmarkStart w:id="84" w:name="_Toc194182199"/>
      <w:bookmarkEnd w:id="78"/>
      <w:r w:rsidRPr="00855767">
        <w:rPr>
          <w:rFonts w:ascii="Arial" w:hAnsi="Arial" w:cs="Arial"/>
          <w:sz w:val="22"/>
          <w:szCs w:val="22"/>
        </w:rPr>
        <w:t>8. Acknowledgements</w:t>
      </w:r>
      <w:bookmarkEnd w:id="83"/>
      <w:bookmarkEnd w:id="84"/>
    </w:p>
    <w:p w14:paraId="3AB0F49A" w14:textId="5C1A3A6F" w:rsidR="00855767" w:rsidRPr="00855767" w:rsidRDefault="00855767" w:rsidP="003941E5">
      <w:pPr>
        <w:spacing w:line="360" w:lineRule="auto"/>
        <w:jc w:val="both"/>
        <w:rPr>
          <w:i/>
          <w:iCs/>
        </w:rPr>
      </w:pPr>
      <w:r w:rsidRPr="00855767">
        <w:rPr>
          <w:i/>
          <w:iCs/>
        </w:rPr>
        <w:t xml:space="preserve">I acknowledge that I used ChatGPT to refine the structure of my dissertation. The tool was strictly used for editorial purposes and not for generating synthesis or analysis. </w:t>
      </w:r>
      <w:proofErr w:type="gramStart"/>
      <w:r w:rsidRPr="00855767">
        <w:rPr>
          <w:i/>
          <w:iCs/>
        </w:rPr>
        <w:t>Figure</w:t>
      </w:r>
      <w:proofErr w:type="gramEnd"/>
      <w:r w:rsidRPr="00855767">
        <w:rPr>
          <w:i/>
          <w:iCs/>
        </w:rPr>
        <w:t xml:space="preserve"> </w:t>
      </w:r>
      <w:r w:rsidR="00F71CC2">
        <w:rPr>
          <w:i/>
          <w:iCs/>
        </w:rPr>
        <w:t xml:space="preserve">5 and </w:t>
      </w:r>
      <w:r w:rsidRPr="00855767">
        <w:rPr>
          <w:i/>
          <w:iCs/>
        </w:rPr>
        <w:t>6 w</w:t>
      </w:r>
      <w:r w:rsidR="00F71CC2">
        <w:rPr>
          <w:i/>
          <w:iCs/>
        </w:rPr>
        <w:t xml:space="preserve">ere </w:t>
      </w:r>
      <w:r w:rsidRPr="00855767">
        <w:rPr>
          <w:i/>
          <w:iCs/>
        </w:rPr>
        <w:t>created by me using BioRender.com. Additionally, Figure 1 was adapted from a publicly available BioRender template with appropriate citation included in the figure caption.</w:t>
      </w:r>
      <w:r w:rsidRPr="00855767">
        <w:rPr>
          <w:b/>
          <w:bCs/>
        </w:rPr>
        <w:t xml:space="preserve"> </w:t>
      </w:r>
      <w:r w:rsidRPr="00855767">
        <w:rPr>
          <w:i/>
          <w:iCs/>
        </w:rPr>
        <w:t>Figure 3 was generated with the assistance of OpenAI’s ChatGPT (2025) and is also credited in the figure caption.</w:t>
      </w:r>
    </w:p>
    <w:bookmarkStart w:id="85" w:name="_Toc194180682" w:displacedByCustomXml="next"/>
    <w:bookmarkStart w:id="86" w:name="_Toc194120299" w:displacedByCustomXml="next"/>
    <w:bookmarkStart w:id="87" w:name="_Toc194182200" w:displacedByCustomXml="next"/>
    <w:sdt>
      <w:sdtPr>
        <w:rPr>
          <w:rFonts w:ascii="Arial" w:eastAsia="Arial" w:hAnsi="Arial" w:cs="Arial"/>
          <w:b w:val="0"/>
          <w:sz w:val="22"/>
          <w:szCs w:val="22"/>
        </w:rPr>
        <w:id w:val="-1457797901"/>
        <w:docPartObj>
          <w:docPartGallery w:val="Bibliographies"/>
          <w:docPartUnique/>
        </w:docPartObj>
      </w:sdtPr>
      <w:sdtEndPr/>
      <w:sdtContent>
        <w:p w14:paraId="31A48439" w14:textId="77777777" w:rsidR="00855767" w:rsidRPr="00855767" w:rsidRDefault="00855767" w:rsidP="003941E5">
          <w:pPr>
            <w:pStyle w:val="Heading2"/>
            <w:spacing w:line="360" w:lineRule="auto"/>
            <w:jc w:val="both"/>
            <w:rPr>
              <w:rFonts w:ascii="Arial" w:hAnsi="Arial" w:cs="Arial"/>
              <w:sz w:val="22"/>
              <w:szCs w:val="22"/>
            </w:rPr>
          </w:pPr>
          <w:r w:rsidRPr="00855767">
            <w:rPr>
              <w:rFonts w:ascii="Arial" w:hAnsi="Arial" w:cs="Arial"/>
              <w:sz w:val="22"/>
              <w:szCs w:val="22"/>
            </w:rPr>
            <w:t>9. References</w:t>
          </w:r>
          <w:bookmarkEnd w:id="87"/>
          <w:bookmarkEnd w:id="86"/>
          <w:bookmarkEnd w:id="85"/>
        </w:p>
        <w:sdt>
          <w:sdtPr>
            <w:id w:val="-573587230"/>
            <w:bibliography/>
          </w:sdtPr>
          <w:sdtEndPr/>
          <w:sdtContent>
            <w:p w14:paraId="0F71551A" w14:textId="77777777" w:rsidR="00855767" w:rsidRPr="00855767" w:rsidRDefault="00855767" w:rsidP="003941E5">
              <w:pPr>
                <w:spacing w:line="360" w:lineRule="auto"/>
                <w:jc w:val="both"/>
              </w:pPr>
              <w:r w:rsidRPr="00855767">
                <w:fldChar w:fldCharType="begin"/>
              </w:r>
              <w:r w:rsidRPr="00855767">
                <w:instrText>BIBLIOGRAPHY</w:instrText>
              </w:r>
              <w:r w:rsidRPr="00855767">
                <w:fldChar w:fldCharType="separate"/>
              </w:r>
              <w:r w:rsidRPr="00855767">
                <w:t xml:space="preserve">Alcalá, S., Sancho, P., Martinelli, P., Navarro, D.A., Pedrero, C., Martin-Hijano, L., Valle, S.C., Earl, J., Rodríguez-Serrano, M., Ruiz-Cañas, L., Rojas, K.I., Carrato, A., García-Bermejo, M.L., Fernández-Moreno, M.Á., Hermann, P.C., &amp; Sainz, B. (2020). ISG15 and ISGylation are required for pancreatic cancer stem cell mitophagy and metabolic plasticity. </w:t>
              </w:r>
              <w:r w:rsidRPr="00855767">
                <w:rPr>
                  <w:i/>
                  <w:iCs/>
                </w:rPr>
                <w:t>Nature Communications</w:t>
              </w:r>
              <w:r w:rsidRPr="00855767">
                <w:t xml:space="preserve">, 11(1), Article 16395. </w:t>
              </w:r>
              <w:hyperlink r:id="rId18" w:tgtFrame="_new" w:history="1">
                <w:r w:rsidRPr="00855767">
                  <w:rPr>
                    <w:rStyle w:val="Hyperlink"/>
                  </w:rPr>
                  <w:t>https://doi.org/10.1038/s41467-020-16395-2</w:t>
                </w:r>
              </w:hyperlink>
              <w:r w:rsidRPr="00855767">
                <w:t>.</w:t>
              </w:r>
            </w:p>
            <w:p w14:paraId="09DA8A7C" w14:textId="77777777" w:rsidR="00855767" w:rsidRPr="00855767" w:rsidRDefault="00855767" w:rsidP="003941E5">
              <w:pPr>
                <w:spacing w:line="360" w:lineRule="auto"/>
                <w:jc w:val="both"/>
              </w:pPr>
            </w:p>
            <w:p w14:paraId="1FFF67D4" w14:textId="77777777" w:rsidR="00855767" w:rsidRPr="00855767" w:rsidRDefault="00855767" w:rsidP="003941E5">
              <w:pPr>
                <w:spacing w:line="360" w:lineRule="auto"/>
                <w:jc w:val="both"/>
              </w:pPr>
              <w:r w:rsidRPr="00855767">
                <w:t xml:space="preserve">Angiari, S., Runtsch, M.C., Sutton, C.E., Palsson-McDermott, E.M., Kelly, B., Rana, N., Kane, H., Papadopoulou, G., Pearce, E.L., Mills, K.H.G., &amp; O’Neill, L.A.J. (2020). Pharmacological activation of pyruvate kinase M2 inhibits CD4+ T cell pathogenicity and suppresses autoimmunity. </w:t>
              </w:r>
              <w:r w:rsidRPr="00855767">
                <w:rPr>
                  <w:i/>
                  <w:iCs/>
                </w:rPr>
                <w:t>Cell Metabolism</w:t>
              </w:r>
              <w:r w:rsidRPr="00855767">
                <w:t xml:space="preserve">, 31(2), 391–405.e8. </w:t>
              </w:r>
              <w:hyperlink r:id="rId19" w:tgtFrame="_new" w:history="1">
                <w:r w:rsidRPr="00855767">
                  <w:rPr>
                    <w:rStyle w:val="Hyperlink"/>
                  </w:rPr>
                  <w:t>https://doi.org/10.1016/j.cmet.2019.10.015</w:t>
                </w:r>
              </w:hyperlink>
              <w:r w:rsidRPr="00855767">
                <w:t>.</w:t>
              </w:r>
            </w:p>
            <w:p w14:paraId="243EED02" w14:textId="77777777" w:rsidR="00855767" w:rsidRPr="00855767" w:rsidRDefault="00855767" w:rsidP="003941E5">
              <w:pPr>
                <w:spacing w:line="360" w:lineRule="auto"/>
                <w:jc w:val="both"/>
              </w:pPr>
            </w:p>
            <w:p w14:paraId="1D173A06" w14:textId="77777777" w:rsidR="00855767" w:rsidRPr="00855767" w:rsidRDefault="00855767" w:rsidP="003941E5">
              <w:pPr>
                <w:spacing w:line="360" w:lineRule="auto"/>
                <w:jc w:val="both"/>
              </w:pPr>
              <w:r w:rsidRPr="00855767">
                <w:t xml:space="preserve">Aisu, Y., Oshima, N., Hyodo, F., Elhelaly, A.E., Masuo, A., Okada, T., Hisamori, S., Tsunoda, S., Hida, K., Morimoto, T., Miyoshi, H., Taketo, M.M., Neckers, L.M., Sakai, Y., &amp; Obama, K. (2024). Dual inhibition of oxidative phosphorylation and glycolysis exerts a synergistic antitumor effect on colorectal and gastric cancer by creating energy depletion and preventing metabolic switch. </w:t>
              </w:r>
              <w:r w:rsidRPr="00855767">
                <w:rPr>
                  <w:i/>
                  <w:iCs/>
                </w:rPr>
                <w:t>PLoS ONE</w:t>
              </w:r>
              <w:r w:rsidRPr="00855767">
                <w:t xml:space="preserve">, 19(12), e0309700. </w:t>
              </w:r>
              <w:hyperlink r:id="rId20" w:tgtFrame="_new" w:history="1">
                <w:r w:rsidRPr="00855767">
                  <w:rPr>
                    <w:rStyle w:val="Hyperlink"/>
                  </w:rPr>
                  <w:t>https://doi.org/10.1371/journal.pone.0309700</w:t>
                </w:r>
              </w:hyperlink>
              <w:r w:rsidRPr="00855767">
                <w:t>.</w:t>
              </w:r>
            </w:p>
            <w:p w14:paraId="1F19B8EC" w14:textId="77777777" w:rsidR="00855767" w:rsidRPr="00855767" w:rsidRDefault="00855767" w:rsidP="003941E5">
              <w:pPr>
                <w:spacing w:line="360" w:lineRule="auto"/>
                <w:jc w:val="both"/>
              </w:pPr>
            </w:p>
            <w:p w14:paraId="38D7E6D0" w14:textId="77777777" w:rsidR="00855767" w:rsidRPr="00855767" w:rsidRDefault="00855767" w:rsidP="003941E5">
              <w:pPr>
                <w:spacing w:line="360" w:lineRule="auto"/>
                <w:jc w:val="both"/>
              </w:pPr>
              <w:r w:rsidRPr="00855767">
                <w:t xml:space="preserve">Anand, U., Dey, A., Chandel, A.K.S., Sanyal, R., Mishra, A., Pandey, D.K., De Falco, V., Upadhyay, A., Kandimalla, R., Chaudhary, A., Dhanjal, J.K., Dewanjee, S., Vallamkondu, J. and Pérez de la Lastra, J.M., 2022. Cancer chemotherapy and beyond: Current status, drug candidates, associated risks and progress in targeted therapeutics. </w:t>
              </w:r>
              <w:r w:rsidRPr="00855767">
                <w:rPr>
                  <w:i/>
                  <w:iCs/>
                </w:rPr>
                <w:t>Genes &amp; Diseases</w:t>
              </w:r>
              <w:r w:rsidRPr="00855767">
                <w:t xml:space="preserve">, 10(4), pp.1367–1401. </w:t>
              </w:r>
              <w:hyperlink r:id="rId21" w:tgtFrame="_new" w:history="1">
                <w:r w:rsidRPr="00855767">
                  <w:rPr>
                    <w:rStyle w:val="Hyperlink"/>
                  </w:rPr>
                  <w:t>https://doi.org/10.1016/j.gendis.2022.02.007</w:t>
                </w:r>
              </w:hyperlink>
            </w:p>
            <w:p w14:paraId="4DBE926D" w14:textId="77777777" w:rsidR="00855767" w:rsidRPr="00855767" w:rsidRDefault="00855767" w:rsidP="003941E5">
              <w:pPr>
                <w:spacing w:line="360" w:lineRule="auto"/>
                <w:jc w:val="both"/>
              </w:pPr>
            </w:p>
            <w:p w14:paraId="230449C6" w14:textId="77777777" w:rsidR="00855767" w:rsidRPr="00855767" w:rsidRDefault="00855767" w:rsidP="003941E5">
              <w:pPr>
                <w:spacing w:line="360" w:lineRule="auto"/>
                <w:jc w:val="both"/>
              </w:pPr>
              <w:r w:rsidRPr="00855767">
                <w:t xml:space="preserve">Benjamin, D., &amp; Hall, M.N. (2022). Combining metformin with lactate transport inhibitors as a treatment modality for cancer—recommendation proposal. </w:t>
              </w:r>
              <w:r w:rsidRPr="00855767">
                <w:rPr>
                  <w:i/>
                  <w:iCs/>
                </w:rPr>
                <w:t>Frontiers in Oncology</w:t>
              </w:r>
              <w:r w:rsidRPr="00855767">
                <w:t xml:space="preserve">, 12, Article 1034397. </w:t>
              </w:r>
              <w:hyperlink r:id="rId22" w:tgtFrame="_new" w:history="1">
                <w:r w:rsidRPr="00855767">
                  <w:rPr>
                    <w:rStyle w:val="Hyperlink"/>
                  </w:rPr>
                  <w:t>https://doi.org/10.3389/fonc.2022.1034397</w:t>
                </w:r>
              </w:hyperlink>
              <w:r w:rsidRPr="00855767">
                <w:t>.</w:t>
              </w:r>
            </w:p>
            <w:p w14:paraId="768EF32A" w14:textId="77777777" w:rsidR="00855767" w:rsidRPr="00855767" w:rsidRDefault="00855767" w:rsidP="003941E5">
              <w:pPr>
                <w:spacing w:line="360" w:lineRule="auto"/>
                <w:jc w:val="both"/>
              </w:pPr>
            </w:p>
            <w:p w14:paraId="651381F9" w14:textId="77777777" w:rsidR="00855767" w:rsidRPr="00855767" w:rsidRDefault="00855767" w:rsidP="003941E5">
              <w:pPr>
                <w:spacing w:line="360" w:lineRule="auto"/>
                <w:jc w:val="both"/>
              </w:pPr>
              <w:r w:rsidRPr="00855767">
                <w:t xml:space="preserve">Bonomo, R. (2024). Stages of pancreatic cancer and treatment options. </w:t>
              </w:r>
              <w:r w:rsidRPr="00855767">
                <w:rPr>
                  <w:i/>
                  <w:iCs/>
                </w:rPr>
                <w:t>Biorender.com</w:t>
              </w:r>
              <w:r w:rsidRPr="00855767">
                <w:t xml:space="preserve">. Available at: </w:t>
              </w:r>
              <w:hyperlink r:id="rId23" w:tgtFrame="_new" w:history="1">
                <w:r w:rsidRPr="00855767">
                  <w:rPr>
                    <w:rStyle w:val="Hyperlink"/>
                  </w:rPr>
                  <w:t>https://app.biorender.com/biorender-templates/figures/all/t-66839cad01e22a3d930af1a5-stages-of-pancreatic-cancer-and-treatment-options</w:t>
                </w:r>
              </w:hyperlink>
              <w:r w:rsidRPr="00855767">
                <w:t xml:space="preserve"> [Accessed 24 Mar. 2025].</w:t>
              </w:r>
            </w:p>
            <w:p w14:paraId="386E2711" w14:textId="77777777" w:rsidR="00855767" w:rsidRPr="00855767" w:rsidRDefault="00855767" w:rsidP="003941E5">
              <w:pPr>
                <w:spacing w:line="360" w:lineRule="auto"/>
                <w:jc w:val="both"/>
              </w:pPr>
            </w:p>
            <w:p w14:paraId="74DD8972" w14:textId="77777777" w:rsidR="00855767" w:rsidRDefault="00855767" w:rsidP="003941E5">
              <w:pPr>
                <w:spacing w:line="360" w:lineRule="auto"/>
                <w:jc w:val="both"/>
              </w:pPr>
              <w:r w:rsidRPr="00855767">
                <w:lastRenderedPageBreak/>
                <w:t xml:space="preserve">Butera, G., Pacchiana, R., Mullappilly, N., Margiotta, M., Bruno, S., Conti, P., Riganti, C., &amp; Donadelli, M. (2018). Mutant p53 prevents GAPDH nuclear translocation in pancreatic cancer cells favoring glycolysis and 2-deoxyglucose sensitivity. </w:t>
              </w:r>
              <w:r w:rsidRPr="00855767">
                <w:rPr>
                  <w:i/>
                  <w:iCs/>
                </w:rPr>
                <w:t>Biochimica et Biophysica Acta (BBA) - Molecular Cell Research</w:t>
              </w:r>
              <w:r w:rsidRPr="00855767">
                <w:t xml:space="preserve">, 1865(12), 1914–1923. </w:t>
              </w:r>
              <w:hyperlink r:id="rId24" w:tgtFrame="_new" w:history="1">
                <w:r w:rsidRPr="00855767">
                  <w:rPr>
                    <w:rStyle w:val="Hyperlink"/>
                  </w:rPr>
                  <w:t>https://doi.org/10.1016/j.bbamcr.2018.10.005</w:t>
                </w:r>
              </w:hyperlink>
              <w:r w:rsidRPr="00855767">
                <w:t>.</w:t>
              </w:r>
            </w:p>
            <w:p w14:paraId="29F34661" w14:textId="56CAB712" w:rsidR="00AF0994" w:rsidRPr="00AF0994" w:rsidRDefault="00AF0994" w:rsidP="003941E5">
              <w:pPr>
                <w:spacing w:line="360" w:lineRule="auto"/>
                <w:jc w:val="both"/>
              </w:pPr>
              <w:r w:rsidRPr="00AF0994">
                <w:t xml:space="preserve">Carlaw, T.M., Zhang, L.-H. and Ross, C.J.D., </w:t>
              </w:r>
              <w:r>
                <w:t>(</w:t>
              </w:r>
              <w:r w:rsidRPr="00AF0994">
                <w:t>2020</w:t>
              </w:r>
              <w:r>
                <w:t>)</w:t>
              </w:r>
              <w:r w:rsidRPr="00AF0994">
                <w:t xml:space="preserve">. CRISPR/Cas9 editing: Sparking discussion on safety in light of the need for new therapeutics. </w:t>
              </w:r>
              <w:r w:rsidRPr="00AF0994">
                <w:rPr>
                  <w:i/>
                  <w:iCs/>
                </w:rPr>
                <w:t>Human Gene Therapy</w:t>
              </w:r>
              <w:r w:rsidRPr="00AF0994">
                <w:t xml:space="preserve">, 31(15–16), pp.794–807. </w:t>
              </w:r>
              <w:hyperlink r:id="rId25" w:tgtFrame="_new" w:history="1">
                <w:r w:rsidRPr="00AF0994">
                  <w:rPr>
                    <w:rStyle w:val="Hyperlink"/>
                  </w:rPr>
                  <w:t>https://doi.org/10.1089/hum.2020.111</w:t>
                </w:r>
              </w:hyperlink>
            </w:p>
            <w:p w14:paraId="71EEC52F" w14:textId="77777777" w:rsidR="00855767" w:rsidRPr="00855767" w:rsidRDefault="00855767" w:rsidP="003941E5">
              <w:pPr>
                <w:spacing w:line="360" w:lineRule="auto"/>
                <w:jc w:val="both"/>
              </w:pPr>
            </w:p>
            <w:p w14:paraId="700F9621" w14:textId="77777777" w:rsidR="00855767" w:rsidRPr="00855767" w:rsidRDefault="00855767" w:rsidP="003941E5">
              <w:pPr>
                <w:spacing w:line="360" w:lineRule="auto"/>
                <w:jc w:val="both"/>
              </w:pPr>
              <w:r w:rsidRPr="00855767">
                <w:t xml:space="preserve">Chapiro, J., Sur, S., Savic, L.J., Ganapathy-Kanniappan, S., Reyes, J., Duran, R., Thiruganasambandam, S.C., Moats, C.R., Lin, M., Luo, W., Tran, P.T., Herman, J.M., Semenza, G.L., Ewald, A.J., Vogelstein, B., &amp; Geschwind, J.-F. (2014). Systemic delivery of microencapsulated 3-bromopyruvate for the therapy of pancreatic cancer. </w:t>
              </w:r>
              <w:r w:rsidRPr="00855767">
                <w:rPr>
                  <w:i/>
                  <w:iCs/>
                </w:rPr>
                <w:t>Clinical Cancer Research</w:t>
              </w:r>
              <w:r w:rsidRPr="00855767">
                <w:t xml:space="preserve">, 20(24), 6406–6417. </w:t>
              </w:r>
              <w:hyperlink r:id="rId26" w:tgtFrame="_new" w:history="1">
                <w:r w:rsidRPr="00855767">
                  <w:rPr>
                    <w:rStyle w:val="Hyperlink"/>
                  </w:rPr>
                  <w:t>https://doi.org/10.1158/1078-0432.ccr-14-1271</w:t>
                </w:r>
              </w:hyperlink>
              <w:r w:rsidRPr="00855767">
                <w:t>.</w:t>
              </w:r>
            </w:p>
            <w:p w14:paraId="20FF6C26" w14:textId="77777777" w:rsidR="00855767" w:rsidRPr="00855767" w:rsidRDefault="00855767" w:rsidP="003941E5">
              <w:pPr>
                <w:spacing w:line="360" w:lineRule="auto"/>
                <w:jc w:val="both"/>
              </w:pPr>
            </w:p>
            <w:p w14:paraId="01E4A089" w14:textId="77777777" w:rsidR="00855767" w:rsidRPr="00855767" w:rsidRDefault="00855767" w:rsidP="003941E5">
              <w:pPr>
                <w:spacing w:line="360" w:lineRule="auto"/>
                <w:jc w:val="both"/>
              </w:pPr>
              <w:r w:rsidRPr="00855767">
                <w:t xml:space="preserve">Chen, T., Li, D., Wang, Y., Shen, X., Dong, A., Dong, C., Duan, K., Ren, J., Li, W., Shu, G., Yang, J., Xie, Y., Qian, F., &amp; Zhou, J. (2023). Loss of NDUFS1 promotes gastric cancer progression by activating the mitochondrial ROS-HIF1α-FBLN5 signaling pathway. </w:t>
              </w:r>
              <w:r w:rsidRPr="00855767">
                <w:rPr>
                  <w:i/>
                  <w:iCs/>
                </w:rPr>
                <w:t>British Journal of Cancer</w:t>
              </w:r>
              <w:r w:rsidRPr="00855767">
                <w:t xml:space="preserve">, 129(8), 1261–1273. </w:t>
              </w:r>
              <w:hyperlink r:id="rId27" w:tgtFrame="_new" w:history="1">
                <w:r w:rsidRPr="00855767">
                  <w:rPr>
                    <w:rStyle w:val="Hyperlink"/>
                  </w:rPr>
                  <w:t>https://doi.org/10.1038/s41416-023-02409-5</w:t>
                </w:r>
              </w:hyperlink>
              <w:r w:rsidRPr="00855767">
                <w:t>.</w:t>
              </w:r>
            </w:p>
            <w:p w14:paraId="3AEF5A1F" w14:textId="77777777" w:rsidR="00855767" w:rsidRPr="00855767" w:rsidRDefault="00855767" w:rsidP="003941E5">
              <w:pPr>
                <w:spacing w:line="360" w:lineRule="auto"/>
                <w:jc w:val="both"/>
              </w:pPr>
            </w:p>
            <w:p w14:paraId="0B613381" w14:textId="77777777" w:rsidR="00855767" w:rsidRPr="00855767" w:rsidRDefault="00855767" w:rsidP="003941E5">
              <w:pPr>
                <w:spacing w:line="360" w:lineRule="auto"/>
                <w:jc w:val="both"/>
              </w:pPr>
              <w:r w:rsidRPr="00855767">
                <w:t xml:space="preserve">Dong, S., Li, W., Li, X., Wang, Z., Chen, Z., Shi, H., He, R., Chen, C., &amp; Zhou, W. (2022). Glucose metabolism and tumour microenvironment in pancreatic cancer: A key link in cancer progression. </w:t>
              </w:r>
              <w:r w:rsidRPr="00855767">
                <w:rPr>
                  <w:i/>
                  <w:iCs/>
                </w:rPr>
                <w:t>Frontiers in Immunology</w:t>
              </w:r>
              <w:r w:rsidRPr="00855767">
                <w:t xml:space="preserve">, 13, Article 1038650. </w:t>
              </w:r>
              <w:hyperlink r:id="rId28" w:tgtFrame="_new" w:history="1">
                <w:r w:rsidRPr="00855767">
                  <w:rPr>
                    <w:rStyle w:val="Hyperlink"/>
                  </w:rPr>
                  <w:t>https://doi.org/10.3389/fimmu.2022.1038650</w:t>
                </w:r>
              </w:hyperlink>
              <w:r w:rsidRPr="00855767">
                <w:t>.</w:t>
              </w:r>
            </w:p>
            <w:p w14:paraId="2B0196FC" w14:textId="77777777" w:rsidR="00855767" w:rsidRPr="00855767" w:rsidRDefault="00855767" w:rsidP="003941E5">
              <w:pPr>
                <w:spacing w:line="360" w:lineRule="auto"/>
                <w:jc w:val="both"/>
              </w:pPr>
            </w:p>
            <w:p w14:paraId="770A0115" w14:textId="77777777" w:rsidR="00855767" w:rsidRPr="00855767" w:rsidRDefault="00855767" w:rsidP="003941E5">
              <w:pPr>
                <w:spacing w:line="360" w:lineRule="auto"/>
                <w:jc w:val="both"/>
              </w:pPr>
              <w:r w:rsidRPr="00855767">
                <w:t xml:space="preserve">Fan, M., Deng, G., Ma, Y., Si, H., Wang, Z., &amp; Dai, G. (2024). Survival outcome of different treatment sequences in patients with locally advanced and metastatic pancreatic cancer. </w:t>
              </w:r>
              <w:r w:rsidRPr="00855767">
                <w:rPr>
                  <w:i/>
                  <w:iCs/>
                </w:rPr>
                <w:t>BMC Cancer</w:t>
              </w:r>
              <w:r w:rsidRPr="00855767">
                <w:t xml:space="preserve">, 24(1), Article 11823. </w:t>
              </w:r>
              <w:hyperlink r:id="rId29" w:tgtFrame="_new" w:history="1">
                <w:r w:rsidRPr="00855767">
                  <w:rPr>
                    <w:rStyle w:val="Hyperlink"/>
                  </w:rPr>
                  <w:t>https://doi.org/10.1186/s12885-024-11823-8</w:t>
                </w:r>
              </w:hyperlink>
              <w:r w:rsidRPr="00855767">
                <w:t>.</w:t>
              </w:r>
            </w:p>
            <w:p w14:paraId="55D88407" w14:textId="77777777" w:rsidR="00855767" w:rsidRPr="00855767" w:rsidRDefault="00855767" w:rsidP="003941E5">
              <w:pPr>
                <w:spacing w:line="360" w:lineRule="auto"/>
                <w:jc w:val="both"/>
              </w:pPr>
            </w:p>
            <w:p w14:paraId="6E4DF50E" w14:textId="77777777" w:rsidR="00855767" w:rsidRPr="00855767" w:rsidRDefault="00855767" w:rsidP="003941E5">
              <w:pPr>
                <w:spacing w:line="360" w:lineRule="auto"/>
                <w:jc w:val="both"/>
              </w:pPr>
              <w:r w:rsidRPr="00855767">
                <w:t xml:space="preserve">Fiorillo, M., Lamb, R., Tanowitz, H.B., Mutti, L., Krstic-Demonacos, M., Cappello, A.R., Martinez-Outschoorn, U.E., Sotgia, F., &amp; Lisanti, M.P. (2016). Repurposing atovaquone: Targeting mitochondrial complex III and OXPHOS to eradicate cancer stem cells. </w:t>
              </w:r>
              <w:r w:rsidRPr="00855767">
                <w:rPr>
                  <w:i/>
                  <w:iCs/>
                </w:rPr>
                <w:t>Oncotarget</w:t>
              </w:r>
              <w:r w:rsidRPr="00855767">
                <w:t xml:space="preserve">, 7(23), 34084–34099. </w:t>
              </w:r>
              <w:hyperlink r:id="rId30" w:tgtFrame="_new" w:history="1">
                <w:r w:rsidRPr="00855767">
                  <w:rPr>
                    <w:rStyle w:val="Hyperlink"/>
                  </w:rPr>
                  <w:t>https://doi.org/10.18632/oncotarget.9122</w:t>
                </w:r>
              </w:hyperlink>
              <w:r w:rsidRPr="00855767">
                <w:t>.</w:t>
              </w:r>
            </w:p>
            <w:p w14:paraId="3FBF053C" w14:textId="77777777" w:rsidR="00855767" w:rsidRPr="00855767" w:rsidRDefault="00855767" w:rsidP="003941E5">
              <w:pPr>
                <w:spacing w:line="360" w:lineRule="auto"/>
                <w:jc w:val="both"/>
              </w:pPr>
            </w:p>
            <w:p w14:paraId="1E389F0C" w14:textId="77777777" w:rsidR="00855767" w:rsidRPr="00855767" w:rsidRDefault="00855767" w:rsidP="003941E5">
              <w:pPr>
                <w:spacing w:line="360" w:lineRule="auto"/>
                <w:jc w:val="both"/>
              </w:pPr>
              <w:r w:rsidRPr="00855767">
                <w:t xml:space="preserve">Fu, Y., Liu, S., Zeng, S. and Shen, H. (2018). The critical roles of activated stellate cells-mediated paracrine signaling, metabolism and onco-immunology in pancreatic ductal </w:t>
              </w:r>
              <w:r w:rsidRPr="00855767">
                <w:lastRenderedPageBreak/>
                <w:t xml:space="preserve">adenocarcinoma. </w:t>
              </w:r>
              <w:r w:rsidRPr="00855767">
                <w:rPr>
                  <w:i/>
                  <w:iCs/>
                </w:rPr>
                <w:t>Molecular Cancer</w:t>
              </w:r>
              <w:r w:rsidRPr="00855767">
                <w:t>, [online] 17(1). doi:https://doi.org/10.1186/s12943-018-0815-z.</w:t>
              </w:r>
            </w:p>
            <w:p w14:paraId="7D3A5770" w14:textId="77777777" w:rsidR="00855767" w:rsidRPr="00855767" w:rsidRDefault="00855767" w:rsidP="003941E5">
              <w:pPr>
                <w:spacing w:line="360" w:lineRule="auto"/>
                <w:jc w:val="both"/>
              </w:pPr>
            </w:p>
            <w:p w14:paraId="423959DA" w14:textId="77777777" w:rsidR="00855767" w:rsidRPr="00855767" w:rsidRDefault="00855767" w:rsidP="003941E5">
              <w:pPr>
                <w:spacing w:line="360" w:lineRule="auto"/>
                <w:jc w:val="both"/>
              </w:pPr>
              <w:r w:rsidRPr="00855767">
                <w:t xml:space="preserve">Goldberg, L., Israeli, R., &amp; Kloog, Y. (2012). FTS and 2-DG induce pancreatic cancer cell death and tumour shrinkage in mice. </w:t>
              </w:r>
              <w:r w:rsidRPr="00855767">
                <w:rPr>
                  <w:i/>
                  <w:iCs/>
                </w:rPr>
                <w:t>Cell Death &amp; Disease</w:t>
              </w:r>
              <w:r w:rsidRPr="00855767">
                <w:t xml:space="preserve">, 3(3), Article e284. </w:t>
              </w:r>
              <w:hyperlink r:id="rId31" w:tgtFrame="_new" w:history="1">
                <w:r w:rsidRPr="00855767">
                  <w:rPr>
                    <w:rStyle w:val="Hyperlink"/>
                  </w:rPr>
                  <w:t>https://doi.org/10.1038/cddis.2012.24</w:t>
                </w:r>
              </w:hyperlink>
              <w:r w:rsidRPr="00855767">
                <w:t>.</w:t>
              </w:r>
            </w:p>
            <w:p w14:paraId="2D38C4E8" w14:textId="77777777" w:rsidR="00855767" w:rsidRPr="00855767" w:rsidRDefault="00855767" w:rsidP="003941E5">
              <w:pPr>
                <w:spacing w:line="360" w:lineRule="auto"/>
                <w:jc w:val="both"/>
              </w:pPr>
            </w:p>
            <w:p w14:paraId="75E6C169" w14:textId="77777777" w:rsidR="00855767" w:rsidRPr="00855767" w:rsidRDefault="00855767" w:rsidP="003941E5">
              <w:pPr>
                <w:spacing w:line="360" w:lineRule="auto"/>
                <w:jc w:val="both"/>
              </w:pPr>
              <w:r w:rsidRPr="00855767">
                <w:t xml:space="preserve">Hu, L.-P., Zhang, X.-X., Jiang, S.-H., Tao, L.-Y., Li, Q., Zhu, L.-L., Yang, M.-W., Huo, Y.-M., Jiang, Y.-S., Tian, G.-A., Cao, X.-Y., Zhang, Y.-L., Yang, Q., Yang, X.-M., Wang, Y.-H., Li, J., Xiao, G.G., Sun, Y.-W., Zhang, Z.-G. (2019). Targeting purinergic receptor P2Y2 prevents the growth of pancreatic ductal adenocarcinoma by inhibiting cancer cell glycolysis. </w:t>
              </w:r>
              <w:r w:rsidRPr="00855767">
                <w:rPr>
                  <w:i/>
                  <w:iCs/>
                </w:rPr>
                <w:t>Clinical Cancer Research</w:t>
              </w:r>
              <w:r w:rsidRPr="00855767">
                <w:t xml:space="preserve">, 25(4), 1318–1330. </w:t>
              </w:r>
              <w:hyperlink r:id="rId32" w:tgtFrame="_new" w:history="1">
                <w:r w:rsidRPr="00855767">
                  <w:rPr>
                    <w:rStyle w:val="Hyperlink"/>
                  </w:rPr>
                  <w:t>https://doi.org/10.1158/1078-0432.ccr-18-2297</w:t>
                </w:r>
              </w:hyperlink>
              <w:r w:rsidRPr="00855767">
                <w:t>.</w:t>
              </w:r>
            </w:p>
            <w:p w14:paraId="3096BDC6" w14:textId="77777777" w:rsidR="00855767" w:rsidRPr="00855767" w:rsidRDefault="00855767" w:rsidP="003941E5">
              <w:pPr>
                <w:spacing w:line="360" w:lineRule="auto"/>
                <w:jc w:val="both"/>
              </w:pPr>
            </w:p>
            <w:p w14:paraId="21FB2CAC" w14:textId="77777777" w:rsidR="00855767" w:rsidRPr="00855767" w:rsidRDefault="00855767" w:rsidP="003941E5">
              <w:pPr>
                <w:spacing w:line="360" w:lineRule="auto"/>
                <w:jc w:val="both"/>
              </w:pPr>
              <w:r w:rsidRPr="00855767">
                <w:t xml:space="preserve">Kitamura, F., Semba, T., Yasuda-Yoshihara, N., Yamada, K., Nishimura, A., Yamasaki, J., Nagano, O., Yasuda, T., Yonemura, A., Tong, Y., Wang, H., Akiyama, T., Matsumura, K., Uemura, N., Itoyama, R., Bu, L., Fu, L., Hu, X., Wei, F., &amp; Mima, K. (2023). Cancer-associated fibroblasts reuse cancer-derived lactate to maintain a fibrotic and immunosuppressive microenvironment in pancreatic cancer. </w:t>
              </w:r>
              <w:r w:rsidRPr="00855767">
                <w:rPr>
                  <w:i/>
                  <w:iCs/>
                </w:rPr>
                <w:t>JCI Insight</w:t>
              </w:r>
              <w:r w:rsidRPr="00855767">
                <w:t xml:space="preserve">, 8(20), Article e163022. </w:t>
              </w:r>
              <w:hyperlink r:id="rId33" w:tgtFrame="_new" w:history="1">
                <w:r w:rsidRPr="00855767">
                  <w:rPr>
                    <w:rStyle w:val="Hyperlink"/>
                  </w:rPr>
                  <w:t>https://doi.org/10.1172/jci.insight.163022</w:t>
                </w:r>
              </w:hyperlink>
              <w:r w:rsidRPr="00855767">
                <w:t>.</w:t>
              </w:r>
            </w:p>
            <w:p w14:paraId="3BED90DC" w14:textId="77777777" w:rsidR="00855767" w:rsidRPr="00855767" w:rsidRDefault="00855767" w:rsidP="003941E5">
              <w:pPr>
                <w:spacing w:line="360" w:lineRule="auto"/>
                <w:jc w:val="both"/>
              </w:pPr>
            </w:p>
            <w:p w14:paraId="23DB219D" w14:textId="77777777" w:rsidR="00855767" w:rsidRPr="00855767" w:rsidRDefault="00855767" w:rsidP="003941E5">
              <w:pPr>
                <w:spacing w:line="360" w:lineRule="auto"/>
                <w:jc w:val="both"/>
              </w:pPr>
              <w:r w:rsidRPr="00855767">
                <w:t xml:space="preserve">Li, X., Zhou, J., Wang, X., Li, C., Ma, Z., Wan, Q., &amp; Peng, F. (2023). Pancreatic cancer and fibrosis: Targeting metabolic reprogramming and crosstalk of cancer-associated fibroblasts in the tumor microenvironment. </w:t>
              </w:r>
              <w:r w:rsidRPr="00855767">
                <w:rPr>
                  <w:i/>
                  <w:iCs/>
                </w:rPr>
                <w:t>Frontiers in Immunology</w:t>
              </w:r>
              <w:r w:rsidRPr="00855767">
                <w:t xml:space="preserve">, 14. </w:t>
              </w:r>
              <w:hyperlink r:id="rId34" w:tgtFrame="_new" w:history="1">
                <w:r w:rsidRPr="00855767">
                  <w:rPr>
                    <w:rStyle w:val="Hyperlink"/>
                  </w:rPr>
                  <w:t>https://doi.org/10.3389/fimmu.2023.1152312</w:t>
                </w:r>
              </w:hyperlink>
              <w:r w:rsidRPr="00855767">
                <w:t>.</w:t>
              </w:r>
            </w:p>
            <w:p w14:paraId="28A547C6" w14:textId="77777777" w:rsidR="00855767" w:rsidRPr="00855767" w:rsidRDefault="00855767" w:rsidP="003941E5">
              <w:pPr>
                <w:spacing w:before="100" w:beforeAutospacing="1" w:after="100" w:afterAutospacing="1" w:line="360" w:lineRule="auto"/>
                <w:jc w:val="both"/>
              </w:pPr>
              <w:r w:rsidRPr="00855767">
                <w:t xml:space="preserve">Liberti, M.V., &amp; Locasale, J.W. (2016). The Warburg effect: How does it benefit cancer cells? </w:t>
              </w:r>
              <w:r w:rsidRPr="00855767">
                <w:rPr>
                  <w:rStyle w:val="Emphasis"/>
                </w:rPr>
                <w:t>Trends in Biochemical Sciences</w:t>
              </w:r>
              <w:r w:rsidRPr="00855767">
                <w:t xml:space="preserve">, 41(3), 211–218. </w:t>
              </w:r>
              <w:hyperlink r:id="rId35" w:tgtFrame="_new" w:history="1">
                <w:r w:rsidRPr="00855767">
                  <w:rPr>
                    <w:rStyle w:val="Hyperlink"/>
                  </w:rPr>
                  <w:t>https://doi.org/10.1016/j.tibs.2015.12.001</w:t>
                </w:r>
              </w:hyperlink>
              <w:r w:rsidRPr="00855767">
                <w:t>.</w:t>
              </w:r>
            </w:p>
            <w:p w14:paraId="67BF3232" w14:textId="77777777" w:rsidR="00855767" w:rsidRPr="00855767" w:rsidRDefault="00855767" w:rsidP="003941E5">
              <w:pPr>
                <w:spacing w:before="100" w:beforeAutospacing="1" w:after="100" w:afterAutospacing="1" w:line="360" w:lineRule="auto"/>
                <w:jc w:val="both"/>
              </w:pPr>
              <w:r w:rsidRPr="00855767">
                <w:t xml:space="preserve">Liu, G.-F., Li, G.-J., &amp; Zhao, H. (2018). Efficacy and toxicity of different chemotherapy regimens in the treatment of advanced or metastatic pancreatic cancer: A network meta-analysis. </w:t>
              </w:r>
              <w:r w:rsidRPr="00855767">
                <w:rPr>
                  <w:rStyle w:val="Emphasis"/>
                </w:rPr>
                <w:t>Journal of Cellular Biochemistry</w:t>
              </w:r>
              <w:r w:rsidRPr="00855767">
                <w:t xml:space="preserve">, 119(1), 511–523. </w:t>
              </w:r>
              <w:hyperlink r:id="rId36" w:tgtFrame="_new" w:history="1">
                <w:r w:rsidRPr="00855767">
                  <w:rPr>
                    <w:rStyle w:val="Hyperlink"/>
                  </w:rPr>
                  <w:t>https://doi.org/10.1002/jcb.26210</w:t>
                </w:r>
              </w:hyperlink>
              <w:r w:rsidRPr="00855767">
                <w:t>.</w:t>
              </w:r>
            </w:p>
            <w:p w14:paraId="2CF59C01" w14:textId="77777777" w:rsidR="00855767" w:rsidRPr="00855767" w:rsidRDefault="00855767" w:rsidP="003941E5">
              <w:pPr>
                <w:spacing w:before="100" w:beforeAutospacing="1" w:after="100" w:afterAutospacing="1" w:line="360" w:lineRule="auto"/>
                <w:jc w:val="both"/>
              </w:pPr>
              <w:r w:rsidRPr="00855767">
                <w:t xml:space="preserve">Masoud, R., Reyes-Castellanos, G., Lac, S., Garcia, J., Dou, S., Shintu, L., Abdel Hadi, N., Gicquel, T., El Kaoutari, A., Diémé, B., Tranchida, F., Cormareche, L., Borge, L., Gayet, O., Pasquier, E., Dusetti, N., Iovanna, J., &amp; Carrier, A. (2020). Targeting mitochondrial complex I overcomes chemoresistance in high OXPHOS pancreatic cancer. </w:t>
              </w:r>
              <w:r w:rsidRPr="00855767">
                <w:rPr>
                  <w:rStyle w:val="Emphasis"/>
                </w:rPr>
                <w:t>Cell Reports Medicine</w:t>
              </w:r>
              <w:r w:rsidRPr="00855767">
                <w:t xml:space="preserve">, 1(8), Article 100143. </w:t>
              </w:r>
              <w:hyperlink r:id="rId37" w:tgtFrame="_new" w:history="1">
                <w:r w:rsidRPr="00855767">
                  <w:rPr>
                    <w:rStyle w:val="Hyperlink"/>
                  </w:rPr>
                  <w:t>https://doi.org/10.1016/j.xcrm.2020.100143</w:t>
                </w:r>
              </w:hyperlink>
              <w:r w:rsidRPr="00855767">
                <w:t>.</w:t>
              </w:r>
            </w:p>
            <w:p w14:paraId="656EA528" w14:textId="77777777" w:rsidR="00855767" w:rsidRPr="00855767" w:rsidRDefault="00855767" w:rsidP="003941E5">
              <w:pPr>
                <w:spacing w:before="100" w:beforeAutospacing="1" w:after="100" w:afterAutospacing="1" w:line="360" w:lineRule="auto"/>
                <w:jc w:val="both"/>
              </w:pPr>
              <w:r w:rsidRPr="00855767">
                <w:lastRenderedPageBreak/>
                <w:t xml:space="preserve">Michl, J., Wang, Y., Monterisi, S., Blaszczak, W., Beveridge, R., Bridges, E.M., Koth, J., Bodmer, W.F., &amp; Swietach, P. (2022). CRISPR-Cas9 screen identifies oxidative phosphorylation as essential for cancer cell survival at low extracellular pH. </w:t>
              </w:r>
              <w:r w:rsidRPr="00855767">
                <w:rPr>
                  <w:rStyle w:val="Emphasis"/>
                </w:rPr>
                <w:t>Cell Reports</w:t>
              </w:r>
              <w:r w:rsidRPr="00855767">
                <w:t xml:space="preserve">, 38(10), Article 110493. </w:t>
              </w:r>
              <w:hyperlink r:id="rId38" w:tgtFrame="_new" w:history="1">
                <w:r w:rsidRPr="00855767">
                  <w:rPr>
                    <w:rStyle w:val="Hyperlink"/>
                  </w:rPr>
                  <w:t>https://doi.org/10.1016/j.celrep.2022.110493</w:t>
                </w:r>
              </w:hyperlink>
              <w:r w:rsidRPr="00855767">
                <w:t>.</w:t>
              </w:r>
            </w:p>
            <w:p w14:paraId="60C2E4B8" w14:textId="77777777" w:rsidR="00855767" w:rsidRPr="00855767" w:rsidRDefault="00855767" w:rsidP="003941E5">
              <w:pPr>
                <w:spacing w:before="100" w:beforeAutospacing="1" w:after="100" w:afterAutospacing="1" w:line="360" w:lineRule="auto"/>
                <w:jc w:val="both"/>
              </w:pPr>
              <w:r w:rsidRPr="00855767">
                <w:t xml:space="preserve">Mohammad, G.H., Vassileva, V., Acedo, P., Olde Damink, S.W.M., Malago, M., Dhar, D.K., &amp; Pereira, S.P. (2019). Targeting pyruvate kinase M2 and lactate dehydrogenase A is an effective combination strategy for the treatment of pancreatic cancer. </w:t>
              </w:r>
              <w:r w:rsidRPr="00855767">
                <w:rPr>
                  <w:rStyle w:val="Emphasis"/>
                </w:rPr>
                <w:t>Cancers</w:t>
              </w:r>
              <w:r w:rsidRPr="00855767">
                <w:t xml:space="preserve">, 11(9), Article 1372. </w:t>
              </w:r>
              <w:hyperlink r:id="rId39" w:tgtFrame="_new" w:history="1">
                <w:r w:rsidRPr="00855767">
                  <w:rPr>
                    <w:rStyle w:val="Hyperlink"/>
                  </w:rPr>
                  <w:t>https://doi.org/10.3390/cancers11091372</w:t>
                </w:r>
              </w:hyperlink>
              <w:r w:rsidRPr="00855767">
                <w:t>.</w:t>
              </w:r>
            </w:p>
            <w:p w14:paraId="2FCD43FB" w14:textId="77777777" w:rsidR="00855767" w:rsidRPr="00855767" w:rsidRDefault="00855767" w:rsidP="003941E5">
              <w:pPr>
                <w:spacing w:before="100" w:beforeAutospacing="1" w:after="100" w:afterAutospacing="1" w:line="360" w:lineRule="auto"/>
                <w:jc w:val="both"/>
              </w:pPr>
              <w:r w:rsidRPr="00855767">
                <w:t xml:space="preserve">Moir, J.A.G., Long, A., Haugk, B., French, J.J., Charnley, R.M., Manas, D.M., Wedge, S.R., Mann, J., Robinson, S.M., &amp; White, S.A. (2020). Therapeutic strategies toward lactate dehydrogenase within the tumor microenvironment of pancreatic cancer. </w:t>
              </w:r>
              <w:r w:rsidRPr="00855767">
                <w:rPr>
                  <w:rStyle w:val="Emphasis"/>
                </w:rPr>
                <w:t>Pancreas</w:t>
              </w:r>
              <w:r w:rsidRPr="00855767">
                <w:t xml:space="preserve">, 49(10), 1364–1371. </w:t>
              </w:r>
              <w:hyperlink r:id="rId40" w:tgtFrame="_new" w:history="1">
                <w:r w:rsidRPr="00855767">
                  <w:rPr>
                    <w:rStyle w:val="Hyperlink"/>
                  </w:rPr>
                  <w:t>https://doi.org/10.1097/mpa.0000000000001689</w:t>
                </w:r>
              </w:hyperlink>
              <w:r w:rsidRPr="00855767">
                <w:t>.</w:t>
              </w:r>
            </w:p>
            <w:p w14:paraId="70B5C58E" w14:textId="77777777" w:rsidR="00855767" w:rsidRPr="00855767" w:rsidRDefault="00855767" w:rsidP="003941E5">
              <w:pPr>
                <w:spacing w:before="100" w:beforeAutospacing="1" w:after="100" w:afterAutospacing="1" w:line="360" w:lineRule="auto"/>
                <w:jc w:val="both"/>
              </w:pPr>
              <w:r w:rsidRPr="00855767">
                <w:t xml:space="preserve">Niemeijer, N.D., Papathomas, T.V., Korpershoek, E., Ronald, R., Oudijk, L., Morreau, H., Bayley, J.-P., Hes, F.J., Jansen, J.P., Dinjens, W.N.M., &amp; Corssmit, E.P.M. (2015). Succinate dehydrogenase (SDH)-deficient pancreatic neuroendocrine tumor expands the SDH-related tumor spectrum. </w:t>
              </w:r>
              <w:r w:rsidRPr="00855767">
                <w:rPr>
                  <w:rStyle w:val="Emphasis"/>
                </w:rPr>
                <w:t>The Journal of Clinical Endocrinology &amp; Metabolism</w:t>
              </w:r>
              <w:r w:rsidRPr="00855767">
                <w:t xml:space="preserve">, 100(10), E1386–E1393. </w:t>
              </w:r>
              <w:hyperlink r:id="rId41" w:tgtFrame="_new" w:history="1">
                <w:r w:rsidRPr="00855767">
                  <w:rPr>
                    <w:rStyle w:val="Hyperlink"/>
                  </w:rPr>
                  <w:t>https://doi.org/10.1210/jc.2015-2689</w:t>
                </w:r>
              </w:hyperlink>
              <w:r w:rsidRPr="00855767">
                <w:t>.</w:t>
              </w:r>
            </w:p>
            <w:p w14:paraId="0868BC78" w14:textId="77777777" w:rsidR="00855767" w:rsidRPr="00855767" w:rsidRDefault="00855767" w:rsidP="003941E5">
              <w:pPr>
                <w:spacing w:before="100" w:beforeAutospacing="1" w:after="100" w:afterAutospacing="1" w:line="360" w:lineRule="auto"/>
                <w:jc w:val="both"/>
              </w:pPr>
              <w:r w:rsidRPr="00855767">
                <w:t xml:space="preserve">OpenAI. (2025). </w:t>
              </w:r>
              <w:r w:rsidRPr="00855767">
                <w:rPr>
                  <w:rStyle w:val="Emphasis"/>
                </w:rPr>
                <w:t>ChatGPT</w:t>
              </w:r>
              <w:r w:rsidRPr="00855767">
                <w:t xml:space="preserve">. Available at: </w:t>
              </w:r>
              <w:hyperlink r:id="rId42" w:tgtFrame="_new" w:history="1">
                <w:r w:rsidRPr="00855767">
                  <w:rPr>
                    <w:rStyle w:val="Hyperlink"/>
                  </w:rPr>
                  <w:t>https://chat.openai.com/</w:t>
                </w:r>
              </w:hyperlink>
              <w:r w:rsidRPr="00855767">
                <w:t xml:space="preserve"> [Accessed 24 Mar. 2025].</w:t>
              </w:r>
            </w:p>
            <w:p w14:paraId="35130004" w14:textId="77777777" w:rsidR="00855767" w:rsidRPr="00855767" w:rsidRDefault="00855767" w:rsidP="003941E5">
              <w:pPr>
                <w:spacing w:before="100" w:beforeAutospacing="1" w:after="100" w:afterAutospacing="1" w:line="360" w:lineRule="auto"/>
                <w:jc w:val="both"/>
              </w:pPr>
              <w:r w:rsidRPr="00855767">
                <w:t xml:space="preserve">Isayev, O., Rausch, V., Bauer, N., Liu, L., Fan, P., Zhang, Y., Gladkich, N.J., Nwaeburu, C.C., Mattern, J., Mollenhauer, M., Rückert, F., Zach, S., Haberkorn, U., Gross, W., Schönsiegel, F., Bazhin, A.V., &amp; Herr, I. (2014). Inhibition of glucose turnover by 3-bromopyruvate counteracts pancreatic cancer stem cell features and sensitizes cells to gemcitabine. </w:t>
              </w:r>
              <w:r w:rsidRPr="00855767">
                <w:rPr>
                  <w:rStyle w:val="Emphasis"/>
                </w:rPr>
                <w:t>Oncotarget</w:t>
              </w:r>
              <w:r w:rsidRPr="00855767">
                <w:t xml:space="preserve">, 5(13), 5177–5189. </w:t>
              </w:r>
              <w:hyperlink r:id="rId43" w:tgtFrame="_new" w:history="1">
                <w:r w:rsidRPr="00855767">
                  <w:rPr>
                    <w:rStyle w:val="Hyperlink"/>
                  </w:rPr>
                  <w:t>https://doi.org/10.18632/oncotarget.2120</w:t>
                </w:r>
              </w:hyperlink>
              <w:r w:rsidRPr="00855767">
                <w:t>.</w:t>
              </w:r>
            </w:p>
            <w:p w14:paraId="34F46AAD" w14:textId="77777777" w:rsidR="00855767" w:rsidRPr="00855767" w:rsidRDefault="00855767" w:rsidP="003941E5">
              <w:pPr>
                <w:spacing w:before="100" w:beforeAutospacing="1" w:after="100" w:afterAutospacing="1" w:line="360" w:lineRule="auto"/>
                <w:jc w:val="both"/>
              </w:pPr>
              <w:r w:rsidRPr="00855767">
                <w:t xml:space="preserve">Raez, L.E., Papadopoulos, K., Ricart, A.D., Chiorean, E.G., DiPaola, R.S., Stein, M.N., Rocha Lima, C.M., Schlesselman, J.J., Tolba, K., Langmuir, V.K., Kroll, S., Jung, D.T., Kurtoglu, M., Rosenblatt, J., &amp; Lampidis, T.J. (2012). A phase I dose-escalation trial of 2-deoxy-D-glucose alone or combined with docetaxel in patients with advanced solid tumors. </w:t>
              </w:r>
              <w:r w:rsidRPr="00855767">
                <w:rPr>
                  <w:rStyle w:val="Emphasis"/>
                </w:rPr>
                <w:t>Cancer Chemotherapy &amp; Pharmacology</w:t>
              </w:r>
              <w:r w:rsidRPr="00855767">
                <w:t xml:space="preserve">, 71(2), 523–530. </w:t>
              </w:r>
              <w:hyperlink r:id="rId44" w:tgtFrame="_new" w:history="1">
                <w:r w:rsidRPr="00855767">
                  <w:rPr>
                    <w:rStyle w:val="Hyperlink"/>
                  </w:rPr>
                  <w:t>https://doi.org/10.1007/s00280-012-2045-1</w:t>
                </w:r>
              </w:hyperlink>
              <w:r w:rsidRPr="00855767">
                <w:t>.</w:t>
              </w:r>
            </w:p>
            <w:p w14:paraId="2B860966" w14:textId="31A19401" w:rsidR="00AF0994" w:rsidRPr="00AF0994" w:rsidRDefault="00AF0994" w:rsidP="003941E5">
              <w:pPr>
                <w:spacing w:before="100" w:beforeAutospacing="1" w:after="100" w:afterAutospacing="1" w:line="360" w:lineRule="auto"/>
                <w:jc w:val="both"/>
              </w:pPr>
              <w:r w:rsidRPr="00AF0994">
                <w:t xml:space="preserve">Rasul, M.F., Wu, X., Yang, X. and Su, J., 2022. Strategies to overcome the main challenges of the use of CRISPR/Cas9 as a replacement for cancer therapy. </w:t>
              </w:r>
              <w:r w:rsidRPr="00AF0994">
                <w:rPr>
                  <w:i/>
                  <w:iCs/>
                </w:rPr>
                <w:t>Molecular Cancer</w:t>
              </w:r>
              <w:r w:rsidRPr="00AF0994">
                <w:t xml:space="preserve">, 21(1), p.1. </w:t>
              </w:r>
              <w:hyperlink r:id="rId45" w:tgtFrame="_new" w:history="1">
                <w:r w:rsidRPr="00AF0994">
                  <w:rPr>
                    <w:rStyle w:val="Hyperlink"/>
                  </w:rPr>
                  <w:t>https://doi.org/10.1186/s12943-021-01487-4</w:t>
                </w:r>
              </w:hyperlink>
            </w:p>
            <w:p w14:paraId="1FAD44CB" w14:textId="3778ACB2" w:rsidR="00855767" w:rsidRPr="00855767" w:rsidRDefault="00855767" w:rsidP="003941E5">
              <w:pPr>
                <w:spacing w:before="100" w:beforeAutospacing="1" w:after="100" w:afterAutospacing="1" w:line="360" w:lineRule="auto"/>
                <w:jc w:val="both"/>
              </w:pPr>
              <w:r w:rsidRPr="00855767">
                <w:lastRenderedPageBreak/>
                <w:t xml:space="preserve">Sancho, P., Burgos-Ramos, E., Tavera, A., Bou Kheir, T., Jagust, P., Schoenhals, M., Barneda, D., Sellers, K., Campos-Olivas, R., Graña, O., Viera, C.R., Yuneva, M., Sainz, B., &amp; Heeschen, C. (2015). MYC/PGC-1α balance determines the metabolic phenotype and plasticity of pancreatic cancer stem cells. </w:t>
              </w:r>
              <w:r w:rsidRPr="00855767">
                <w:rPr>
                  <w:rStyle w:val="Emphasis"/>
                </w:rPr>
                <w:t>Cell Metabolism</w:t>
              </w:r>
              <w:r w:rsidRPr="00855767">
                <w:t xml:space="preserve">, 22(4), 590–605. </w:t>
              </w:r>
              <w:hyperlink r:id="rId46" w:tgtFrame="_new" w:history="1">
                <w:r w:rsidRPr="00855767">
                  <w:rPr>
                    <w:rStyle w:val="Hyperlink"/>
                  </w:rPr>
                  <w:t>https://doi.org/10.1016/j.cmet.2015.08.015</w:t>
                </w:r>
              </w:hyperlink>
              <w:r w:rsidRPr="00855767">
                <w:t>.</w:t>
              </w:r>
            </w:p>
            <w:p w14:paraId="5534E055" w14:textId="77777777" w:rsidR="00855767" w:rsidRPr="00855767" w:rsidRDefault="00855767" w:rsidP="003941E5">
              <w:pPr>
                <w:spacing w:before="100" w:beforeAutospacing="1" w:after="100" w:afterAutospacing="1" w:line="360" w:lineRule="auto"/>
                <w:jc w:val="both"/>
              </w:pPr>
              <w:r w:rsidRPr="00855767">
                <w:t xml:space="preserve">Sarantis, P., Koustas, E., Papadimitropoulou, A., Papavassiliou, A.G., &amp; Karamouzis, M.V. (2020). Pancreatic ductal adenocarcinoma: Treatment hurdles, tumor microenvironment, and immunotherapy. </w:t>
              </w:r>
              <w:r w:rsidRPr="00855767">
                <w:rPr>
                  <w:rStyle w:val="Emphasis"/>
                </w:rPr>
                <w:t>World Journal of Gastrointestinal Oncology</w:t>
              </w:r>
              <w:r w:rsidRPr="00855767">
                <w:t xml:space="preserve">, 12(2), 173–181. </w:t>
              </w:r>
              <w:hyperlink r:id="rId47" w:tgtFrame="_new" w:history="1">
                <w:r w:rsidRPr="00855767">
                  <w:rPr>
                    <w:rStyle w:val="Hyperlink"/>
                  </w:rPr>
                  <w:t>https://doi.org/10.4251/wjgo.v12.i2.173</w:t>
                </w:r>
              </w:hyperlink>
              <w:r w:rsidRPr="00855767">
                <w:t>.</w:t>
              </w:r>
            </w:p>
            <w:p w14:paraId="688F0CBF" w14:textId="77777777" w:rsidR="00855767" w:rsidRPr="00855767" w:rsidRDefault="00855767" w:rsidP="003941E5">
              <w:pPr>
                <w:spacing w:before="100" w:beforeAutospacing="1" w:after="100" w:afterAutospacing="1" w:line="360" w:lineRule="auto"/>
                <w:jc w:val="both"/>
              </w:pPr>
              <w:r w:rsidRPr="00855767">
                <w:t xml:space="preserve">Shukla, S.K., Purohit, V., Mehla, K., Gunda, V., Chaika, N.V., Vernucci, E., King, R.J., Abrego, J., Goode, G.D., Dasgupta, A., Illies, A.L., Gebregiworgis, T., Dai, B., Augustine, J.J., Murthy, D., Attri, K.S., Mashadova, O., Grandgenett, P.M., Powers, R., &amp; Ly, Q.P. (2017). MUC1 and HIF-1α signaling crosstalk induces anabolic glucose metabolism to impart gemcitabine resistance to pancreatic cancer. </w:t>
              </w:r>
              <w:r w:rsidRPr="00855767">
                <w:rPr>
                  <w:rStyle w:val="Emphasis"/>
                </w:rPr>
                <w:t>Cancer Cell</w:t>
              </w:r>
              <w:r w:rsidRPr="00855767">
                <w:t xml:space="preserve">, 32(1), 71–87.e7. </w:t>
              </w:r>
              <w:hyperlink r:id="rId48" w:tgtFrame="_new" w:history="1">
                <w:r w:rsidRPr="00855767">
                  <w:rPr>
                    <w:rStyle w:val="Hyperlink"/>
                  </w:rPr>
                  <w:t>https://doi.org/10.1016/j.ccell.2017.06.004</w:t>
                </w:r>
              </w:hyperlink>
              <w:r w:rsidRPr="00855767">
                <w:t>.</w:t>
              </w:r>
            </w:p>
            <w:p w14:paraId="52E8DC7E" w14:textId="77777777" w:rsidR="00855767" w:rsidRPr="00855767" w:rsidRDefault="00855767" w:rsidP="003941E5">
              <w:pPr>
                <w:spacing w:before="100" w:beforeAutospacing="1" w:after="100" w:afterAutospacing="1" w:line="360" w:lineRule="auto"/>
                <w:jc w:val="both"/>
              </w:pPr>
              <w:r w:rsidRPr="00855767">
                <w:t xml:space="preserve">Tee, S.S., Park, J.M., Hurd, R.E., Brimacombe, K.R., Boxer, M.B., Massoud, T.F., Rutt, B.K., &amp; Spielman, D.M. (2017). PKM2 activation sensitizes cancer cells to growth inhibition by 2-deoxy-D-glucose. </w:t>
              </w:r>
              <w:r w:rsidRPr="00855767">
                <w:rPr>
                  <w:rStyle w:val="Emphasis"/>
                </w:rPr>
                <w:t>Oncotarget</w:t>
              </w:r>
              <w:r w:rsidRPr="00855767">
                <w:t xml:space="preserve">, 8(53), 90959–90968. </w:t>
              </w:r>
              <w:hyperlink r:id="rId49" w:tgtFrame="_new" w:history="1">
                <w:r w:rsidRPr="00855767">
                  <w:rPr>
                    <w:rStyle w:val="Hyperlink"/>
                  </w:rPr>
                  <w:t>https://doi.org/10.18632/oncotarget.19630</w:t>
                </w:r>
              </w:hyperlink>
              <w:r w:rsidRPr="00855767">
                <w:t>.</w:t>
              </w:r>
            </w:p>
            <w:p w14:paraId="4A5FB732" w14:textId="77777777" w:rsidR="00855767" w:rsidRPr="00855767" w:rsidRDefault="00855767" w:rsidP="003941E5">
              <w:pPr>
                <w:spacing w:before="100" w:beforeAutospacing="1" w:after="100" w:afterAutospacing="1" w:line="360" w:lineRule="auto"/>
                <w:jc w:val="both"/>
              </w:pPr>
              <w:r w:rsidRPr="00855767">
                <w:t xml:space="preserve">Tanton, H., Voronina, S., Evans, A., Armstrong, J., Sutton, R., Criddle, D.N., Haynes, L., Schmid, M.C., Campbell, F., Costello, E., &amp; Tepikin, A.V. (2018). F1F0-ATP Synthase Inhibitory Factor 1 in the Normal Pancreas and in Pancreatic Ductal Adenocarcinoma: Effects on Bioenergetics, Invasion, and Proliferation. </w:t>
              </w:r>
              <w:r w:rsidRPr="00855767">
                <w:rPr>
                  <w:rStyle w:val="Emphasis"/>
                </w:rPr>
                <w:t>Frontiers in Physiology</w:t>
              </w:r>
              <w:r w:rsidRPr="00855767">
                <w:t xml:space="preserve">, 9. </w:t>
              </w:r>
              <w:hyperlink r:id="rId50" w:tgtFrame="_new" w:history="1">
                <w:r w:rsidRPr="00855767">
                  <w:rPr>
                    <w:rStyle w:val="Hyperlink"/>
                  </w:rPr>
                  <w:t>https://doi.org/10.3389/fphys.2018.00833</w:t>
                </w:r>
              </w:hyperlink>
              <w:r w:rsidRPr="00855767">
                <w:t>.</w:t>
              </w:r>
            </w:p>
            <w:p w14:paraId="5503E8CE" w14:textId="77777777" w:rsidR="00855767" w:rsidRPr="00855767" w:rsidRDefault="00855767" w:rsidP="003941E5">
              <w:pPr>
                <w:spacing w:before="100" w:beforeAutospacing="1" w:after="100" w:afterAutospacing="1" w:line="360" w:lineRule="auto"/>
                <w:jc w:val="both"/>
              </w:pPr>
              <w:r w:rsidRPr="00855767">
                <w:t xml:space="preserve">Tian, Z., Tan, Y., Lin, X., Su, M., Pan, L., Lin, L., Ou, G., &amp; Chen, Y. (2023). Arsenic trioxide sensitizes pancreatic cancer cells to gemcitabine through downregulation of the TIMP1/PI3K/AKT/mTOR axis. </w:t>
              </w:r>
              <w:r w:rsidRPr="00855767">
                <w:rPr>
                  <w:rStyle w:val="Emphasis"/>
                </w:rPr>
                <w:t>Translational Research: The Journal of Laboratory and Clinical Medicine</w:t>
              </w:r>
              <w:r w:rsidRPr="00855767">
                <w:t xml:space="preserve">, 255, 66–76. </w:t>
              </w:r>
              <w:hyperlink r:id="rId51" w:tgtFrame="_new" w:history="1">
                <w:r w:rsidRPr="00855767">
                  <w:rPr>
                    <w:rStyle w:val="Hyperlink"/>
                  </w:rPr>
                  <w:t>https://doi.org/10.1016/j.trsl.2022.11.007</w:t>
                </w:r>
              </w:hyperlink>
              <w:r w:rsidRPr="00855767">
                <w:t>.</w:t>
              </w:r>
            </w:p>
            <w:p w14:paraId="12071968" w14:textId="77777777" w:rsidR="00855767" w:rsidRPr="00855767" w:rsidRDefault="00855767" w:rsidP="003941E5">
              <w:pPr>
                <w:spacing w:before="100" w:beforeAutospacing="1" w:after="100" w:afterAutospacing="1" w:line="360" w:lineRule="auto"/>
                <w:jc w:val="both"/>
              </w:pPr>
              <w:r w:rsidRPr="00855767">
                <w:t xml:space="preserve">Tsuji, A., Akao, T., Masuya, T., Murai, M., &amp; Miyoshi, H. (2020). IACS-010759, a potent inhibitor of glycolysis-deficient hypoxic tumor cells, inhibits mitochondrial respiratory complex I through a unique mechanism. </w:t>
              </w:r>
              <w:r w:rsidRPr="00855767">
                <w:rPr>
                  <w:rStyle w:val="Emphasis"/>
                </w:rPr>
                <w:t>Journal of Biological Chemistry</w:t>
              </w:r>
              <w:r w:rsidRPr="00855767">
                <w:t xml:space="preserve">, 295(21), 7481–7491. </w:t>
              </w:r>
              <w:hyperlink r:id="rId52" w:tgtFrame="_new" w:history="1">
                <w:r w:rsidRPr="00855767">
                  <w:rPr>
                    <w:rStyle w:val="Hyperlink"/>
                  </w:rPr>
                  <w:t>https://doi.org/10.1074/jbc.ra120.013366</w:t>
                </w:r>
              </w:hyperlink>
              <w:r w:rsidRPr="00855767">
                <w:t>.</w:t>
              </w:r>
            </w:p>
            <w:p w14:paraId="356653D8" w14:textId="77777777" w:rsidR="00855767" w:rsidRPr="00855767" w:rsidRDefault="00855767" w:rsidP="003941E5">
              <w:pPr>
                <w:spacing w:before="100" w:beforeAutospacing="1" w:after="100" w:afterAutospacing="1" w:line="360" w:lineRule="auto"/>
                <w:jc w:val="both"/>
              </w:pPr>
              <w:r w:rsidRPr="00855767">
                <w:lastRenderedPageBreak/>
                <w:t xml:space="preserve">Vasseur, S., Tomasini, R., Tournaire, R., &amp; Iovanna, J.L. (2010). Hypoxia induced tumor metabolic switch contributes to pancreatic cancer aggressiveness. </w:t>
              </w:r>
              <w:r w:rsidRPr="00855767">
                <w:rPr>
                  <w:rStyle w:val="Emphasis"/>
                </w:rPr>
                <w:t>Cancers</w:t>
              </w:r>
              <w:r w:rsidRPr="00855767">
                <w:t xml:space="preserve">, 2(4), 2138–2152. </w:t>
              </w:r>
              <w:hyperlink r:id="rId53" w:tgtFrame="_new" w:history="1">
                <w:r w:rsidRPr="00855767">
                  <w:rPr>
                    <w:rStyle w:val="Hyperlink"/>
                  </w:rPr>
                  <w:t>https://doi.org/10.3390/cancers2042138</w:t>
                </w:r>
              </w:hyperlink>
              <w:r w:rsidRPr="00855767">
                <w:t>.</w:t>
              </w:r>
            </w:p>
            <w:p w14:paraId="31AB4DA0" w14:textId="77777777" w:rsidR="00855767" w:rsidRPr="00855767" w:rsidRDefault="00855767" w:rsidP="003941E5">
              <w:pPr>
                <w:spacing w:before="100" w:beforeAutospacing="1" w:after="100" w:afterAutospacing="1" w:line="360" w:lineRule="auto"/>
                <w:jc w:val="both"/>
              </w:pPr>
              <w:r w:rsidRPr="00855767">
                <w:t xml:space="preserve">Wang, D., Wang, F., Kong, X., Li, Q., Shi, H., Zhao, S., Li, W., Li, Y., &amp; Meng, J. (2022). The role of metabolic reprogramming in cancer metastasis and potential mechanism of traditional Chinese medicine intervention. </w:t>
              </w:r>
              <w:r w:rsidRPr="00855767">
                <w:rPr>
                  <w:rStyle w:val="Emphasis"/>
                </w:rPr>
                <w:t>Biomedicine &amp; Pharmacotherapy</w:t>
              </w:r>
              <w:r w:rsidRPr="00855767">
                <w:t xml:space="preserve">, 153, Article 113376. </w:t>
              </w:r>
              <w:hyperlink r:id="rId54" w:tgtFrame="_new" w:history="1">
                <w:r w:rsidRPr="00855767">
                  <w:rPr>
                    <w:rStyle w:val="Hyperlink"/>
                  </w:rPr>
                  <w:t>https://doi.org/10.1016/j.biopha.2022.113376</w:t>
                </w:r>
              </w:hyperlink>
              <w:r w:rsidRPr="00855767">
                <w:t>.</w:t>
              </w:r>
            </w:p>
            <w:p w14:paraId="13CDC9E5" w14:textId="77777777" w:rsidR="00855767" w:rsidRPr="00855767" w:rsidRDefault="00855767" w:rsidP="003941E5">
              <w:pPr>
                <w:spacing w:before="100" w:beforeAutospacing="1" w:after="100" w:afterAutospacing="1" w:line="360" w:lineRule="auto"/>
                <w:jc w:val="both"/>
              </w:pPr>
              <w:r w:rsidRPr="00855767">
                <w:t xml:space="preserve">Wu, B., Wang, Z., Liu, J., Li, N., Wang, X., Bai, H., Wang, C., Shi, J., Zhang, S., Song, J., Li, Y., &amp; Nie, G. (2024). Dual rectification of metabolism abnormality in pancreatic cancer by a programmed nanomedicine. </w:t>
              </w:r>
              <w:r w:rsidRPr="00855767">
                <w:rPr>
                  <w:rStyle w:val="Emphasis"/>
                </w:rPr>
                <w:t>Nature Communications</w:t>
              </w:r>
              <w:r w:rsidRPr="00855767">
                <w:t xml:space="preserve">, 15(1). </w:t>
              </w:r>
              <w:hyperlink r:id="rId55" w:tgtFrame="_new" w:history="1">
                <w:r w:rsidRPr="00855767">
                  <w:rPr>
                    <w:rStyle w:val="Hyperlink"/>
                  </w:rPr>
                  <w:t>https://doi.org/10.1038/s41467-024-54963-y</w:t>
                </w:r>
              </w:hyperlink>
              <w:r w:rsidRPr="00855767">
                <w:t>.</w:t>
              </w:r>
            </w:p>
            <w:p w14:paraId="58C716B4" w14:textId="77777777" w:rsidR="00855767" w:rsidRPr="00855767" w:rsidRDefault="00855767" w:rsidP="003941E5">
              <w:pPr>
                <w:spacing w:before="100" w:beforeAutospacing="1" w:after="100" w:afterAutospacing="1" w:line="360" w:lineRule="auto"/>
                <w:jc w:val="both"/>
              </w:pPr>
              <w:r w:rsidRPr="00855767">
                <w:t xml:space="preserve">Xiao, H., Li, S., Zhang, D., Liu, T., Yu, M., &amp; Wang, F. (2012). Separate and concurrent use of 2-deoxy-D-glucose and 3-bromopyruvate in pancreatic cancer cells. </w:t>
              </w:r>
              <w:r w:rsidRPr="00855767">
                <w:rPr>
                  <w:rStyle w:val="Emphasis"/>
                </w:rPr>
                <w:t>Oncology Reports</w:t>
              </w:r>
              <w:r w:rsidRPr="00855767">
                <w:t xml:space="preserve">, 29(1), 329–334. </w:t>
              </w:r>
              <w:hyperlink r:id="rId56" w:tgtFrame="_new" w:history="1">
                <w:r w:rsidRPr="00855767">
                  <w:rPr>
                    <w:rStyle w:val="Hyperlink"/>
                  </w:rPr>
                  <w:t>https://doi.org/10.3892/or.2012.2085</w:t>
                </w:r>
              </w:hyperlink>
              <w:r w:rsidRPr="00855767">
                <w:t>.</w:t>
              </w:r>
            </w:p>
            <w:p w14:paraId="68BEE04A" w14:textId="77777777" w:rsidR="00855767" w:rsidRPr="00855767" w:rsidRDefault="00855767" w:rsidP="003941E5">
              <w:pPr>
                <w:spacing w:before="100" w:beforeAutospacing="1" w:after="100" w:afterAutospacing="1" w:line="360" w:lineRule="auto"/>
                <w:jc w:val="both"/>
              </w:pPr>
              <w:r w:rsidRPr="00855767">
                <w:t xml:space="preserve">Xu, Y., Xue, D., Kyani, A., Bankhead, A., Roy, J., Ljungman, M., &amp; Neamati, N. (2023). First-in-class NADH/ubiquinone oxidoreductase core subunit S7 (NDUFS7) antagonist for the treatment of pancreatic cancer. </w:t>
              </w:r>
              <w:r w:rsidRPr="00855767">
                <w:rPr>
                  <w:rStyle w:val="Emphasis"/>
                </w:rPr>
                <w:t>PubMed</w:t>
              </w:r>
              <w:r w:rsidRPr="00855767">
                <w:t xml:space="preserve">, 6(8), 1164–1181. </w:t>
              </w:r>
              <w:hyperlink r:id="rId57" w:tgtFrame="_new" w:history="1">
                <w:r w:rsidRPr="00855767">
                  <w:rPr>
                    <w:rStyle w:val="Hyperlink"/>
                  </w:rPr>
                  <w:t>https://doi.org/10.1021/acsptsci.3c00069</w:t>
                </w:r>
              </w:hyperlink>
              <w:r w:rsidRPr="00855767">
                <w:t>.</w:t>
              </w:r>
            </w:p>
            <w:p w14:paraId="7DAF5C1C" w14:textId="77777777" w:rsidR="00855767" w:rsidRPr="00855767" w:rsidRDefault="00855767" w:rsidP="003941E5">
              <w:pPr>
                <w:spacing w:before="100" w:beforeAutospacing="1" w:after="100" w:afterAutospacing="1" w:line="360" w:lineRule="auto"/>
                <w:jc w:val="both"/>
              </w:pPr>
              <w:r w:rsidRPr="00855767">
                <w:t xml:space="preserve">Zhang, F., Ma, Y., Li, D., Wei, J., Chen, K., Zhang, E., Liu, G., Chu, X., Liu, X., Liu, W., Tian, X., &amp; Yang, Y. (2024). Cancer-associated fibroblasts and metabolic reprogramming: unraveling the intricate crosstalk in tumor evolution. </w:t>
              </w:r>
              <w:r w:rsidRPr="00855767">
                <w:rPr>
                  <w:rStyle w:val="Emphasis"/>
                </w:rPr>
                <w:t>Journal of Hematology &amp; Oncology</w:t>
              </w:r>
              <w:r w:rsidRPr="00855767">
                <w:t xml:space="preserve">, 17(1). </w:t>
              </w:r>
              <w:hyperlink r:id="rId58" w:tgtFrame="_new" w:history="1">
                <w:r w:rsidRPr="00855767">
                  <w:rPr>
                    <w:rStyle w:val="Hyperlink"/>
                  </w:rPr>
                  <w:t>https://doi.org/10.1186/s13045-024-01600-2</w:t>
                </w:r>
              </w:hyperlink>
              <w:r w:rsidRPr="00855767">
                <w:t>.</w:t>
              </w:r>
            </w:p>
            <w:p w14:paraId="4B6D8739" w14:textId="77777777" w:rsidR="00855767" w:rsidRPr="00855767" w:rsidRDefault="00855767" w:rsidP="003941E5">
              <w:pPr>
                <w:spacing w:before="100" w:beforeAutospacing="1" w:after="100" w:afterAutospacing="1" w:line="360" w:lineRule="auto"/>
                <w:jc w:val="both"/>
              </w:pPr>
              <w:r w:rsidRPr="00855767">
                <w:t xml:space="preserve">Zhang, J., Wang, Y., Wang, L., You, L., &amp; Zhang, T. (2023). Pancreatic ductal adenocarcinoma chemoresistance: From metabolism reprogramming to novel treatment. </w:t>
              </w:r>
              <w:r w:rsidRPr="00855767">
                <w:rPr>
                  <w:rStyle w:val="Emphasis"/>
                </w:rPr>
                <w:t>Chinese Medical Journal</w:t>
              </w:r>
              <w:r w:rsidRPr="00855767">
                <w:t xml:space="preserve">, 137(4), 408–420. </w:t>
              </w:r>
              <w:hyperlink r:id="rId59" w:tgtFrame="_new" w:history="1">
                <w:r w:rsidRPr="00855767">
                  <w:rPr>
                    <w:rStyle w:val="Hyperlink"/>
                  </w:rPr>
                  <w:t>https://doi.org/10.1097/cm9.0000000000002758</w:t>
                </w:r>
              </w:hyperlink>
              <w:r w:rsidRPr="00855767">
                <w:t>.</w:t>
              </w:r>
            </w:p>
            <w:p w14:paraId="43E962A9" w14:textId="77777777" w:rsidR="00855767" w:rsidRPr="00855767" w:rsidRDefault="00855767" w:rsidP="003941E5">
              <w:pPr>
                <w:spacing w:line="360" w:lineRule="auto"/>
                <w:jc w:val="both"/>
              </w:pPr>
              <w:r w:rsidRPr="00855767">
                <w:rPr>
                  <w:b/>
                  <w:bCs/>
                </w:rPr>
                <w:fldChar w:fldCharType="end"/>
              </w:r>
            </w:p>
          </w:sdtContent>
        </w:sdt>
      </w:sdtContent>
    </w:sdt>
    <w:p w14:paraId="6B7AB5C6" w14:textId="77777777" w:rsidR="00855767" w:rsidRPr="00855767" w:rsidRDefault="00855767" w:rsidP="003941E5">
      <w:pPr>
        <w:spacing w:line="360" w:lineRule="auto"/>
        <w:jc w:val="both"/>
        <w:rPr>
          <w:b/>
          <w:bCs/>
        </w:rPr>
      </w:pPr>
    </w:p>
    <w:p w14:paraId="48FF2CC6" w14:textId="77777777" w:rsidR="0081501E" w:rsidRDefault="0081501E" w:rsidP="003941E5">
      <w:pPr>
        <w:spacing w:line="360" w:lineRule="auto"/>
        <w:jc w:val="both"/>
      </w:pPr>
    </w:p>
    <w:p w14:paraId="4691F1B0" w14:textId="46D82C8B" w:rsidR="00C34B05" w:rsidRPr="00855767" w:rsidRDefault="00C34B05" w:rsidP="003941E5">
      <w:pPr>
        <w:spacing w:line="360" w:lineRule="auto"/>
        <w:jc w:val="both"/>
      </w:pPr>
    </w:p>
    <w:sectPr w:rsidR="00C34B05" w:rsidRPr="00855767" w:rsidSect="00855767">
      <w:footerReference w:type="default" r:id="rId60"/>
      <w:headerReference w:type="first" r:id="rId61"/>
      <w:footerReference w:type="first" r:id="rId62"/>
      <w:pgSz w:w="11909" w:h="16834"/>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C1DD5" w14:textId="77777777" w:rsidR="00A8482B" w:rsidRDefault="00A8482B" w:rsidP="00855767">
      <w:pPr>
        <w:spacing w:line="240" w:lineRule="auto"/>
      </w:pPr>
      <w:r>
        <w:separator/>
      </w:r>
    </w:p>
  </w:endnote>
  <w:endnote w:type="continuationSeparator" w:id="0">
    <w:p w14:paraId="4A97CB20" w14:textId="77777777" w:rsidR="00A8482B" w:rsidRDefault="00A8482B" w:rsidP="008557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7920065"/>
      <w:docPartObj>
        <w:docPartGallery w:val="Page Numbers (Bottom of Page)"/>
        <w:docPartUnique/>
      </w:docPartObj>
    </w:sdtPr>
    <w:sdtEndPr/>
    <w:sdtContent>
      <w:p w14:paraId="23F32E30" w14:textId="1C0D0977" w:rsidR="00855767" w:rsidRDefault="00855767">
        <w:pPr>
          <w:pStyle w:val="Footer"/>
          <w:jc w:val="center"/>
        </w:pPr>
        <w:r>
          <w:t>1</w:t>
        </w:r>
      </w:p>
    </w:sdtContent>
  </w:sdt>
  <w:p w14:paraId="6805073A" w14:textId="77777777" w:rsidR="00855767" w:rsidRDefault="008557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3295194"/>
      <w:docPartObj>
        <w:docPartGallery w:val="Page Numbers (Bottom of Page)"/>
        <w:docPartUnique/>
      </w:docPartObj>
    </w:sdtPr>
    <w:sdtEndPr/>
    <w:sdtContent>
      <w:p w14:paraId="5CB98C79" w14:textId="6E999CF1" w:rsidR="00855767" w:rsidRDefault="00855767">
        <w:pPr>
          <w:pStyle w:val="Footer"/>
          <w:jc w:val="center"/>
        </w:pPr>
        <w:r>
          <w:fldChar w:fldCharType="begin"/>
        </w:r>
        <w:r>
          <w:instrText>PAGE   \* MERGEFORMAT</w:instrText>
        </w:r>
        <w:r>
          <w:fldChar w:fldCharType="separate"/>
        </w:r>
        <w:r>
          <w:t>2</w:t>
        </w:r>
        <w:r>
          <w:fldChar w:fldCharType="end"/>
        </w:r>
      </w:p>
    </w:sdtContent>
  </w:sdt>
  <w:p w14:paraId="0B9BA115" w14:textId="77777777" w:rsidR="00855767" w:rsidRDefault="008557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85802" w14:textId="386B81A5" w:rsidR="00855767" w:rsidRDefault="00855767">
    <w:pPr>
      <w:pStyle w:val="Footer"/>
      <w:jc w:val="center"/>
    </w:pPr>
    <w:r>
      <w:t>1</w:t>
    </w:r>
  </w:p>
  <w:p w14:paraId="44972596" w14:textId="77777777" w:rsidR="00855767" w:rsidRDefault="008557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4F0F5" w14:textId="77777777" w:rsidR="00A8482B" w:rsidRDefault="00A8482B" w:rsidP="00855767">
      <w:pPr>
        <w:spacing w:line="240" w:lineRule="auto"/>
      </w:pPr>
      <w:r>
        <w:separator/>
      </w:r>
    </w:p>
  </w:footnote>
  <w:footnote w:type="continuationSeparator" w:id="0">
    <w:p w14:paraId="3DD85D00" w14:textId="77777777" w:rsidR="00A8482B" w:rsidRDefault="00A8482B" w:rsidP="008557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A5190" w14:textId="77777777" w:rsidR="00855767" w:rsidRDefault="008557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141E7"/>
    <w:multiLevelType w:val="hybridMultilevel"/>
    <w:tmpl w:val="EC74AE7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F1E79D0"/>
    <w:multiLevelType w:val="hybridMultilevel"/>
    <w:tmpl w:val="E27C5DA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F5945C5"/>
    <w:multiLevelType w:val="multilevel"/>
    <w:tmpl w:val="27204D8E"/>
    <w:lvl w:ilvl="0">
      <w:start w:val="1"/>
      <w:numFmt w:val="decimal"/>
      <w:lvlText w:val="%1."/>
      <w:lvlJc w:val="left"/>
      <w:pPr>
        <w:tabs>
          <w:tab w:val="num" w:pos="720"/>
        </w:tabs>
        <w:ind w:left="720" w:hanging="360"/>
      </w:pPr>
    </w:lvl>
    <w:lvl w:ilvl="1">
      <w:numFmt w:val="bullet"/>
      <w:lvlText w:val=""/>
      <w:lvlJc w:val="left"/>
      <w:pPr>
        <w:ind w:left="1440" w:hanging="360"/>
      </w:pPr>
      <w:rPr>
        <w:rFonts w:ascii="Symbol" w:eastAsia="Arial" w:hAnsi="Symbo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402A09"/>
    <w:multiLevelType w:val="multilevel"/>
    <w:tmpl w:val="91BEBB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89755C6"/>
    <w:multiLevelType w:val="hybridMultilevel"/>
    <w:tmpl w:val="9670CF3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AF64E8C"/>
    <w:multiLevelType w:val="multilevel"/>
    <w:tmpl w:val="43405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8406F9"/>
    <w:multiLevelType w:val="multilevel"/>
    <w:tmpl w:val="27204D8E"/>
    <w:lvl w:ilvl="0">
      <w:start w:val="1"/>
      <w:numFmt w:val="decimal"/>
      <w:lvlText w:val="%1."/>
      <w:lvlJc w:val="left"/>
      <w:pPr>
        <w:tabs>
          <w:tab w:val="num" w:pos="720"/>
        </w:tabs>
        <w:ind w:left="720" w:hanging="360"/>
      </w:pPr>
    </w:lvl>
    <w:lvl w:ilvl="1">
      <w:numFmt w:val="bullet"/>
      <w:lvlText w:val=""/>
      <w:lvlJc w:val="left"/>
      <w:pPr>
        <w:ind w:left="1440" w:hanging="360"/>
      </w:pPr>
      <w:rPr>
        <w:rFonts w:ascii="Symbol" w:eastAsia="Arial" w:hAnsi="Symbo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0535FC"/>
    <w:multiLevelType w:val="multilevel"/>
    <w:tmpl w:val="27204D8E"/>
    <w:lvl w:ilvl="0">
      <w:start w:val="1"/>
      <w:numFmt w:val="decimal"/>
      <w:lvlText w:val="%1."/>
      <w:lvlJc w:val="left"/>
      <w:pPr>
        <w:tabs>
          <w:tab w:val="num" w:pos="720"/>
        </w:tabs>
        <w:ind w:left="720" w:hanging="360"/>
      </w:pPr>
    </w:lvl>
    <w:lvl w:ilvl="1">
      <w:numFmt w:val="bullet"/>
      <w:lvlText w:val=""/>
      <w:lvlJc w:val="left"/>
      <w:pPr>
        <w:ind w:left="1440" w:hanging="360"/>
      </w:pPr>
      <w:rPr>
        <w:rFonts w:ascii="Symbol" w:eastAsia="Arial" w:hAnsi="Symbo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14141C"/>
    <w:multiLevelType w:val="multilevel"/>
    <w:tmpl w:val="27204D8E"/>
    <w:lvl w:ilvl="0">
      <w:start w:val="1"/>
      <w:numFmt w:val="decimal"/>
      <w:lvlText w:val="%1."/>
      <w:lvlJc w:val="left"/>
      <w:pPr>
        <w:tabs>
          <w:tab w:val="num" w:pos="720"/>
        </w:tabs>
        <w:ind w:left="720" w:hanging="360"/>
      </w:pPr>
    </w:lvl>
    <w:lvl w:ilvl="1">
      <w:numFmt w:val="bullet"/>
      <w:lvlText w:val=""/>
      <w:lvlJc w:val="left"/>
      <w:pPr>
        <w:ind w:left="1440" w:hanging="360"/>
      </w:pPr>
      <w:rPr>
        <w:rFonts w:ascii="Symbol" w:eastAsia="Arial" w:hAnsi="Symbo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6D0BAA"/>
    <w:multiLevelType w:val="multilevel"/>
    <w:tmpl w:val="5BD0BA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4CF4C30"/>
    <w:multiLevelType w:val="multilevel"/>
    <w:tmpl w:val="1570C5E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324252"/>
    <w:multiLevelType w:val="multilevel"/>
    <w:tmpl w:val="22E05874"/>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BF90B4F"/>
    <w:multiLevelType w:val="multilevel"/>
    <w:tmpl w:val="4CBAD5C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8035367">
    <w:abstractNumId w:val="9"/>
  </w:num>
  <w:num w:numId="2" w16cid:durableId="411777671">
    <w:abstractNumId w:val="3"/>
  </w:num>
  <w:num w:numId="3" w16cid:durableId="193276141">
    <w:abstractNumId w:val="10"/>
  </w:num>
  <w:num w:numId="4" w16cid:durableId="167838483">
    <w:abstractNumId w:val="5"/>
  </w:num>
  <w:num w:numId="5" w16cid:durableId="1730419605">
    <w:abstractNumId w:val="11"/>
  </w:num>
  <w:num w:numId="6" w16cid:durableId="2134400174">
    <w:abstractNumId w:val="7"/>
  </w:num>
  <w:num w:numId="7" w16cid:durableId="111049219">
    <w:abstractNumId w:val="12"/>
  </w:num>
  <w:num w:numId="8" w16cid:durableId="2142066504">
    <w:abstractNumId w:val="2"/>
  </w:num>
  <w:num w:numId="9" w16cid:durableId="1806005436">
    <w:abstractNumId w:val="6"/>
  </w:num>
  <w:num w:numId="10" w16cid:durableId="1744333609">
    <w:abstractNumId w:val="8"/>
  </w:num>
  <w:num w:numId="11" w16cid:durableId="1259213874">
    <w:abstractNumId w:val="0"/>
  </w:num>
  <w:num w:numId="12" w16cid:durableId="933635235">
    <w:abstractNumId w:val="4"/>
  </w:num>
  <w:num w:numId="13" w16cid:durableId="10589442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767"/>
    <w:rsid w:val="000006FF"/>
    <w:rsid w:val="00007975"/>
    <w:rsid w:val="000150D0"/>
    <w:rsid w:val="000244A4"/>
    <w:rsid w:val="0002737D"/>
    <w:rsid w:val="00030518"/>
    <w:rsid w:val="00034A17"/>
    <w:rsid w:val="000355FA"/>
    <w:rsid w:val="00035D37"/>
    <w:rsid w:val="00051FF0"/>
    <w:rsid w:val="000524DD"/>
    <w:rsid w:val="000530A9"/>
    <w:rsid w:val="0005716E"/>
    <w:rsid w:val="0006035B"/>
    <w:rsid w:val="000631DB"/>
    <w:rsid w:val="00072715"/>
    <w:rsid w:val="000808A7"/>
    <w:rsid w:val="00080C0E"/>
    <w:rsid w:val="0008500D"/>
    <w:rsid w:val="00092AA9"/>
    <w:rsid w:val="00092D8D"/>
    <w:rsid w:val="000A1B22"/>
    <w:rsid w:val="000C0625"/>
    <w:rsid w:val="000D3A71"/>
    <w:rsid w:val="000D61A6"/>
    <w:rsid w:val="000F163A"/>
    <w:rsid w:val="001064D2"/>
    <w:rsid w:val="00123D6F"/>
    <w:rsid w:val="00127D5E"/>
    <w:rsid w:val="001327C7"/>
    <w:rsid w:val="00133293"/>
    <w:rsid w:val="00161945"/>
    <w:rsid w:val="00172852"/>
    <w:rsid w:val="00173621"/>
    <w:rsid w:val="00174824"/>
    <w:rsid w:val="00176A46"/>
    <w:rsid w:val="001845E3"/>
    <w:rsid w:val="0019167F"/>
    <w:rsid w:val="00194A43"/>
    <w:rsid w:val="0019543B"/>
    <w:rsid w:val="00195B75"/>
    <w:rsid w:val="001B1C93"/>
    <w:rsid w:val="001B49CD"/>
    <w:rsid w:val="001B58B9"/>
    <w:rsid w:val="001C22AB"/>
    <w:rsid w:val="001C563C"/>
    <w:rsid w:val="001E5A3A"/>
    <w:rsid w:val="00204A1D"/>
    <w:rsid w:val="002122EF"/>
    <w:rsid w:val="002142BA"/>
    <w:rsid w:val="00220577"/>
    <w:rsid w:val="0023383B"/>
    <w:rsid w:val="00251640"/>
    <w:rsid w:val="00261D6E"/>
    <w:rsid w:val="00282717"/>
    <w:rsid w:val="00285079"/>
    <w:rsid w:val="00286A47"/>
    <w:rsid w:val="002A4AD5"/>
    <w:rsid w:val="002B718C"/>
    <w:rsid w:val="002E0F59"/>
    <w:rsid w:val="002E7106"/>
    <w:rsid w:val="002F26AC"/>
    <w:rsid w:val="00301E97"/>
    <w:rsid w:val="00305C52"/>
    <w:rsid w:val="00314838"/>
    <w:rsid w:val="0031721A"/>
    <w:rsid w:val="0032402A"/>
    <w:rsid w:val="00324599"/>
    <w:rsid w:val="003278F6"/>
    <w:rsid w:val="00330334"/>
    <w:rsid w:val="00333943"/>
    <w:rsid w:val="00374E10"/>
    <w:rsid w:val="0037737E"/>
    <w:rsid w:val="00384419"/>
    <w:rsid w:val="003941E5"/>
    <w:rsid w:val="003A1272"/>
    <w:rsid w:val="003A5BE2"/>
    <w:rsid w:val="003B2BAD"/>
    <w:rsid w:val="003C4187"/>
    <w:rsid w:val="003C5C74"/>
    <w:rsid w:val="003D6C1A"/>
    <w:rsid w:val="003D6D2A"/>
    <w:rsid w:val="003D7795"/>
    <w:rsid w:val="003E62FA"/>
    <w:rsid w:val="0041200C"/>
    <w:rsid w:val="0041593E"/>
    <w:rsid w:val="00424A25"/>
    <w:rsid w:val="004331C0"/>
    <w:rsid w:val="0043516E"/>
    <w:rsid w:val="00443FC5"/>
    <w:rsid w:val="00444B91"/>
    <w:rsid w:val="00447F31"/>
    <w:rsid w:val="00474B32"/>
    <w:rsid w:val="00475380"/>
    <w:rsid w:val="00487996"/>
    <w:rsid w:val="004A2961"/>
    <w:rsid w:val="004C3D5C"/>
    <w:rsid w:val="004C57E6"/>
    <w:rsid w:val="004D051C"/>
    <w:rsid w:val="004D0BE5"/>
    <w:rsid w:val="0051105E"/>
    <w:rsid w:val="005111D0"/>
    <w:rsid w:val="00575C76"/>
    <w:rsid w:val="00591B70"/>
    <w:rsid w:val="00594E50"/>
    <w:rsid w:val="005A7292"/>
    <w:rsid w:val="005B69A8"/>
    <w:rsid w:val="005C1FCD"/>
    <w:rsid w:val="005D09E7"/>
    <w:rsid w:val="005D57CC"/>
    <w:rsid w:val="005E7734"/>
    <w:rsid w:val="005E7FF0"/>
    <w:rsid w:val="00604AEC"/>
    <w:rsid w:val="00611B32"/>
    <w:rsid w:val="00617615"/>
    <w:rsid w:val="00617E2F"/>
    <w:rsid w:val="00635213"/>
    <w:rsid w:val="0063550D"/>
    <w:rsid w:val="00640370"/>
    <w:rsid w:val="00645BB3"/>
    <w:rsid w:val="006605D9"/>
    <w:rsid w:val="0067018F"/>
    <w:rsid w:val="00674949"/>
    <w:rsid w:val="006937B5"/>
    <w:rsid w:val="006A0685"/>
    <w:rsid w:val="006A538B"/>
    <w:rsid w:val="006A551D"/>
    <w:rsid w:val="006C0E30"/>
    <w:rsid w:val="006C3332"/>
    <w:rsid w:val="006D44AA"/>
    <w:rsid w:val="006E628C"/>
    <w:rsid w:val="00701C34"/>
    <w:rsid w:val="0070797B"/>
    <w:rsid w:val="00710F1D"/>
    <w:rsid w:val="007440A8"/>
    <w:rsid w:val="007475AF"/>
    <w:rsid w:val="00780FB8"/>
    <w:rsid w:val="007D4512"/>
    <w:rsid w:val="007E7976"/>
    <w:rsid w:val="007F528B"/>
    <w:rsid w:val="00801E6C"/>
    <w:rsid w:val="00803C8E"/>
    <w:rsid w:val="0081501E"/>
    <w:rsid w:val="00824726"/>
    <w:rsid w:val="00825D8C"/>
    <w:rsid w:val="00837F8E"/>
    <w:rsid w:val="008466A1"/>
    <w:rsid w:val="0084751E"/>
    <w:rsid w:val="008534CC"/>
    <w:rsid w:val="00855767"/>
    <w:rsid w:val="0086620A"/>
    <w:rsid w:val="00881BCF"/>
    <w:rsid w:val="0088767D"/>
    <w:rsid w:val="008914A1"/>
    <w:rsid w:val="00894D6B"/>
    <w:rsid w:val="008A58B9"/>
    <w:rsid w:val="008B593A"/>
    <w:rsid w:val="008B7926"/>
    <w:rsid w:val="008C719D"/>
    <w:rsid w:val="008D5717"/>
    <w:rsid w:val="008E1AEF"/>
    <w:rsid w:val="008E20B2"/>
    <w:rsid w:val="009053FF"/>
    <w:rsid w:val="009059AE"/>
    <w:rsid w:val="00905A3E"/>
    <w:rsid w:val="00906341"/>
    <w:rsid w:val="00906AFB"/>
    <w:rsid w:val="0091063A"/>
    <w:rsid w:val="00912C78"/>
    <w:rsid w:val="009278EA"/>
    <w:rsid w:val="00952A3E"/>
    <w:rsid w:val="00952D91"/>
    <w:rsid w:val="00964E05"/>
    <w:rsid w:val="00972817"/>
    <w:rsid w:val="009872D0"/>
    <w:rsid w:val="0099635C"/>
    <w:rsid w:val="009D7E01"/>
    <w:rsid w:val="009E733D"/>
    <w:rsid w:val="009F77ED"/>
    <w:rsid w:val="00A04C97"/>
    <w:rsid w:val="00A04F98"/>
    <w:rsid w:val="00A20A35"/>
    <w:rsid w:val="00A317A0"/>
    <w:rsid w:val="00A31A4B"/>
    <w:rsid w:val="00A348AA"/>
    <w:rsid w:val="00A35C37"/>
    <w:rsid w:val="00A40835"/>
    <w:rsid w:val="00A71083"/>
    <w:rsid w:val="00A7763A"/>
    <w:rsid w:val="00A8482B"/>
    <w:rsid w:val="00A86787"/>
    <w:rsid w:val="00A9007F"/>
    <w:rsid w:val="00AA2281"/>
    <w:rsid w:val="00AA5514"/>
    <w:rsid w:val="00AA60BE"/>
    <w:rsid w:val="00AB1FF5"/>
    <w:rsid w:val="00AB5AD8"/>
    <w:rsid w:val="00AC2C8F"/>
    <w:rsid w:val="00AD37D8"/>
    <w:rsid w:val="00AD4DC9"/>
    <w:rsid w:val="00AF0994"/>
    <w:rsid w:val="00AF2C53"/>
    <w:rsid w:val="00B26175"/>
    <w:rsid w:val="00B35624"/>
    <w:rsid w:val="00B467E9"/>
    <w:rsid w:val="00B55971"/>
    <w:rsid w:val="00B640EB"/>
    <w:rsid w:val="00B80178"/>
    <w:rsid w:val="00B81B34"/>
    <w:rsid w:val="00B81C69"/>
    <w:rsid w:val="00B916DF"/>
    <w:rsid w:val="00BB38C3"/>
    <w:rsid w:val="00BB4032"/>
    <w:rsid w:val="00BB57B2"/>
    <w:rsid w:val="00BC3CD3"/>
    <w:rsid w:val="00BC6803"/>
    <w:rsid w:val="00BD0099"/>
    <w:rsid w:val="00BD0BDA"/>
    <w:rsid w:val="00BD1805"/>
    <w:rsid w:val="00BD329F"/>
    <w:rsid w:val="00BD4048"/>
    <w:rsid w:val="00BE7195"/>
    <w:rsid w:val="00BF0B86"/>
    <w:rsid w:val="00BF2A96"/>
    <w:rsid w:val="00C05478"/>
    <w:rsid w:val="00C17E1F"/>
    <w:rsid w:val="00C34B05"/>
    <w:rsid w:val="00C3788F"/>
    <w:rsid w:val="00C406E5"/>
    <w:rsid w:val="00C45498"/>
    <w:rsid w:val="00C46F8B"/>
    <w:rsid w:val="00C5128E"/>
    <w:rsid w:val="00C520CC"/>
    <w:rsid w:val="00C63BD5"/>
    <w:rsid w:val="00C72DD9"/>
    <w:rsid w:val="00C82B6D"/>
    <w:rsid w:val="00C83222"/>
    <w:rsid w:val="00C945BF"/>
    <w:rsid w:val="00C970D3"/>
    <w:rsid w:val="00CA276E"/>
    <w:rsid w:val="00CA40D7"/>
    <w:rsid w:val="00CB3BF2"/>
    <w:rsid w:val="00CB7EB1"/>
    <w:rsid w:val="00CC76AA"/>
    <w:rsid w:val="00CD0239"/>
    <w:rsid w:val="00CD1788"/>
    <w:rsid w:val="00CE0DA8"/>
    <w:rsid w:val="00CE1877"/>
    <w:rsid w:val="00CE3960"/>
    <w:rsid w:val="00D0435F"/>
    <w:rsid w:val="00D177AE"/>
    <w:rsid w:val="00D25496"/>
    <w:rsid w:val="00D26D68"/>
    <w:rsid w:val="00D32E22"/>
    <w:rsid w:val="00D33AB1"/>
    <w:rsid w:val="00D420ED"/>
    <w:rsid w:val="00D4759A"/>
    <w:rsid w:val="00D52619"/>
    <w:rsid w:val="00D5726B"/>
    <w:rsid w:val="00D63952"/>
    <w:rsid w:val="00D7290D"/>
    <w:rsid w:val="00D86480"/>
    <w:rsid w:val="00D96BB5"/>
    <w:rsid w:val="00D971F1"/>
    <w:rsid w:val="00DA28DF"/>
    <w:rsid w:val="00DE624C"/>
    <w:rsid w:val="00DE79E0"/>
    <w:rsid w:val="00DF15FB"/>
    <w:rsid w:val="00E03C8B"/>
    <w:rsid w:val="00E13C2D"/>
    <w:rsid w:val="00E149FA"/>
    <w:rsid w:val="00E169D2"/>
    <w:rsid w:val="00E1789E"/>
    <w:rsid w:val="00E23F56"/>
    <w:rsid w:val="00E36595"/>
    <w:rsid w:val="00E51B84"/>
    <w:rsid w:val="00E80931"/>
    <w:rsid w:val="00E8500C"/>
    <w:rsid w:val="00EB4243"/>
    <w:rsid w:val="00EC452B"/>
    <w:rsid w:val="00ED4D01"/>
    <w:rsid w:val="00EE7267"/>
    <w:rsid w:val="00EF6182"/>
    <w:rsid w:val="00F01B13"/>
    <w:rsid w:val="00F02885"/>
    <w:rsid w:val="00F30D75"/>
    <w:rsid w:val="00F41279"/>
    <w:rsid w:val="00F50705"/>
    <w:rsid w:val="00F55034"/>
    <w:rsid w:val="00F55891"/>
    <w:rsid w:val="00F633D9"/>
    <w:rsid w:val="00F64F83"/>
    <w:rsid w:val="00F71CC2"/>
    <w:rsid w:val="00F75221"/>
    <w:rsid w:val="00F80AAC"/>
    <w:rsid w:val="00F82C91"/>
    <w:rsid w:val="00F908FC"/>
    <w:rsid w:val="00F9399A"/>
    <w:rsid w:val="00F94EDE"/>
    <w:rsid w:val="00FA6E15"/>
    <w:rsid w:val="00FB6B88"/>
    <w:rsid w:val="00FC58A9"/>
    <w:rsid w:val="00FD02F7"/>
    <w:rsid w:val="00FD7682"/>
    <w:rsid w:val="00FE3498"/>
    <w:rsid w:val="00FE4B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39C0C"/>
  <w15:chartTrackingRefBased/>
  <w15:docId w15:val="{167B0A9F-2B9D-48F6-A928-8FDB20071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5767"/>
    <w:pPr>
      <w:spacing w:after="0" w:line="276" w:lineRule="auto"/>
    </w:pPr>
    <w:rPr>
      <w:rFonts w:ascii="Arial" w:eastAsia="Arial" w:hAnsi="Arial" w:cs="Arial"/>
      <w:lang w:eastAsia="en-GB"/>
    </w:rPr>
  </w:style>
  <w:style w:type="paragraph" w:styleId="Heading1">
    <w:name w:val="heading 1"/>
    <w:basedOn w:val="Normal"/>
    <w:next w:val="Normal"/>
    <w:link w:val="Heading1Char"/>
    <w:autoRedefine/>
    <w:uiPriority w:val="9"/>
    <w:qFormat/>
    <w:rsid w:val="00855767"/>
    <w:pPr>
      <w:keepNext/>
      <w:keepLines/>
      <w:spacing w:before="360" w:after="80"/>
      <w:outlineLvl w:val="0"/>
    </w:pPr>
    <w:rPr>
      <w:rFonts w:eastAsiaTheme="majorEastAsia" w:cstheme="majorBidi"/>
      <w:b/>
      <w:color w:val="000000" w:themeColor="text1"/>
      <w:sz w:val="40"/>
      <w:szCs w:val="40"/>
    </w:rPr>
  </w:style>
  <w:style w:type="paragraph" w:styleId="Heading2">
    <w:name w:val="heading 2"/>
    <w:basedOn w:val="Normal"/>
    <w:next w:val="Normal"/>
    <w:link w:val="Heading2Char"/>
    <w:autoRedefine/>
    <w:uiPriority w:val="9"/>
    <w:unhideWhenUsed/>
    <w:qFormat/>
    <w:rsid w:val="00855767"/>
    <w:pPr>
      <w:keepNext/>
      <w:keepLines/>
      <w:spacing w:before="160" w:after="80"/>
      <w:outlineLvl w:val="1"/>
    </w:pPr>
    <w:rPr>
      <w:rFonts w:asciiTheme="majorHAnsi" w:eastAsiaTheme="majorEastAsia" w:hAnsiTheme="majorHAnsi" w:cstheme="majorBidi"/>
      <w:b/>
      <w:sz w:val="32"/>
      <w:szCs w:val="32"/>
    </w:rPr>
  </w:style>
  <w:style w:type="paragraph" w:styleId="Heading3">
    <w:name w:val="heading 3"/>
    <w:basedOn w:val="Normal"/>
    <w:next w:val="Normal"/>
    <w:link w:val="Heading3Char"/>
    <w:autoRedefine/>
    <w:uiPriority w:val="9"/>
    <w:unhideWhenUsed/>
    <w:qFormat/>
    <w:rsid w:val="00855767"/>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unhideWhenUsed/>
    <w:qFormat/>
    <w:rsid w:val="008557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57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576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76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76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76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767"/>
    <w:rPr>
      <w:rFonts w:ascii="Arial" w:eastAsiaTheme="majorEastAsia" w:hAnsi="Arial" w:cstheme="majorBidi"/>
      <w:b/>
      <w:color w:val="000000" w:themeColor="text1"/>
      <w:sz w:val="40"/>
      <w:szCs w:val="40"/>
      <w:lang w:eastAsia="en-GB"/>
    </w:rPr>
  </w:style>
  <w:style w:type="character" w:customStyle="1" w:styleId="Heading2Char">
    <w:name w:val="Heading 2 Char"/>
    <w:basedOn w:val="DefaultParagraphFont"/>
    <w:link w:val="Heading2"/>
    <w:uiPriority w:val="9"/>
    <w:rsid w:val="00855767"/>
    <w:rPr>
      <w:rFonts w:asciiTheme="majorHAnsi" w:eastAsiaTheme="majorEastAsia" w:hAnsiTheme="majorHAnsi" w:cstheme="majorBidi"/>
      <w:b/>
      <w:sz w:val="32"/>
      <w:szCs w:val="32"/>
      <w:lang w:eastAsia="en-GB"/>
    </w:rPr>
  </w:style>
  <w:style w:type="character" w:customStyle="1" w:styleId="Heading3Char">
    <w:name w:val="Heading 3 Char"/>
    <w:basedOn w:val="DefaultParagraphFont"/>
    <w:link w:val="Heading3"/>
    <w:uiPriority w:val="9"/>
    <w:rsid w:val="00855767"/>
    <w:rPr>
      <w:rFonts w:ascii="Arial" w:eastAsiaTheme="majorEastAsia" w:hAnsi="Arial" w:cstheme="majorBidi"/>
      <w:b/>
      <w:sz w:val="28"/>
      <w:szCs w:val="28"/>
      <w:lang w:eastAsia="en-GB"/>
    </w:rPr>
  </w:style>
  <w:style w:type="character" w:customStyle="1" w:styleId="Heading4Char">
    <w:name w:val="Heading 4 Char"/>
    <w:basedOn w:val="DefaultParagraphFont"/>
    <w:link w:val="Heading4"/>
    <w:uiPriority w:val="9"/>
    <w:semiHidden/>
    <w:rsid w:val="008557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57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57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7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7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767"/>
    <w:rPr>
      <w:rFonts w:eastAsiaTheme="majorEastAsia" w:cstheme="majorBidi"/>
      <w:color w:val="272727" w:themeColor="text1" w:themeTint="D8"/>
    </w:rPr>
  </w:style>
  <w:style w:type="paragraph" w:styleId="Title">
    <w:name w:val="Title"/>
    <w:basedOn w:val="Normal"/>
    <w:next w:val="Normal"/>
    <w:link w:val="TitleChar"/>
    <w:uiPriority w:val="10"/>
    <w:qFormat/>
    <w:rsid w:val="008557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7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7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7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767"/>
    <w:pPr>
      <w:spacing w:before="160"/>
      <w:jc w:val="center"/>
    </w:pPr>
    <w:rPr>
      <w:i/>
      <w:iCs/>
      <w:color w:val="404040" w:themeColor="text1" w:themeTint="BF"/>
    </w:rPr>
  </w:style>
  <w:style w:type="character" w:customStyle="1" w:styleId="QuoteChar">
    <w:name w:val="Quote Char"/>
    <w:basedOn w:val="DefaultParagraphFont"/>
    <w:link w:val="Quote"/>
    <w:uiPriority w:val="29"/>
    <w:rsid w:val="00855767"/>
    <w:rPr>
      <w:i/>
      <w:iCs/>
      <w:color w:val="404040" w:themeColor="text1" w:themeTint="BF"/>
    </w:rPr>
  </w:style>
  <w:style w:type="paragraph" w:styleId="ListParagraph">
    <w:name w:val="List Paragraph"/>
    <w:basedOn w:val="Normal"/>
    <w:uiPriority w:val="34"/>
    <w:qFormat/>
    <w:rsid w:val="00855767"/>
    <w:pPr>
      <w:ind w:left="720"/>
      <w:contextualSpacing/>
    </w:pPr>
  </w:style>
  <w:style w:type="character" w:styleId="IntenseEmphasis">
    <w:name w:val="Intense Emphasis"/>
    <w:basedOn w:val="DefaultParagraphFont"/>
    <w:uiPriority w:val="21"/>
    <w:qFormat/>
    <w:rsid w:val="00855767"/>
    <w:rPr>
      <w:i/>
      <w:iCs/>
      <w:color w:val="0F4761" w:themeColor="accent1" w:themeShade="BF"/>
    </w:rPr>
  </w:style>
  <w:style w:type="paragraph" w:styleId="IntenseQuote">
    <w:name w:val="Intense Quote"/>
    <w:basedOn w:val="Normal"/>
    <w:next w:val="Normal"/>
    <w:link w:val="IntenseQuoteChar"/>
    <w:uiPriority w:val="30"/>
    <w:qFormat/>
    <w:rsid w:val="008557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5767"/>
    <w:rPr>
      <w:i/>
      <w:iCs/>
      <w:color w:val="0F4761" w:themeColor="accent1" w:themeShade="BF"/>
    </w:rPr>
  </w:style>
  <w:style w:type="character" w:styleId="IntenseReference">
    <w:name w:val="Intense Reference"/>
    <w:basedOn w:val="DefaultParagraphFont"/>
    <w:uiPriority w:val="32"/>
    <w:qFormat/>
    <w:rsid w:val="00855767"/>
    <w:rPr>
      <w:b/>
      <w:bCs/>
      <w:smallCaps/>
      <w:color w:val="0F4761" w:themeColor="accent1" w:themeShade="BF"/>
      <w:spacing w:val="5"/>
    </w:rPr>
  </w:style>
  <w:style w:type="table" w:styleId="TableGrid">
    <w:name w:val="Table Grid"/>
    <w:basedOn w:val="TableNormal"/>
    <w:uiPriority w:val="39"/>
    <w:rsid w:val="00855767"/>
    <w:pPr>
      <w:spacing w:after="0" w:line="240" w:lineRule="auto"/>
    </w:pPr>
    <w:rPr>
      <w:rFonts w:ascii="Arial" w:eastAsia="Arial" w:hAnsi="Arial" w:cs="Arial"/>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55767"/>
    <w:pPr>
      <w:tabs>
        <w:tab w:val="center" w:pos="4513"/>
        <w:tab w:val="right" w:pos="9026"/>
      </w:tabs>
      <w:spacing w:line="240" w:lineRule="auto"/>
    </w:pPr>
  </w:style>
  <w:style w:type="character" w:customStyle="1" w:styleId="HeaderChar">
    <w:name w:val="Header Char"/>
    <w:basedOn w:val="DefaultParagraphFont"/>
    <w:link w:val="Header"/>
    <w:uiPriority w:val="99"/>
    <w:rsid w:val="00855767"/>
    <w:rPr>
      <w:rFonts w:ascii="Arial" w:eastAsia="Arial" w:hAnsi="Arial" w:cs="Arial"/>
      <w:lang w:eastAsia="en-GB"/>
    </w:rPr>
  </w:style>
  <w:style w:type="paragraph" w:styleId="Footer">
    <w:name w:val="footer"/>
    <w:basedOn w:val="Normal"/>
    <w:link w:val="FooterChar"/>
    <w:uiPriority w:val="99"/>
    <w:unhideWhenUsed/>
    <w:rsid w:val="00855767"/>
    <w:pPr>
      <w:tabs>
        <w:tab w:val="center" w:pos="4513"/>
        <w:tab w:val="right" w:pos="9026"/>
      </w:tabs>
      <w:spacing w:line="240" w:lineRule="auto"/>
    </w:pPr>
  </w:style>
  <w:style w:type="character" w:customStyle="1" w:styleId="FooterChar">
    <w:name w:val="Footer Char"/>
    <w:basedOn w:val="DefaultParagraphFont"/>
    <w:link w:val="Footer"/>
    <w:uiPriority w:val="99"/>
    <w:rsid w:val="00855767"/>
    <w:rPr>
      <w:rFonts w:ascii="Arial" w:eastAsia="Arial" w:hAnsi="Arial" w:cs="Arial"/>
      <w:lang w:eastAsia="en-GB"/>
    </w:rPr>
  </w:style>
  <w:style w:type="paragraph" w:styleId="Caption">
    <w:name w:val="caption"/>
    <w:basedOn w:val="Normal"/>
    <w:next w:val="Normal"/>
    <w:uiPriority w:val="35"/>
    <w:unhideWhenUsed/>
    <w:qFormat/>
    <w:rsid w:val="00855767"/>
    <w:pPr>
      <w:spacing w:after="200" w:line="240" w:lineRule="auto"/>
    </w:pPr>
    <w:rPr>
      <w:i/>
      <w:iCs/>
      <w:color w:val="0E2841" w:themeColor="text2"/>
      <w:sz w:val="18"/>
      <w:szCs w:val="18"/>
    </w:rPr>
  </w:style>
  <w:style w:type="character" w:styleId="Hyperlink">
    <w:name w:val="Hyperlink"/>
    <w:basedOn w:val="DefaultParagraphFont"/>
    <w:uiPriority w:val="99"/>
    <w:unhideWhenUsed/>
    <w:rsid w:val="00855767"/>
    <w:rPr>
      <w:color w:val="467886" w:themeColor="hyperlink"/>
      <w:u w:val="single"/>
    </w:rPr>
  </w:style>
  <w:style w:type="character" w:styleId="UnresolvedMention">
    <w:name w:val="Unresolved Mention"/>
    <w:basedOn w:val="DefaultParagraphFont"/>
    <w:uiPriority w:val="99"/>
    <w:semiHidden/>
    <w:unhideWhenUsed/>
    <w:rsid w:val="00855767"/>
    <w:rPr>
      <w:color w:val="605E5C"/>
      <w:shd w:val="clear" w:color="auto" w:fill="E1DFDD"/>
    </w:rPr>
  </w:style>
  <w:style w:type="character" w:styleId="Strong">
    <w:name w:val="Strong"/>
    <w:basedOn w:val="DefaultParagraphFont"/>
    <w:uiPriority w:val="22"/>
    <w:qFormat/>
    <w:rsid w:val="00855767"/>
    <w:rPr>
      <w:b/>
      <w:bCs/>
    </w:rPr>
  </w:style>
  <w:style w:type="character" w:styleId="Emphasis">
    <w:name w:val="Emphasis"/>
    <w:basedOn w:val="DefaultParagraphFont"/>
    <w:uiPriority w:val="20"/>
    <w:qFormat/>
    <w:rsid w:val="00855767"/>
    <w:rPr>
      <w:i/>
      <w:iCs/>
    </w:rPr>
  </w:style>
  <w:style w:type="paragraph" w:styleId="TOCHeading">
    <w:name w:val="TOC Heading"/>
    <w:basedOn w:val="Heading1"/>
    <w:next w:val="Normal"/>
    <w:uiPriority w:val="39"/>
    <w:unhideWhenUsed/>
    <w:qFormat/>
    <w:rsid w:val="00855767"/>
    <w:pPr>
      <w:spacing w:before="240" w:after="0"/>
      <w:outlineLvl w:val="9"/>
    </w:pPr>
    <w:rPr>
      <w:b w:val="0"/>
      <w:sz w:val="32"/>
      <w:szCs w:val="32"/>
    </w:rPr>
  </w:style>
  <w:style w:type="paragraph" w:styleId="TOC3">
    <w:name w:val="toc 3"/>
    <w:basedOn w:val="Normal"/>
    <w:next w:val="Normal"/>
    <w:autoRedefine/>
    <w:uiPriority w:val="39"/>
    <w:unhideWhenUsed/>
    <w:rsid w:val="00855767"/>
    <w:pPr>
      <w:spacing w:after="100"/>
      <w:ind w:left="440"/>
    </w:pPr>
  </w:style>
  <w:style w:type="paragraph" w:styleId="TOC1">
    <w:name w:val="toc 1"/>
    <w:basedOn w:val="Normal"/>
    <w:next w:val="Normal"/>
    <w:autoRedefine/>
    <w:uiPriority w:val="39"/>
    <w:unhideWhenUsed/>
    <w:rsid w:val="00855767"/>
    <w:pPr>
      <w:spacing w:after="100"/>
    </w:pPr>
  </w:style>
  <w:style w:type="paragraph" w:styleId="TOC2">
    <w:name w:val="toc 2"/>
    <w:basedOn w:val="Normal"/>
    <w:next w:val="Normal"/>
    <w:autoRedefine/>
    <w:uiPriority w:val="39"/>
    <w:unhideWhenUsed/>
    <w:rsid w:val="00855767"/>
    <w:pPr>
      <w:spacing w:after="100" w:line="259" w:lineRule="auto"/>
      <w:ind w:left="220"/>
    </w:pPr>
    <w:rPr>
      <w:rFonts w:asciiTheme="minorHAnsi" w:eastAsiaTheme="minorEastAsia" w:hAnsiTheme="minorHAnsi" w:cs="Times New Roman"/>
    </w:rPr>
  </w:style>
  <w:style w:type="paragraph" w:customStyle="1" w:styleId="Style1">
    <w:name w:val="Style1"/>
    <w:basedOn w:val="Heading3"/>
    <w:link w:val="Style1Char"/>
    <w:qFormat/>
    <w:rsid w:val="00855767"/>
    <w:pPr>
      <w:keepNext w:val="0"/>
      <w:keepLines w:val="0"/>
      <w:spacing w:before="280" w:line="360" w:lineRule="auto"/>
    </w:pPr>
    <w:rPr>
      <w:rFonts w:eastAsia="Arial" w:cs="Arial"/>
      <w:color w:val="000000"/>
      <w:sz w:val="26"/>
      <w:szCs w:val="26"/>
    </w:rPr>
  </w:style>
  <w:style w:type="character" w:customStyle="1" w:styleId="Style1Char">
    <w:name w:val="Style1 Char"/>
    <w:basedOn w:val="Heading3Char"/>
    <w:link w:val="Style1"/>
    <w:rsid w:val="00855767"/>
    <w:rPr>
      <w:rFonts w:ascii="Arial" w:eastAsia="Arial" w:hAnsi="Arial" w:cs="Arial"/>
      <w:b/>
      <w:color w:val="000000"/>
      <w:sz w:val="26"/>
      <w:szCs w:val="26"/>
      <w:lang w:eastAsia="en-GB"/>
    </w:rPr>
  </w:style>
  <w:style w:type="paragraph" w:styleId="NoSpacing">
    <w:name w:val="No Spacing"/>
    <w:link w:val="NoSpacingChar"/>
    <w:uiPriority w:val="1"/>
    <w:qFormat/>
    <w:rsid w:val="00855767"/>
    <w:pPr>
      <w:spacing w:after="0" w:line="240" w:lineRule="auto"/>
    </w:pPr>
    <w:rPr>
      <w:rFonts w:eastAsiaTheme="minorEastAsia"/>
      <w:lang w:eastAsia="en-GB"/>
    </w:rPr>
  </w:style>
  <w:style w:type="character" w:customStyle="1" w:styleId="NoSpacingChar">
    <w:name w:val="No Spacing Char"/>
    <w:basedOn w:val="DefaultParagraphFont"/>
    <w:link w:val="NoSpacing"/>
    <w:uiPriority w:val="1"/>
    <w:rsid w:val="00855767"/>
    <w:rPr>
      <w:rFonts w:eastAsiaTheme="minorEastAsia"/>
      <w:lang w:eastAsia="en-GB"/>
    </w:rPr>
  </w:style>
  <w:style w:type="paragraph" w:styleId="NormalWeb">
    <w:name w:val="Normal (Web)"/>
    <w:basedOn w:val="Normal"/>
    <w:uiPriority w:val="99"/>
    <w:semiHidden/>
    <w:unhideWhenUsed/>
    <w:rsid w:val="00D96BB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634622">
      <w:bodyDiv w:val="1"/>
      <w:marLeft w:val="0"/>
      <w:marRight w:val="0"/>
      <w:marTop w:val="0"/>
      <w:marBottom w:val="0"/>
      <w:divBdr>
        <w:top w:val="none" w:sz="0" w:space="0" w:color="auto"/>
        <w:left w:val="none" w:sz="0" w:space="0" w:color="auto"/>
        <w:bottom w:val="none" w:sz="0" w:space="0" w:color="auto"/>
        <w:right w:val="none" w:sz="0" w:space="0" w:color="auto"/>
      </w:divBdr>
    </w:div>
    <w:div w:id="1202859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doi.org/10.1038/s41467-020-16395-2" TargetMode="External"/><Relationship Id="rId26" Type="http://schemas.openxmlformats.org/officeDocument/2006/relationships/hyperlink" Target="https://doi.org/10.1158/1078-0432.ccr-14-1271" TargetMode="External"/><Relationship Id="rId39" Type="http://schemas.openxmlformats.org/officeDocument/2006/relationships/hyperlink" Target="https://doi.org/10.3390/cancers11091372" TargetMode="External"/><Relationship Id="rId21" Type="http://schemas.openxmlformats.org/officeDocument/2006/relationships/hyperlink" Target="https://doi.org/10.1016/j.gendis.2022.02.007" TargetMode="External"/><Relationship Id="rId34" Type="http://schemas.openxmlformats.org/officeDocument/2006/relationships/hyperlink" Target="https://doi.org/10.3389/fimmu.2023.1152312" TargetMode="External"/><Relationship Id="rId42" Type="http://schemas.openxmlformats.org/officeDocument/2006/relationships/hyperlink" Target="https://chat.openai.com/" TargetMode="External"/><Relationship Id="rId47" Type="http://schemas.openxmlformats.org/officeDocument/2006/relationships/hyperlink" Target="https://doi.org/10.4251/wjgo.v12.i2.173" TargetMode="External"/><Relationship Id="rId50" Type="http://schemas.openxmlformats.org/officeDocument/2006/relationships/hyperlink" Target="https://doi.org/10.3389/fphys.2018.00833" TargetMode="External"/><Relationship Id="rId55" Type="http://schemas.openxmlformats.org/officeDocument/2006/relationships/hyperlink" Target="https://doi.org/10.1038/s41467-024-54963-y" TargetMode="External"/><Relationship Id="rId63"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hyperlink" Target="https://doi.org/10.1186/s12885-024-11823-8" TargetMode="External"/><Relationship Id="rId11" Type="http://schemas.openxmlformats.org/officeDocument/2006/relationships/footer" Target="footer1.xml"/><Relationship Id="rId24" Type="http://schemas.openxmlformats.org/officeDocument/2006/relationships/hyperlink" Target="https://doi.org/10.1016/j.bbamcr.2018.10.005" TargetMode="External"/><Relationship Id="rId32" Type="http://schemas.openxmlformats.org/officeDocument/2006/relationships/hyperlink" Target="https://doi.org/10.1158/1078-0432.ccr-18-2297" TargetMode="External"/><Relationship Id="rId37" Type="http://schemas.openxmlformats.org/officeDocument/2006/relationships/hyperlink" Target="https://doi.org/10.1016/j.xcrm.2020.100143" TargetMode="External"/><Relationship Id="rId40" Type="http://schemas.openxmlformats.org/officeDocument/2006/relationships/hyperlink" Target="https://doi.org/10.1097/mpa.0000000000001689" TargetMode="External"/><Relationship Id="rId45" Type="http://schemas.openxmlformats.org/officeDocument/2006/relationships/hyperlink" Target="https://doi.org/10.1186/s12943-021-01487-4" TargetMode="External"/><Relationship Id="rId53" Type="http://schemas.openxmlformats.org/officeDocument/2006/relationships/hyperlink" Target="https://doi.org/10.3390/cancers2042138" TargetMode="External"/><Relationship Id="rId58" Type="http://schemas.openxmlformats.org/officeDocument/2006/relationships/hyperlink" Target="https://doi.org/10.1186/s13045-024-01600-2" TargetMode="External"/><Relationship Id="rId5" Type="http://schemas.openxmlformats.org/officeDocument/2006/relationships/settings" Target="settings.xml"/><Relationship Id="rId61" Type="http://schemas.openxmlformats.org/officeDocument/2006/relationships/header" Target="header1.xml"/><Relationship Id="rId19" Type="http://schemas.openxmlformats.org/officeDocument/2006/relationships/hyperlink" Target="https://doi.org/10.1016/j.cmet.2019.10.015" TargetMode="External"/><Relationship Id="rId14" Type="http://schemas.openxmlformats.org/officeDocument/2006/relationships/image" Target="media/image5.png"/><Relationship Id="rId22" Type="http://schemas.openxmlformats.org/officeDocument/2006/relationships/hyperlink" Target="https://doi.org/10.3389/fonc.2022.1034397" TargetMode="External"/><Relationship Id="rId27" Type="http://schemas.openxmlformats.org/officeDocument/2006/relationships/hyperlink" Target="https://doi.org/10.1038/s41416-023-02409-5" TargetMode="External"/><Relationship Id="rId30" Type="http://schemas.openxmlformats.org/officeDocument/2006/relationships/hyperlink" Target="https://doi.org/10.18632/oncotarget.9122" TargetMode="External"/><Relationship Id="rId35" Type="http://schemas.openxmlformats.org/officeDocument/2006/relationships/hyperlink" Target="https://doi.org/10.1016/j.tibs.2015.12.001" TargetMode="External"/><Relationship Id="rId43" Type="http://schemas.openxmlformats.org/officeDocument/2006/relationships/hyperlink" Target="https://doi.org/10.18632/oncotarget.2120" TargetMode="External"/><Relationship Id="rId48" Type="http://schemas.openxmlformats.org/officeDocument/2006/relationships/hyperlink" Target="https://doi.org/10.1016/j.ccell.2017.06.004" TargetMode="External"/><Relationship Id="rId56" Type="http://schemas.openxmlformats.org/officeDocument/2006/relationships/hyperlink" Target="https://doi.org/10.3892/or.2012.2085" TargetMode="External"/><Relationship Id="rId64"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hyperlink" Target="https://doi.org/10.1016/j.trsl.2022.11.007" TargetMode="Externa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oi.org/10.1089/hum.2020.111" TargetMode="External"/><Relationship Id="rId33" Type="http://schemas.openxmlformats.org/officeDocument/2006/relationships/hyperlink" Target="https://doi.org/10.1172/jci.insight.163022" TargetMode="External"/><Relationship Id="rId38" Type="http://schemas.openxmlformats.org/officeDocument/2006/relationships/hyperlink" Target="https://doi.org/10.1016/j.celrep.2022.110493" TargetMode="External"/><Relationship Id="rId46" Type="http://schemas.openxmlformats.org/officeDocument/2006/relationships/hyperlink" Target="https://doi.org/10.1016/j.cmet.2015.08.015" TargetMode="External"/><Relationship Id="rId59" Type="http://schemas.openxmlformats.org/officeDocument/2006/relationships/hyperlink" Target="https://doi.org/10.1097/cm9.0000000000002758" TargetMode="External"/><Relationship Id="rId20" Type="http://schemas.openxmlformats.org/officeDocument/2006/relationships/hyperlink" Target="https://doi.org/10.1371/journal.pone.0309700" TargetMode="External"/><Relationship Id="rId41" Type="http://schemas.openxmlformats.org/officeDocument/2006/relationships/hyperlink" Target="https://doi.org/10.1210/jc.2015-2689" TargetMode="External"/><Relationship Id="rId54" Type="http://schemas.openxmlformats.org/officeDocument/2006/relationships/hyperlink" Target="https://doi.org/10.1016/j.biopha.2022.113376" TargetMode="External"/><Relationship Id="rId62"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app.biorender.com/biorender-templates/figures/all/t-66839cad01e22a3d930af1a5-stages-of-pancreatic-cancer-and-treatment-options" TargetMode="External"/><Relationship Id="rId28" Type="http://schemas.openxmlformats.org/officeDocument/2006/relationships/hyperlink" Target="https://doi.org/10.3389/fimmu.2022.1038650" TargetMode="External"/><Relationship Id="rId36" Type="http://schemas.openxmlformats.org/officeDocument/2006/relationships/hyperlink" Target="https://doi.org/10.1002/jcb.26210" TargetMode="External"/><Relationship Id="rId49" Type="http://schemas.openxmlformats.org/officeDocument/2006/relationships/hyperlink" Target="https://doi.org/10.18632/oncotarget.19630" TargetMode="External"/><Relationship Id="rId57" Type="http://schemas.openxmlformats.org/officeDocument/2006/relationships/hyperlink" Target="https://doi.org/10.1021/acsptsci.3c00069" TargetMode="External"/><Relationship Id="rId10" Type="http://schemas.openxmlformats.org/officeDocument/2006/relationships/image" Target="media/image2.png"/><Relationship Id="rId31" Type="http://schemas.openxmlformats.org/officeDocument/2006/relationships/hyperlink" Target="https://doi.org/10.1038/cddis.2012.24" TargetMode="External"/><Relationship Id="rId44" Type="http://schemas.openxmlformats.org/officeDocument/2006/relationships/hyperlink" Target="https://doi.org/10.1007/s00280-012-2045-1" TargetMode="External"/><Relationship Id="rId52" Type="http://schemas.openxmlformats.org/officeDocument/2006/relationships/hyperlink" Target="https://doi.org/10.1074/jbc.ra120.013366" TargetMode="External"/><Relationship Id="rId60"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3975 words</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732527D-2D09-4C45-9D9F-9C9FDB31AA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10232</Words>
  <Characters>58326</Characters>
  <Application>Microsoft Office Word</Application>
  <DocSecurity>0</DocSecurity>
  <Lines>486</Lines>
  <Paragraphs>136</Paragraphs>
  <ScaleCrop>false</ScaleCrop>
  <HeadingPairs>
    <vt:vector size="2" baseType="variant">
      <vt:variant>
        <vt:lpstr>Title</vt:lpstr>
      </vt:variant>
      <vt:variant>
        <vt:i4>1</vt:i4>
      </vt:variant>
    </vt:vector>
  </HeadingPairs>
  <TitlesOfParts>
    <vt:vector size="1" baseType="lpstr">
      <vt:lpstr>BIO 604 DISSERTATION</vt:lpstr>
    </vt:vector>
  </TitlesOfParts>
  <Company/>
  <LinksUpToDate>false</LinksUpToDate>
  <CharactersWithSpaces>68422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 604 DISSERTATION</dc:title>
  <dc:subject>Supervisor: Tania Maffucci</dc:subject>
  <dc:creator>Eylul Turkay</dc:creator>
  <cp:keywords/>
  <dc:description/>
  <cp:lastModifiedBy>Eylul Turkay</cp:lastModifiedBy>
  <cp:revision>2</cp:revision>
  <dcterms:created xsi:type="dcterms:W3CDTF">2026-10-05T18:33:00Z</dcterms:created>
  <dcterms:modified xsi:type="dcterms:W3CDTF">2026-10-05T18:33:00Z</dcterms:modified>
</cp:coreProperties>
</file>