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DF5E5" w14:textId="03C16AEF" w:rsidR="006E7A09" w:rsidRPr="00B66CFC" w:rsidRDefault="006E7A09" w:rsidP="00B66CFC">
      <w:pPr>
        <w:rPr>
          <w:rFonts w:cs="Arial"/>
          <w:b/>
          <w:bCs/>
          <w:sz w:val="22"/>
          <w:szCs w:val="22"/>
        </w:rPr>
      </w:pPr>
    </w:p>
    <w:p w14:paraId="39DBC427" w14:textId="495C34C9" w:rsidR="006E7A09" w:rsidRPr="00ED4013" w:rsidRDefault="003E5B80" w:rsidP="00ED4013">
      <w:pPr>
        <w:spacing w:line="276" w:lineRule="auto"/>
        <w:rPr>
          <w:rFonts w:ascii="Source Sans Pro" w:hAnsi="Source Sans Pro" w:cs="Arial"/>
          <w:b/>
          <w:bCs/>
        </w:rPr>
      </w:pPr>
      <w:r w:rsidRPr="00ED4013">
        <w:rPr>
          <w:rFonts w:ascii="Source Sans Pro" w:hAnsi="Source Sans Pro" w:cs="Arial"/>
          <w:b/>
          <w:bCs/>
          <w:noProof/>
        </w:rPr>
        <w:drawing>
          <wp:inline distT="0" distB="0" distL="0" distR="0" wp14:anchorId="7161EB8B" wp14:editId="7EF7CC5D">
            <wp:extent cx="2764536" cy="734568"/>
            <wp:effectExtent l="0" t="0" r="0" b="8890"/>
            <wp:docPr id="125805573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55731" name="Picture 1" descr="A black text on a white backgroun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64536" cy="734568"/>
                    </a:xfrm>
                    <a:prstGeom prst="rect">
                      <a:avLst/>
                    </a:prstGeom>
                  </pic:spPr>
                </pic:pic>
              </a:graphicData>
            </a:graphic>
          </wp:inline>
        </w:drawing>
      </w:r>
    </w:p>
    <w:p w14:paraId="3BFEB801" w14:textId="77777777" w:rsidR="006E7A09" w:rsidRPr="00ED4013" w:rsidRDefault="006E7A09" w:rsidP="00ED4013">
      <w:pPr>
        <w:spacing w:line="276" w:lineRule="auto"/>
        <w:rPr>
          <w:rFonts w:ascii="Source Sans Pro" w:hAnsi="Source Sans Pro" w:cs="Arial"/>
          <w:b/>
          <w:bCs/>
        </w:rPr>
      </w:pPr>
    </w:p>
    <w:p w14:paraId="0426B24D" w14:textId="77777777" w:rsidR="003E5B80" w:rsidRPr="00ED4013" w:rsidRDefault="003E5B80" w:rsidP="00ED4013">
      <w:pPr>
        <w:spacing w:line="276" w:lineRule="auto"/>
        <w:jc w:val="both"/>
        <w:rPr>
          <w:rFonts w:ascii="Source Sans Pro" w:eastAsia="Arial" w:hAnsi="Source Sans Pro" w:cs="Arial"/>
          <w:b/>
          <w:bCs/>
        </w:rPr>
      </w:pPr>
    </w:p>
    <w:p w14:paraId="49CA4023" w14:textId="50DD4A3B" w:rsidR="00753BFA" w:rsidRPr="00905886" w:rsidRDefault="000F11B5" w:rsidP="00905886">
      <w:pPr>
        <w:spacing w:line="276" w:lineRule="auto"/>
        <w:jc w:val="both"/>
        <w:rPr>
          <w:rFonts w:eastAsia="Arial" w:cs="Arial"/>
        </w:rPr>
      </w:pPr>
      <w:r w:rsidRPr="00905886">
        <w:rPr>
          <w:rFonts w:eastAsia="Arial" w:cs="Arial"/>
          <w:b/>
          <w:bCs/>
        </w:rPr>
        <w:t>Coursework</w:t>
      </w:r>
    </w:p>
    <w:p w14:paraId="6F0B6BBC" w14:textId="77777777" w:rsidR="00753BFA" w:rsidRPr="00905886" w:rsidRDefault="00753BFA" w:rsidP="00905886">
      <w:pPr>
        <w:spacing w:line="276" w:lineRule="auto"/>
        <w:jc w:val="both"/>
        <w:rPr>
          <w:rFonts w:eastAsia="Arial" w:cs="Arial"/>
        </w:rPr>
      </w:pPr>
    </w:p>
    <w:p w14:paraId="2430F027" w14:textId="3E4736A1" w:rsidR="00753BFA" w:rsidRPr="00905886" w:rsidRDefault="00753BFA" w:rsidP="00905886">
      <w:pPr>
        <w:spacing w:line="276" w:lineRule="auto"/>
        <w:jc w:val="both"/>
        <w:rPr>
          <w:rFonts w:eastAsia="Arial" w:cs="Arial"/>
        </w:rPr>
      </w:pPr>
      <w:r w:rsidRPr="00905886">
        <w:rPr>
          <w:rFonts w:eastAsia="Arial" w:cs="Arial"/>
          <w:b/>
          <w:bCs/>
        </w:rPr>
        <w:t xml:space="preserve">Date: </w:t>
      </w:r>
      <w:r w:rsidR="001422F3" w:rsidRPr="00905886">
        <w:rPr>
          <w:rFonts w:eastAsia="Arial" w:cs="Arial"/>
          <w:b/>
          <w:bCs/>
        </w:rPr>
        <w:t>17</w:t>
      </w:r>
      <w:r w:rsidR="7BED53E2" w:rsidRPr="00905886">
        <w:rPr>
          <w:rFonts w:eastAsia="Arial" w:cs="Arial"/>
          <w:b/>
          <w:bCs/>
        </w:rPr>
        <w:t xml:space="preserve">th </w:t>
      </w:r>
      <w:r w:rsidR="001422F3" w:rsidRPr="00905886">
        <w:rPr>
          <w:rFonts w:eastAsia="Arial" w:cs="Arial"/>
          <w:b/>
          <w:bCs/>
        </w:rPr>
        <w:t>April</w:t>
      </w:r>
      <w:r w:rsidR="7BED53E2" w:rsidRPr="00905886">
        <w:rPr>
          <w:rFonts w:eastAsia="Arial" w:cs="Arial"/>
          <w:b/>
          <w:bCs/>
        </w:rPr>
        <w:t xml:space="preserve"> </w:t>
      </w:r>
      <w:r w:rsidRPr="00905886">
        <w:rPr>
          <w:rFonts w:eastAsia="Arial" w:cs="Arial"/>
          <w:b/>
          <w:bCs/>
        </w:rPr>
        <w:t>202</w:t>
      </w:r>
      <w:r w:rsidR="001422F3" w:rsidRPr="00905886">
        <w:rPr>
          <w:rFonts w:eastAsia="Arial" w:cs="Arial"/>
          <w:b/>
          <w:bCs/>
        </w:rPr>
        <w:t>6</w:t>
      </w:r>
    </w:p>
    <w:p w14:paraId="5F4738B6" w14:textId="5BF37096" w:rsidR="003E5B80" w:rsidRPr="00905886" w:rsidRDefault="00F8523B" w:rsidP="00905886">
      <w:pPr>
        <w:spacing w:line="276" w:lineRule="auto"/>
        <w:jc w:val="both"/>
        <w:rPr>
          <w:rFonts w:eastAsia="MS Mincho" w:cs="Arial"/>
        </w:rPr>
      </w:pPr>
      <w:r w:rsidRPr="00905886">
        <w:rPr>
          <w:rFonts w:eastAsia="Arial" w:cs="Arial"/>
          <w:b/>
          <w:bCs/>
        </w:rPr>
        <w:t>Module Code</w:t>
      </w:r>
      <w:r w:rsidR="2F15B832" w:rsidRPr="00905886">
        <w:rPr>
          <w:rFonts w:eastAsia="Arial" w:cs="Arial"/>
          <w:b/>
          <w:bCs/>
        </w:rPr>
        <w:t>:  CANM907</w:t>
      </w:r>
      <w:r w:rsidR="00E0217A" w:rsidRPr="00905886">
        <w:rPr>
          <w:rFonts w:eastAsia="Arial" w:cs="Arial"/>
          <w:b/>
          <w:bCs/>
        </w:rPr>
        <w:t>/</w:t>
      </w:r>
      <w:r w:rsidR="69CF24A8" w:rsidRPr="00905886">
        <w:rPr>
          <w:rFonts w:eastAsia="Arial" w:cs="Arial"/>
          <w:b/>
          <w:bCs/>
        </w:rPr>
        <w:t>CANM107</w:t>
      </w:r>
      <w:r w:rsidR="2F15B832" w:rsidRPr="00905886">
        <w:rPr>
          <w:rFonts w:cs="Arial"/>
        </w:rPr>
        <w:tab/>
      </w:r>
      <w:r w:rsidR="2F15B832" w:rsidRPr="00905886">
        <w:rPr>
          <w:rFonts w:eastAsia="MS Mincho" w:cs="Arial"/>
        </w:rPr>
        <w:t xml:space="preserve">        </w:t>
      </w:r>
    </w:p>
    <w:p w14:paraId="4FF4DA06" w14:textId="5CDF1D44" w:rsidR="00753BFA" w:rsidRPr="00905886" w:rsidRDefault="00F8523B" w:rsidP="00905886">
      <w:pPr>
        <w:spacing w:line="276" w:lineRule="auto"/>
        <w:jc w:val="both"/>
        <w:rPr>
          <w:rFonts w:eastAsia="MS Mincho" w:cs="Arial"/>
        </w:rPr>
      </w:pPr>
      <w:r w:rsidRPr="00905886">
        <w:rPr>
          <w:rFonts w:eastAsia="Arial" w:cs="Arial"/>
          <w:b/>
          <w:bCs/>
        </w:rPr>
        <w:t xml:space="preserve">Module </w:t>
      </w:r>
      <w:r w:rsidR="007B0548" w:rsidRPr="00905886">
        <w:rPr>
          <w:rFonts w:eastAsia="Arial" w:cs="Arial"/>
          <w:b/>
          <w:bCs/>
        </w:rPr>
        <w:t>N</w:t>
      </w:r>
      <w:r w:rsidRPr="00905886">
        <w:rPr>
          <w:rFonts w:eastAsia="Arial" w:cs="Arial"/>
          <w:b/>
          <w:bCs/>
        </w:rPr>
        <w:t>ame</w:t>
      </w:r>
      <w:r w:rsidR="2F15B832" w:rsidRPr="00905886">
        <w:rPr>
          <w:rFonts w:eastAsia="Arial" w:cs="Arial"/>
          <w:b/>
          <w:bCs/>
        </w:rPr>
        <w:t>: B</w:t>
      </w:r>
      <w:r w:rsidR="00935E34" w:rsidRPr="00905886">
        <w:rPr>
          <w:rFonts w:eastAsia="Arial" w:cs="Arial"/>
          <w:b/>
          <w:bCs/>
        </w:rPr>
        <w:t>iological Therapies</w:t>
      </w:r>
    </w:p>
    <w:p w14:paraId="7F5CEEDE" w14:textId="77777777" w:rsidR="00753BFA" w:rsidRPr="00905886" w:rsidRDefault="00753BFA" w:rsidP="00905886">
      <w:pPr>
        <w:spacing w:line="276" w:lineRule="auto"/>
        <w:jc w:val="both"/>
        <w:rPr>
          <w:rFonts w:eastAsia="Arial" w:cs="Arial"/>
        </w:rPr>
      </w:pPr>
      <w:r w:rsidRPr="00905886">
        <w:rPr>
          <w:rFonts w:eastAsia="Arial" w:cs="Arial"/>
        </w:rPr>
        <w:t xml:space="preserve"> </w:t>
      </w:r>
      <w:r w:rsidRPr="00905886">
        <w:rPr>
          <w:rFonts w:eastAsia="MS Mincho" w:cs="Arial"/>
        </w:rPr>
        <w:br/>
      </w:r>
      <w:r w:rsidRPr="00905886">
        <w:rPr>
          <w:rFonts w:eastAsia="Arial" w:cs="Arial"/>
        </w:rPr>
        <w:t xml:space="preserve"> </w:t>
      </w:r>
      <w:r w:rsidRPr="00905886">
        <w:rPr>
          <w:rFonts w:eastAsia="Arial" w:cs="Arial"/>
          <w:b/>
          <w:bCs/>
        </w:rPr>
        <w:t xml:space="preserve"> </w:t>
      </w:r>
      <w:r w:rsidRPr="00905886">
        <w:rPr>
          <w:rFonts w:eastAsia="Arial" w:cs="Arial"/>
        </w:rPr>
        <w:t xml:space="preserve"> </w:t>
      </w:r>
    </w:p>
    <w:tbl>
      <w:tblPr>
        <w:tblW w:w="9771" w:type="dxa"/>
        <w:tblLayout w:type="fixed"/>
        <w:tblLook w:val="04A0" w:firstRow="1" w:lastRow="0" w:firstColumn="1" w:lastColumn="0" w:noHBand="0" w:noVBand="1"/>
      </w:tblPr>
      <w:tblGrid>
        <w:gridCol w:w="2825"/>
        <w:gridCol w:w="6946"/>
      </w:tblGrid>
      <w:tr w:rsidR="00753BFA" w:rsidRPr="00905886" w14:paraId="4D613150" w14:textId="77777777" w:rsidTr="000E5C99">
        <w:tc>
          <w:tcPr>
            <w:tcW w:w="2825" w:type="dxa"/>
            <w:tcBorders>
              <w:top w:val="single" w:sz="8" w:space="0" w:color="auto"/>
              <w:left w:val="single" w:sz="8" w:space="0" w:color="auto"/>
              <w:bottom w:val="single" w:sz="8" w:space="0" w:color="auto"/>
              <w:right w:val="single" w:sz="8" w:space="0" w:color="auto"/>
            </w:tcBorders>
            <w:vAlign w:val="center"/>
          </w:tcPr>
          <w:p w14:paraId="79ED7244" w14:textId="468BC51F" w:rsidR="00753BFA" w:rsidRPr="00905886" w:rsidRDefault="00753BFA" w:rsidP="00905886">
            <w:pPr>
              <w:spacing w:line="276" w:lineRule="auto"/>
              <w:jc w:val="center"/>
              <w:rPr>
                <w:rFonts w:eastAsia="Arial" w:cs="Arial"/>
              </w:rPr>
            </w:pPr>
            <w:r w:rsidRPr="00905886">
              <w:rPr>
                <w:rFonts w:eastAsia="Arial" w:cs="Arial"/>
                <w:b/>
                <w:bCs/>
              </w:rPr>
              <w:t>WORD COUNT</w:t>
            </w:r>
          </w:p>
        </w:tc>
        <w:tc>
          <w:tcPr>
            <w:tcW w:w="6946" w:type="dxa"/>
            <w:tcBorders>
              <w:top w:val="single" w:sz="8" w:space="0" w:color="auto"/>
              <w:left w:val="single" w:sz="8" w:space="0" w:color="auto"/>
              <w:bottom w:val="single" w:sz="8" w:space="0" w:color="auto"/>
              <w:right w:val="single" w:sz="8" w:space="0" w:color="auto"/>
            </w:tcBorders>
            <w:vAlign w:val="center"/>
          </w:tcPr>
          <w:p w14:paraId="254590F1" w14:textId="77777777" w:rsidR="00753BFA" w:rsidRPr="00905886" w:rsidRDefault="00753BFA" w:rsidP="00905886">
            <w:pPr>
              <w:spacing w:line="276" w:lineRule="auto"/>
              <w:jc w:val="both"/>
              <w:rPr>
                <w:rFonts w:eastAsia="Arial" w:cs="Arial"/>
              </w:rPr>
            </w:pPr>
            <w:r w:rsidRPr="00905886">
              <w:rPr>
                <w:rFonts w:eastAsia="Arial" w:cs="Arial"/>
              </w:rPr>
              <w:t xml:space="preserve"> </w:t>
            </w:r>
          </w:p>
          <w:p w14:paraId="78D6394D" w14:textId="0533B8CB" w:rsidR="00753BFA" w:rsidRPr="00905886" w:rsidRDefault="00753BFA" w:rsidP="00905886">
            <w:pPr>
              <w:spacing w:line="276" w:lineRule="auto"/>
              <w:jc w:val="both"/>
              <w:rPr>
                <w:rFonts w:eastAsia="Arial" w:cs="Arial"/>
              </w:rPr>
            </w:pPr>
            <w:r w:rsidRPr="00905886">
              <w:rPr>
                <w:rFonts w:eastAsia="Arial" w:cs="Arial"/>
              </w:rPr>
              <w:t xml:space="preserve"> </w:t>
            </w:r>
            <w:r w:rsidR="007C5892">
              <w:rPr>
                <w:rFonts w:eastAsia="Arial" w:cs="Arial"/>
              </w:rPr>
              <w:t>8</w:t>
            </w:r>
            <w:r w:rsidR="00021A92">
              <w:rPr>
                <w:rFonts w:eastAsia="Arial" w:cs="Arial"/>
              </w:rPr>
              <w:t>50</w:t>
            </w:r>
          </w:p>
        </w:tc>
      </w:tr>
    </w:tbl>
    <w:p w14:paraId="24ADAB19" w14:textId="77777777" w:rsidR="00753BFA" w:rsidRPr="00905886" w:rsidRDefault="00753BFA" w:rsidP="00905886">
      <w:pPr>
        <w:spacing w:line="276" w:lineRule="auto"/>
        <w:jc w:val="both"/>
        <w:rPr>
          <w:rFonts w:eastAsia="Arial" w:cs="Arial"/>
          <w:b/>
          <w:bCs/>
        </w:rPr>
      </w:pPr>
    </w:p>
    <w:p w14:paraId="35899A2D" w14:textId="68A7513A" w:rsidR="00753BFA" w:rsidRPr="00905886" w:rsidRDefault="00753BFA" w:rsidP="00905886">
      <w:pPr>
        <w:spacing w:line="276" w:lineRule="auto"/>
        <w:jc w:val="both"/>
        <w:rPr>
          <w:rFonts w:eastAsia="Arial" w:cs="Arial"/>
          <w:b/>
          <w:bCs/>
        </w:rPr>
      </w:pPr>
      <w:r w:rsidRPr="00905886">
        <w:rPr>
          <w:rFonts w:eastAsia="Arial" w:cs="Arial"/>
          <w:b/>
          <w:bCs/>
        </w:rPr>
        <w:t xml:space="preserve">This </w:t>
      </w:r>
      <w:r w:rsidR="000F11B5" w:rsidRPr="00905886">
        <w:rPr>
          <w:rFonts w:eastAsia="Arial" w:cs="Arial"/>
          <w:b/>
          <w:bCs/>
        </w:rPr>
        <w:t xml:space="preserve">coursework </w:t>
      </w:r>
      <w:r w:rsidRPr="00905886">
        <w:rPr>
          <w:rFonts w:eastAsia="Arial" w:cs="Arial"/>
          <w:b/>
          <w:bCs/>
        </w:rPr>
        <w:t>contributes 60% to the final module total.</w:t>
      </w:r>
    </w:p>
    <w:p w14:paraId="7AEC7DBF" w14:textId="77777777" w:rsidR="00753BFA" w:rsidRPr="00905886" w:rsidRDefault="00753BFA" w:rsidP="00905886">
      <w:pPr>
        <w:spacing w:line="276" w:lineRule="auto"/>
        <w:ind w:right="-337"/>
        <w:jc w:val="both"/>
        <w:rPr>
          <w:rFonts w:eastAsia="Arial" w:cs="Arial"/>
          <w:b/>
          <w:bCs/>
        </w:rPr>
      </w:pPr>
      <w:r w:rsidRPr="00905886">
        <w:rPr>
          <w:rFonts w:eastAsia="Arial" w:cs="Arial"/>
          <w:b/>
          <w:bCs/>
        </w:rPr>
        <w:t>Please make sure that you read questions carefully and it is clear what you are answering.</w:t>
      </w:r>
      <w:r w:rsidRPr="00905886">
        <w:rPr>
          <w:rFonts w:eastAsia="Arial" w:cs="Arial"/>
          <w:b/>
          <w:bCs/>
        </w:rPr>
        <w:br/>
        <w:t>It is recommended that you save your work every 15 minutes so that you do not risk losing it.</w:t>
      </w:r>
    </w:p>
    <w:p w14:paraId="5DA0FA93" w14:textId="77777777" w:rsidR="00753BFA" w:rsidRPr="00905886" w:rsidRDefault="00753BFA" w:rsidP="00905886">
      <w:pPr>
        <w:spacing w:line="276" w:lineRule="auto"/>
        <w:ind w:right="-337"/>
        <w:jc w:val="both"/>
        <w:rPr>
          <w:rFonts w:eastAsia="Arial" w:cs="Arial"/>
          <w:b/>
          <w:bCs/>
        </w:rPr>
      </w:pPr>
      <w:r w:rsidRPr="00905886">
        <w:rPr>
          <w:rFonts w:eastAsia="Arial" w:cs="Arial"/>
          <w:b/>
          <w:bCs/>
        </w:rPr>
        <w:t xml:space="preserve">Your submission must be your own work and comply with the University’s Academic Misconduct Policy. Upload your answers onto </w:t>
      </w:r>
      <w:proofErr w:type="spellStart"/>
      <w:r w:rsidRPr="00905886">
        <w:rPr>
          <w:rFonts w:eastAsia="Arial" w:cs="Arial"/>
          <w:b/>
          <w:bCs/>
        </w:rPr>
        <w:t>QMPlus</w:t>
      </w:r>
      <w:proofErr w:type="spellEnd"/>
      <w:r w:rsidRPr="00905886">
        <w:rPr>
          <w:rFonts w:eastAsia="Arial" w:cs="Arial"/>
          <w:b/>
          <w:bCs/>
        </w:rPr>
        <w:t xml:space="preserve"> </w:t>
      </w:r>
      <w:r w:rsidRPr="00905886">
        <w:rPr>
          <w:rFonts w:eastAsia="Arial" w:cs="Arial"/>
          <w:b/>
          <w:bCs/>
          <w:u w:val="single"/>
        </w:rPr>
        <w:t>by the published deadline.</w:t>
      </w:r>
    </w:p>
    <w:p w14:paraId="03B9D2B7" w14:textId="77777777" w:rsidR="00753BFA" w:rsidRPr="00905886" w:rsidRDefault="00753BFA" w:rsidP="00905886">
      <w:pPr>
        <w:spacing w:line="276" w:lineRule="auto"/>
        <w:jc w:val="both"/>
        <w:rPr>
          <w:rFonts w:eastAsia="Arial" w:cs="Arial"/>
          <w:b/>
          <w:bCs/>
        </w:rPr>
      </w:pPr>
      <w:r w:rsidRPr="00905886">
        <w:rPr>
          <w:rFonts w:eastAsia="Arial" w:cs="Arial"/>
          <w:b/>
          <w:bCs/>
        </w:rPr>
        <w:tab/>
      </w:r>
    </w:p>
    <w:tbl>
      <w:tblPr>
        <w:tblStyle w:val="TableGrid1"/>
        <w:tblW w:w="9781" w:type="dxa"/>
        <w:tblInd w:w="-5" w:type="dxa"/>
        <w:tblLook w:val="04A0" w:firstRow="1" w:lastRow="0" w:firstColumn="1" w:lastColumn="0" w:noHBand="0" w:noVBand="1"/>
      </w:tblPr>
      <w:tblGrid>
        <w:gridCol w:w="9781"/>
      </w:tblGrid>
      <w:tr w:rsidR="00753BFA" w:rsidRPr="00905886" w14:paraId="4007D181" w14:textId="77777777" w:rsidTr="00DB3E2A">
        <w:trPr>
          <w:trHeight w:val="2173"/>
        </w:trPr>
        <w:tc>
          <w:tcPr>
            <w:tcW w:w="9781" w:type="dxa"/>
          </w:tcPr>
          <w:p w14:paraId="0AD56CE2" w14:textId="025A9A78" w:rsidR="00753BFA" w:rsidRPr="00905886" w:rsidRDefault="002E29E0" w:rsidP="00905886">
            <w:pPr>
              <w:spacing w:line="276" w:lineRule="auto"/>
              <w:jc w:val="both"/>
              <w:rPr>
                <w:rFonts w:eastAsia="Arial" w:cs="Arial"/>
                <w:b/>
                <w:bCs/>
              </w:rPr>
            </w:pPr>
            <w:r w:rsidRPr="00905886">
              <w:rPr>
                <w:rFonts w:eastAsia="Arial" w:cs="Arial"/>
                <w:b/>
                <w:bCs/>
              </w:rPr>
              <w:t>Examiner comments</w:t>
            </w:r>
          </w:p>
          <w:p w14:paraId="38BEC8A2" w14:textId="77777777" w:rsidR="00753BFA" w:rsidRPr="00905886" w:rsidRDefault="00753BFA" w:rsidP="00905886">
            <w:pPr>
              <w:spacing w:line="276" w:lineRule="auto"/>
              <w:jc w:val="both"/>
              <w:rPr>
                <w:rFonts w:eastAsia="Arial" w:cs="Arial"/>
                <w:b/>
                <w:bCs/>
              </w:rPr>
            </w:pPr>
          </w:p>
          <w:p w14:paraId="0A23C0FA" w14:textId="77777777" w:rsidR="00753BFA" w:rsidRPr="00905886" w:rsidRDefault="00753BFA" w:rsidP="00905886">
            <w:pPr>
              <w:spacing w:line="276" w:lineRule="auto"/>
              <w:jc w:val="both"/>
              <w:rPr>
                <w:rFonts w:eastAsia="Arial" w:cs="Arial"/>
                <w:b/>
                <w:bCs/>
              </w:rPr>
            </w:pPr>
          </w:p>
          <w:p w14:paraId="18AEED4C" w14:textId="77777777" w:rsidR="00753BFA" w:rsidRPr="00905886" w:rsidRDefault="00753BFA" w:rsidP="00905886">
            <w:pPr>
              <w:spacing w:line="276" w:lineRule="auto"/>
              <w:jc w:val="both"/>
              <w:rPr>
                <w:rFonts w:eastAsia="Arial" w:cs="Arial"/>
                <w:b/>
                <w:bCs/>
              </w:rPr>
            </w:pPr>
          </w:p>
          <w:p w14:paraId="09D2321D" w14:textId="77777777" w:rsidR="00753BFA" w:rsidRPr="00905886" w:rsidRDefault="00753BFA" w:rsidP="00905886">
            <w:pPr>
              <w:spacing w:line="276" w:lineRule="auto"/>
              <w:jc w:val="both"/>
              <w:rPr>
                <w:rFonts w:eastAsia="Arial" w:cs="Arial"/>
                <w:b/>
                <w:bCs/>
              </w:rPr>
            </w:pPr>
          </w:p>
          <w:p w14:paraId="5FD92A2C" w14:textId="77777777" w:rsidR="00753BFA" w:rsidRPr="00905886" w:rsidRDefault="00753BFA" w:rsidP="00905886">
            <w:pPr>
              <w:spacing w:line="276" w:lineRule="auto"/>
              <w:jc w:val="both"/>
              <w:rPr>
                <w:rFonts w:eastAsia="Arial" w:cs="Arial"/>
                <w:b/>
                <w:bCs/>
              </w:rPr>
            </w:pPr>
          </w:p>
          <w:p w14:paraId="2933B732" w14:textId="77777777" w:rsidR="00753BFA" w:rsidRPr="00905886" w:rsidRDefault="00753BFA" w:rsidP="00905886">
            <w:pPr>
              <w:spacing w:line="276" w:lineRule="auto"/>
              <w:jc w:val="both"/>
              <w:rPr>
                <w:rFonts w:eastAsia="Arial" w:cs="Arial"/>
                <w:b/>
                <w:bCs/>
              </w:rPr>
            </w:pPr>
          </w:p>
        </w:tc>
      </w:tr>
    </w:tbl>
    <w:p w14:paraId="06FD21A0" w14:textId="77777777" w:rsidR="00753BFA" w:rsidRPr="00905886" w:rsidRDefault="00753BFA" w:rsidP="00905886">
      <w:pPr>
        <w:spacing w:line="276" w:lineRule="auto"/>
        <w:jc w:val="both"/>
        <w:rPr>
          <w:rFonts w:eastAsia="Arial" w:cs="Arial"/>
          <w:b/>
          <w:bCs/>
          <w:u w:val="single"/>
        </w:rPr>
      </w:pPr>
    </w:p>
    <w:tbl>
      <w:tblPr>
        <w:tblStyle w:val="TableGrid1"/>
        <w:tblW w:w="9776" w:type="dxa"/>
        <w:tblLook w:val="04A0" w:firstRow="1" w:lastRow="0" w:firstColumn="1" w:lastColumn="0" w:noHBand="0" w:noVBand="1"/>
      </w:tblPr>
      <w:tblGrid>
        <w:gridCol w:w="2689"/>
        <w:gridCol w:w="7087"/>
      </w:tblGrid>
      <w:tr w:rsidR="00753BFA" w:rsidRPr="00905886" w14:paraId="673FCECD" w14:textId="77777777" w:rsidTr="30584A46">
        <w:tc>
          <w:tcPr>
            <w:tcW w:w="2689" w:type="dxa"/>
          </w:tcPr>
          <w:p w14:paraId="37FFAFD9" w14:textId="77777777" w:rsidR="00753BFA" w:rsidRPr="00905886" w:rsidRDefault="00753BFA" w:rsidP="00905886">
            <w:pPr>
              <w:spacing w:line="276" w:lineRule="auto"/>
              <w:jc w:val="both"/>
              <w:rPr>
                <w:rFonts w:eastAsia="Arial" w:cs="Arial"/>
                <w:b/>
                <w:bCs/>
              </w:rPr>
            </w:pPr>
            <w:r w:rsidRPr="00905886">
              <w:rPr>
                <w:rFonts w:eastAsia="Arial" w:cs="Arial"/>
                <w:b/>
                <w:bCs/>
              </w:rPr>
              <w:t>Marker 1</w:t>
            </w:r>
          </w:p>
        </w:tc>
        <w:tc>
          <w:tcPr>
            <w:tcW w:w="7087" w:type="dxa"/>
          </w:tcPr>
          <w:p w14:paraId="6709DE90" w14:textId="77777777" w:rsidR="00753BFA" w:rsidRPr="00905886" w:rsidRDefault="00753BFA" w:rsidP="00905886">
            <w:pPr>
              <w:spacing w:line="276" w:lineRule="auto"/>
              <w:jc w:val="both"/>
              <w:rPr>
                <w:rFonts w:eastAsia="Arial" w:cs="Arial"/>
                <w:b/>
                <w:bCs/>
              </w:rPr>
            </w:pPr>
          </w:p>
          <w:p w14:paraId="00AC2623" w14:textId="77777777" w:rsidR="00753BFA" w:rsidRPr="00905886" w:rsidRDefault="00753BFA" w:rsidP="00905886">
            <w:pPr>
              <w:spacing w:line="276" w:lineRule="auto"/>
              <w:jc w:val="both"/>
              <w:rPr>
                <w:rFonts w:eastAsia="Arial" w:cs="Arial"/>
                <w:b/>
                <w:bCs/>
              </w:rPr>
            </w:pPr>
          </w:p>
        </w:tc>
      </w:tr>
      <w:tr w:rsidR="00753BFA" w:rsidRPr="00905886" w14:paraId="3CED43EE" w14:textId="77777777" w:rsidTr="30584A46">
        <w:tc>
          <w:tcPr>
            <w:tcW w:w="2689" w:type="dxa"/>
          </w:tcPr>
          <w:p w14:paraId="15ED7042" w14:textId="77777777" w:rsidR="00753BFA" w:rsidRPr="00905886" w:rsidRDefault="00753BFA" w:rsidP="00905886">
            <w:pPr>
              <w:spacing w:line="276" w:lineRule="auto"/>
              <w:jc w:val="both"/>
              <w:rPr>
                <w:rFonts w:eastAsia="Arial" w:cs="Arial"/>
                <w:b/>
                <w:bCs/>
              </w:rPr>
            </w:pPr>
            <w:r w:rsidRPr="00905886">
              <w:rPr>
                <w:rFonts w:eastAsia="Arial" w:cs="Arial"/>
                <w:b/>
                <w:bCs/>
              </w:rPr>
              <w:t>Marker 2</w:t>
            </w:r>
          </w:p>
        </w:tc>
        <w:tc>
          <w:tcPr>
            <w:tcW w:w="7087" w:type="dxa"/>
          </w:tcPr>
          <w:p w14:paraId="50F8547D" w14:textId="77777777" w:rsidR="00753BFA" w:rsidRPr="00905886" w:rsidRDefault="00753BFA" w:rsidP="00905886">
            <w:pPr>
              <w:spacing w:line="276" w:lineRule="auto"/>
              <w:jc w:val="both"/>
              <w:rPr>
                <w:rFonts w:eastAsia="Arial" w:cs="Arial"/>
                <w:b/>
                <w:bCs/>
              </w:rPr>
            </w:pPr>
          </w:p>
          <w:p w14:paraId="61CE284F" w14:textId="77777777" w:rsidR="00753BFA" w:rsidRPr="00905886" w:rsidRDefault="00753BFA" w:rsidP="00905886">
            <w:pPr>
              <w:spacing w:line="276" w:lineRule="auto"/>
              <w:jc w:val="both"/>
              <w:rPr>
                <w:rFonts w:eastAsia="Arial" w:cs="Arial"/>
                <w:b/>
                <w:bCs/>
              </w:rPr>
            </w:pPr>
          </w:p>
        </w:tc>
      </w:tr>
      <w:tr w:rsidR="00753BFA" w:rsidRPr="00905886" w14:paraId="0581BD53" w14:textId="77777777" w:rsidTr="30584A46">
        <w:tc>
          <w:tcPr>
            <w:tcW w:w="2689" w:type="dxa"/>
          </w:tcPr>
          <w:p w14:paraId="7553C425" w14:textId="77777777" w:rsidR="00753BFA" w:rsidRPr="00905886" w:rsidRDefault="00753BFA" w:rsidP="00905886">
            <w:pPr>
              <w:spacing w:line="276" w:lineRule="auto"/>
              <w:jc w:val="both"/>
              <w:rPr>
                <w:rFonts w:eastAsia="Arial" w:cs="Arial"/>
                <w:b/>
                <w:bCs/>
              </w:rPr>
            </w:pPr>
            <w:r w:rsidRPr="00905886">
              <w:rPr>
                <w:rFonts w:eastAsia="Arial" w:cs="Arial"/>
                <w:b/>
                <w:bCs/>
              </w:rPr>
              <w:t>Agreed Mark</w:t>
            </w:r>
          </w:p>
        </w:tc>
        <w:tc>
          <w:tcPr>
            <w:tcW w:w="7087" w:type="dxa"/>
          </w:tcPr>
          <w:p w14:paraId="2998B29C" w14:textId="77777777" w:rsidR="00753BFA" w:rsidRPr="00905886" w:rsidRDefault="00753BFA" w:rsidP="00905886">
            <w:pPr>
              <w:spacing w:line="276" w:lineRule="auto"/>
              <w:jc w:val="both"/>
              <w:rPr>
                <w:rFonts w:eastAsia="Arial" w:cs="Arial"/>
                <w:b/>
                <w:bCs/>
              </w:rPr>
            </w:pPr>
          </w:p>
          <w:p w14:paraId="6208C530" w14:textId="77777777" w:rsidR="00753BFA" w:rsidRPr="00905886" w:rsidRDefault="00753BFA" w:rsidP="00905886">
            <w:pPr>
              <w:spacing w:line="276" w:lineRule="auto"/>
              <w:jc w:val="both"/>
              <w:rPr>
                <w:rFonts w:eastAsia="Arial" w:cs="Arial"/>
                <w:b/>
                <w:bCs/>
              </w:rPr>
            </w:pPr>
          </w:p>
        </w:tc>
      </w:tr>
    </w:tbl>
    <w:p w14:paraId="693CFFEE" w14:textId="5B9C0B54" w:rsidR="002F5527" w:rsidRPr="00905886" w:rsidRDefault="30584A46" w:rsidP="00905886">
      <w:pPr>
        <w:spacing w:line="276" w:lineRule="auto"/>
        <w:rPr>
          <w:rFonts w:cs="Arial"/>
        </w:rPr>
      </w:pPr>
      <w:r w:rsidRPr="00905886">
        <w:rPr>
          <w:rFonts w:cs="Arial"/>
        </w:rPr>
        <w:br w:type="page"/>
      </w:r>
    </w:p>
    <w:p w14:paraId="27FC4D98" w14:textId="4C3F7AF0" w:rsidR="00A268F5" w:rsidRPr="00905886" w:rsidRDefault="00482A30" w:rsidP="001051FA">
      <w:pPr>
        <w:pStyle w:val="NormalWeb"/>
        <w:spacing w:line="276" w:lineRule="auto"/>
        <w:jc w:val="both"/>
        <w:rPr>
          <w:rFonts w:ascii="Arial" w:hAnsi="Arial" w:cs="Arial"/>
          <w:b/>
          <w:bCs/>
        </w:rPr>
      </w:pPr>
      <w:r w:rsidRPr="00482A30">
        <w:rPr>
          <w:rFonts w:ascii="Arial" w:hAnsi="Arial" w:cs="Arial"/>
          <w:b/>
          <w:bCs/>
        </w:rPr>
        <w:lastRenderedPageBreak/>
        <w:t>Problem Statement and Research Significance</w:t>
      </w:r>
    </w:p>
    <w:p w14:paraId="55260C81" w14:textId="173CCFD0" w:rsidR="00E32A87" w:rsidRPr="00E32A87" w:rsidRDefault="00E32A87" w:rsidP="001051FA">
      <w:pPr>
        <w:pStyle w:val="NormalWeb"/>
        <w:spacing w:line="276" w:lineRule="auto"/>
        <w:jc w:val="both"/>
        <w:rPr>
          <w:rFonts w:ascii="Arial" w:hAnsi="Arial" w:cs="Arial"/>
        </w:rPr>
      </w:pPr>
      <w:r w:rsidRPr="00E32A87">
        <w:rPr>
          <w:rFonts w:ascii="Arial" w:hAnsi="Arial" w:cs="Arial"/>
        </w:rPr>
        <w:t xml:space="preserve">Glioblastoma (GBM) acts as a lethal brain condition where patients have a median survival of 14 months despite standard surgery and chemoradiotherapy. Therapeutic failure is attributed to the highly </w:t>
      </w:r>
      <w:r w:rsidR="00A81696" w:rsidRPr="00A81696">
        <w:rPr>
          <w:rFonts w:ascii="Arial" w:hAnsi="Arial" w:cs="Arial"/>
        </w:rPr>
        <w:t>immunosuppressive</w:t>
      </w:r>
      <w:r w:rsidRPr="00E32A87">
        <w:rPr>
          <w:rFonts w:ascii="Arial" w:hAnsi="Arial" w:cs="Arial"/>
        </w:rPr>
        <w:t xml:space="preserve"> tumour microenvironment (TME) of this disease. The TME is dominated by glioma-associated microglia</w:t>
      </w:r>
      <w:r w:rsidR="00C71C81">
        <w:rPr>
          <w:rFonts w:ascii="Arial" w:hAnsi="Arial" w:cs="Arial"/>
        </w:rPr>
        <w:t xml:space="preserve"> and </w:t>
      </w:r>
      <w:r w:rsidRPr="00E32A87">
        <w:rPr>
          <w:rFonts w:ascii="Arial" w:hAnsi="Arial" w:cs="Arial"/>
        </w:rPr>
        <w:t>macrophages (GAMs).</w:t>
      </w:r>
      <w:r w:rsidR="00954550">
        <w:rPr>
          <w:rFonts w:ascii="Arial" w:hAnsi="Arial" w:cs="Arial"/>
        </w:rPr>
        <w:t xml:space="preserve"> </w:t>
      </w:r>
      <w:r w:rsidRPr="00E32A87">
        <w:rPr>
          <w:rFonts w:ascii="Arial" w:hAnsi="Arial" w:cs="Arial"/>
        </w:rPr>
        <w:t>Checkpoint inhibitors have transformed treatment for other cancers. However, these therapies generate unsatisfactory clinical results in this tumour type because of the suppressive environment. To investigate this</w:t>
      </w:r>
      <w:r w:rsidR="009E5981">
        <w:rPr>
          <w:rFonts w:ascii="Arial" w:hAnsi="Arial" w:cs="Arial"/>
        </w:rPr>
        <w:t>,</w:t>
      </w:r>
      <w:r w:rsidRPr="00E32A87">
        <w:rPr>
          <w:rFonts w:ascii="Arial" w:hAnsi="Arial" w:cs="Arial"/>
        </w:rPr>
        <w:t xml:space="preserve"> the study utilises </w:t>
      </w:r>
      <w:r w:rsidR="003B0A2A" w:rsidRPr="003B0A2A">
        <w:rPr>
          <w:rFonts w:ascii="Arial" w:hAnsi="Arial" w:cs="Arial"/>
        </w:rPr>
        <w:t>sialic acid-binding immunoglobulin-like lectin E (Siglec-E)</w:t>
      </w:r>
      <w:r w:rsidR="003B0A2A">
        <w:rPr>
          <w:rFonts w:ascii="Arial" w:hAnsi="Arial" w:cs="Arial"/>
        </w:rPr>
        <w:t xml:space="preserve"> </w:t>
      </w:r>
      <w:r w:rsidRPr="00E32A87">
        <w:rPr>
          <w:rFonts w:ascii="Arial" w:hAnsi="Arial" w:cs="Arial"/>
        </w:rPr>
        <w:t>which is the murine homolog of human Siglec</w:t>
      </w:r>
      <w:r w:rsidR="009E5981">
        <w:rPr>
          <w:rFonts w:ascii="Arial" w:hAnsi="Arial" w:cs="Arial"/>
        </w:rPr>
        <w:t>-</w:t>
      </w:r>
      <w:r w:rsidRPr="00E32A87">
        <w:rPr>
          <w:rFonts w:ascii="Arial" w:hAnsi="Arial" w:cs="Arial"/>
        </w:rPr>
        <w:t xml:space="preserve">9 to explore inhibitory interactions within the tumour microenvironment. A key driver of this suppression is tumour hypersialylation (increased sialic acid-containing glycans), which triggers tolerogenic programs by engaging inhibitory Siglec receptors on innate immune cells. In other cancers, Siglec-7, -9, and -10 promote progression by inducing suppressive M2-like phenotypes in tumour-associated macrophages (TAMs), reducing </w:t>
      </w:r>
      <w:r w:rsidR="004A7A84" w:rsidRPr="004A7A84">
        <w:rPr>
          <w:rFonts w:ascii="Arial" w:hAnsi="Arial" w:cs="Arial"/>
        </w:rPr>
        <w:t>natural killer (NK) cell cytotoxicity</w:t>
      </w:r>
      <w:r w:rsidRPr="00E32A87">
        <w:rPr>
          <w:rFonts w:ascii="Arial" w:hAnsi="Arial" w:cs="Arial"/>
        </w:rPr>
        <w:t>, and promoting regulatory T</w:t>
      </w:r>
      <w:r w:rsidR="004A7A84">
        <w:rPr>
          <w:rFonts w:ascii="Arial" w:hAnsi="Arial" w:cs="Arial"/>
        </w:rPr>
        <w:t>-</w:t>
      </w:r>
      <w:r w:rsidRPr="00E32A87">
        <w:rPr>
          <w:rFonts w:ascii="Arial" w:hAnsi="Arial" w:cs="Arial"/>
        </w:rPr>
        <w:t>cell</w:t>
      </w:r>
      <w:r w:rsidR="004A7A84">
        <w:rPr>
          <w:rFonts w:ascii="Arial" w:hAnsi="Arial" w:cs="Arial"/>
        </w:rPr>
        <w:t xml:space="preserve"> (T-reg</w:t>
      </w:r>
      <w:r w:rsidR="004E34AD">
        <w:rPr>
          <w:rFonts w:ascii="Arial" w:hAnsi="Arial" w:cs="Arial"/>
        </w:rPr>
        <w:t>s</w:t>
      </w:r>
      <w:r w:rsidR="004A7A84">
        <w:rPr>
          <w:rFonts w:ascii="Arial" w:hAnsi="Arial" w:cs="Arial"/>
        </w:rPr>
        <w:t>)</w:t>
      </w:r>
      <w:r w:rsidR="00CA1479">
        <w:rPr>
          <w:rFonts w:ascii="Arial" w:hAnsi="Arial" w:cs="Arial"/>
        </w:rPr>
        <w:t xml:space="preserve"> </w:t>
      </w:r>
      <w:r w:rsidRPr="00E32A87">
        <w:rPr>
          <w:rFonts w:ascii="Arial" w:hAnsi="Arial" w:cs="Arial"/>
        </w:rPr>
        <w:t>responses. However, the induction of tolerogenic programs via Siglec receptors o</w:t>
      </w:r>
      <w:r w:rsidR="00FE7B2E">
        <w:rPr>
          <w:rFonts w:ascii="Arial" w:hAnsi="Arial" w:cs="Arial"/>
        </w:rPr>
        <w:t xml:space="preserve">n </w:t>
      </w:r>
      <w:r w:rsidR="00FE7B2E" w:rsidRPr="00FE7B2E">
        <w:rPr>
          <w:rFonts w:ascii="Arial" w:hAnsi="Arial" w:cs="Arial"/>
        </w:rPr>
        <w:t>microglia (MG)</w:t>
      </w:r>
      <w:r w:rsidRPr="00E32A87">
        <w:rPr>
          <w:rFonts w:ascii="Arial" w:hAnsi="Arial" w:cs="Arial"/>
        </w:rPr>
        <w:t xml:space="preserve"> and</w:t>
      </w:r>
      <w:r w:rsidR="00FE7B2E">
        <w:rPr>
          <w:rFonts w:ascii="Arial" w:hAnsi="Arial" w:cs="Arial"/>
        </w:rPr>
        <w:t xml:space="preserve"> </w:t>
      </w:r>
      <w:r w:rsidR="00FE7B2E" w:rsidRPr="00FE7B2E">
        <w:rPr>
          <w:rFonts w:ascii="Arial" w:hAnsi="Arial" w:cs="Arial"/>
        </w:rPr>
        <w:t>monocyte-derived cells (MdCs)</w:t>
      </w:r>
      <w:r w:rsidRPr="00E32A87">
        <w:rPr>
          <w:rFonts w:ascii="Arial" w:hAnsi="Arial" w:cs="Arial"/>
        </w:rPr>
        <w:t xml:space="preserve"> remained unclear in the GBM TME. Siglec signalling suppresses myeloid phagocytosis, limiting antigen cross-presentation and CD8</w:t>
      </w:r>
      <w:r w:rsidR="00727CD3">
        <w:rPr>
          <w:rFonts w:ascii="Arial" w:hAnsi="Arial" w:cs="Arial"/>
        </w:rPr>
        <w:t>+</w:t>
      </w:r>
      <w:r w:rsidRPr="00E32A87">
        <w:rPr>
          <w:rFonts w:ascii="Arial" w:hAnsi="Arial" w:cs="Arial"/>
        </w:rPr>
        <w:t xml:space="preserve"> T-cell activation. This study assesses if this axis drives GBM immune suppression and if targeting it can bridge innate and adaptive immunity to improve outcomes.</w:t>
      </w:r>
    </w:p>
    <w:p w14:paraId="1BE48C33" w14:textId="77777777" w:rsidR="001C4EA8" w:rsidRPr="001C4EA8" w:rsidRDefault="001C4EA8" w:rsidP="001051FA">
      <w:pPr>
        <w:pStyle w:val="NormalWeb"/>
        <w:spacing w:line="276" w:lineRule="auto"/>
        <w:jc w:val="both"/>
        <w:rPr>
          <w:rFonts w:ascii="Arial" w:hAnsi="Arial" w:cs="Arial"/>
          <w:b/>
          <w:bCs/>
        </w:rPr>
      </w:pPr>
      <w:r w:rsidRPr="001C4EA8">
        <w:rPr>
          <w:rFonts w:ascii="Arial" w:hAnsi="Arial" w:cs="Arial"/>
          <w:b/>
          <w:bCs/>
        </w:rPr>
        <w:t>Relevance to Biological Therapies Module</w:t>
      </w:r>
    </w:p>
    <w:p w14:paraId="19F1CE28" w14:textId="727815F6" w:rsidR="001C4EA8" w:rsidRPr="00905886" w:rsidRDefault="004D1266" w:rsidP="001051FA">
      <w:pPr>
        <w:pStyle w:val="NormalWeb"/>
        <w:spacing w:line="276" w:lineRule="auto"/>
        <w:jc w:val="both"/>
        <w:rPr>
          <w:rFonts w:ascii="Arial" w:hAnsi="Arial" w:cs="Arial"/>
        </w:rPr>
      </w:pPr>
      <w:r w:rsidRPr="00905886">
        <w:rPr>
          <w:rFonts w:ascii="Arial" w:hAnsi="Arial" w:cs="Arial"/>
        </w:rPr>
        <w:t xml:space="preserve">This research applies to </w:t>
      </w:r>
      <w:r w:rsidRPr="00905886">
        <w:rPr>
          <w:rStyle w:val="Emphasis"/>
          <w:rFonts w:ascii="Arial" w:eastAsiaTheme="minorEastAsia" w:hAnsi="Arial" w:cs="Arial"/>
        </w:rPr>
        <w:t>Overview of the tumour microenvironment</w:t>
      </w:r>
      <w:r w:rsidRPr="00905886">
        <w:rPr>
          <w:rFonts w:ascii="Arial" w:hAnsi="Arial" w:cs="Arial"/>
        </w:rPr>
        <w:t xml:space="preserve">, </w:t>
      </w:r>
      <w:r w:rsidRPr="00905886">
        <w:rPr>
          <w:rStyle w:val="Emphasis"/>
          <w:rFonts w:ascii="Arial" w:eastAsiaTheme="minorEastAsia" w:hAnsi="Arial" w:cs="Arial"/>
        </w:rPr>
        <w:t>Tumour-associated macrophages</w:t>
      </w:r>
      <w:r w:rsidRPr="00905886">
        <w:rPr>
          <w:rFonts w:ascii="Arial" w:hAnsi="Arial" w:cs="Arial"/>
        </w:rPr>
        <w:t xml:space="preserve">, and </w:t>
      </w:r>
      <w:r w:rsidRPr="00905886">
        <w:rPr>
          <w:rStyle w:val="Emphasis"/>
          <w:rFonts w:ascii="Arial" w:eastAsiaTheme="minorEastAsia" w:hAnsi="Arial" w:cs="Arial"/>
        </w:rPr>
        <w:t>Tumour-associated glycosylation</w:t>
      </w:r>
      <w:r w:rsidRPr="00905886">
        <w:rPr>
          <w:rFonts w:ascii="Arial" w:hAnsi="Arial" w:cs="Arial"/>
        </w:rPr>
        <w:t xml:space="preserve"> by validating Siglec-E as a myeloid checkpoint. It integrates </w:t>
      </w:r>
      <w:r w:rsidRPr="00905886">
        <w:rPr>
          <w:rStyle w:val="Emphasis"/>
          <w:rFonts w:ascii="Arial" w:eastAsiaTheme="minorEastAsia" w:hAnsi="Arial" w:cs="Arial"/>
        </w:rPr>
        <w:t>Use of animal models</w:t>
      </w:r>
      <w:r w:rsidRPr="00905886">
        <w:rPr>
          <w:rFonts w:ascii="Arial" w:hAnsi="Arial" w:cs="Arial"/>
        </w:rPr>
        <w:t xml:space="preserve"> and </w:t>
      </w:r>
      <w:r w:rsidRPr="00905886">
        <w:rPr>
          <w:rStyle w:val="Emphasis"/>
          <w:rFonts w:ascii="Arial" w:eastAsiaTheme="minorEastAsia" w:hAnsi="Arial" w:cs="Arial"/>
        </w:rPr>
        <w:t>Methods to identify biological targets</w:t>
      </w:r>
      <w:r w:rsidRPr="00905886">
        <w:rPr>
          <w:rFonts w:ascii="Arial" w:hAnsi="Arial" w:cs="Arial"/>
        </w:rPr>
        <w:t xml:space="preserve"> for validation, while applying </w:t>
      </w:r>
      <w:r w:rsidRPr="00905886">
        <w:rPr>
          <w:rStyle w:val="Emphasis"/>
          <w:rFonts w:ascii="Arial" w:eastAsiaTheme="minorEastAsia" w:hAnsi="Arial" w:cs="Arial"/>
        </w:rPr>
        <w:t>Immune checkpoint blockade approaches</w:t>
      </w:r>
      <w:r w:rsidRPr="00905886">
        <w:rPr>
          <w:rFonts w:ascii="Arial" w:hAnsi="Arial" w:cs="Arial"/>
        </w:rPr>
        <w:t xml:space="preserve"> and </w:t>
      </w:r>
      <w:r w:rsidRPr="00905886">
        <w:rPr>
          <w:rStyle w:val="Emphasis"/>
          <w:rFonts w:ascii="Arial" w:eastAsiaTheme="minorEastAsia" w:hAnsi="Arial" w:cs="Arial"/>
        </w:rPr>
        <w:t>Tumour infiltrating lymphocytes and immune suppression</w:t>
      </w:r>
      <w:r w:rsidRPr="00905886">
        <w:rPr>
          <w:rFonts w:ascii="Arial" w:hAnsi="Arial" w:cs="Arial"/>
        </w:rPr>
        <w:t xml:space="preserve"> to demonstrate the efficacy of combinatorial immunotherapeutic strategies</w:t>
      </w:r>
      <w:r w:rsidR="00D37603" w:rsidRPr="00905886">
        <w:rPr>
          <w:rFonts w:ascii="Arial" w:hAnsi="Arial" w:cs="Arial"/>
        </w:rPr>
        <w:t>.</w:t>
      </w:r>
    </w:p>
    <w:p w14:paraId="33278A74" w14:textId="4A0C7FA7" w:rsidR="000D6C24" w:rsidRPr="00905886" w:rsidRDefault="001C4EA8" w:rsidP="001051FA">
      <w:pPr>
        <w:spacing w:line="276" w:lineRule="auto"/>
        <w:jc w:val="both"/>
        <w:rPr>
          <w:rFonts w:cs="Arial"/>
          <w:b/>
          <w:bCs/>
        </w:rPr>
      </w:pPr>
      <w:r w:rsidRPr="00905886">
        <w:rPr>
          <w:rFonts w:cs="Arial"/>
          <w:b/>
          <w:bCs/>
        </w:rPr>
        <w:t>Analysis of Figure Results</w:t>
      </w:r>
    </w:p>
    <w:p w14:paraId="7760FD5D" w14:textId="77777777" w:rsidR="00A268F5" w:rsidRPr="00905886" w:rsidRDefault="00A268F5" w:rsidP="001051FA">
      <w:pPr>
        <w:spacing w:line="276" w:lineRule="auto"/>
        <w:jc w:val="both"/>
        <w:rPr>
          <w:rFonts w:cs="Arial"/>
          <w:b/>
          <w:bCs/>
        </w:rPr>
      </w:pPr>
    </w:p>
    <w:p w14:paraId="3E790FCD" w14:textId="5C8A15A3" w:rsidR="00566AE1" w:rsidRPr="00905886" w:rsidRDefault="006C0ABD" w:rsidP="001051FA">
      <w:pPr>
        <w:spacing w:line="276" w:lineRule="auto"/>
        <w:jc w:val="both"/>
        <w:rPr>
          <w:rFonts w:cs="Arial"/>
          <w:b/>
          <w:bCs/>
        </w:rPr>
      </w:pPr>
      <w:r w:rsidRPr="00905886">
        <w:rPr>
          <w:rFonts w:cs="Arial"/>
          <w:b/>
          <w:bCs/>
        </w:rPr>
        <w:t>Figure 1.</w:t>
      </w:r>
    </w:p>
    <w:p w14:paraId="347CD8CC" w14:textId="3B81C84F" w:rsidR="00905886" w:rsidRDefault="002C7C9F" w:rsidP="001051FA">
      <w:pPr>
        <w:tabs>
          <w:tab w:val="right" w:pos="9026"/>
        </w:tabs>
        <w:spacing w:line="276" w:lineRule="auto"/>
        <w:jc w:val="both"/>
        <w:rPr>
          <w:rFonts w:cs="Arial"/>
        </w:rPr>
      </w:pPr>
      <w:r w:rsidRPr="00905886">
        <w:rPr>
          <w:rFonts w:cs="Arial"/>
        </w:rPr>
        <w:t>High SIGLEC9 expression correlates with reduced GBM survival. Single-cell RNA sequencing shows Siglec-9 is mainly expressed on GAMs, while tumours express sialic acid ligands. Microglia-specific Siglec-E deletion increases phagocytosis but fails to improve survival, indicating microglial enhancement alone is insufficient to override TME suppression. These findings are based on mouse models and correlation data, so they do not establish direct causality between SIGLEC9 expression and patient survival.</w:t>
      </w:r>
    </w:p>
    <w:p w14:paraId="1966FA9A" w14:textId="692747DE" w:rsidR="00D77967" w:rsidRPr="00905886" w:rsidRDefault="002022AB" w:rsidP="001051FA">
      <w:pPr>
        <w:tabs>
          <w:tab w:val="right" w:pos="9026"/>
        </w:tabs>
        <w:spacing w:line="276" w:lineRule="auto"/>
        <w:jc w:val="both"/>
        <w:rPr>
          <w:rFonts w:cs="Arial"/>
        </w:rPr>
      </w:pPr>
      <w:r w:rsidRPr="00905886">
        <w:rPr>
          <w:rFonts w:cs="Arial"/>
        </w:rPr>
        <w:tab/>
      </w:r>
    </w:p>
    <w:p w14:paraId="1516AE38" w14:textId="386D049A" w:rsidR="005F4CAB" w:rsidRPr="00905886" w:rsidRDefault="005F4CAB" w:rsidP="001051FA">
      <w:pPr>
        <w:spacing w:line="276" w:lineRule="auto"/>
        <w:jc w:val="both"/>
        <w:rPr>
          <w:rFonts w:cs="Arial"/>
          <w:b/>
          <w:bCs/>
        </w:rPr>
      </w:pPr>
      <w:r w:rsidRPr="00905886">
        <w:rPr>
          <w:rFonts w:cs="Arial"/>
          <w:b/>
          <w:bCs/>
        </w:rPr>
        <w:lastRenderedPageBreak/>
        <w:t>Figure 2.</w:t>
      </w:r>
    </w:p>
    <w:p w14:paraId="404D49EA" w14:textId="03E068EB" w:rsidR="002C7C9F" w:rsidRPr="00905886" w:rsidRDefault="002C7C9F" w:rsidP="001051FA">
      <w:pPr>
        <w:spacing w:line="276" w:lineRule="auto"/>
        <w:jc w:val="both"/>
        <w:rPr>
          <w:rFonts w:cs="Arial"/>
        </w:rPr>
      </w:pPr>
      <w:r w:rsidRPr="00905886">
        <w:rPr>
          <w:rFonts w:cs="Arial"/>
        </w:rPr>
        <w:t xml:space="preserve">Microglia-specific Siglec-E deletion increases phagocytosis but induces a compensatory response in MdCs, which shift toward an M2-like immunosuppressive phenotype. This compensatory response counteracts microglial anti-tumour effects and may explain the lack of survival benefit. </w:t>
      </w:r>
      <w:r w:rsidR="004A7A84" w:rsidRPr="004A7A84">
        <w:rPr>
          <w:rFonts w:cs="Arial"/>
        </w:rPr>
        <w:t>This indicates that targeting microglia alone is insufficient due to MdCs’ compensatory immunosuppression</w:t>
      </w:r>
      <w:r w:rsidR="004A7A84">
        <w:rPr>
          <w:rFonts w:cs="Arial"/>
        </w:rPr>
        <w:t xml:space="preserve">. </w:t>
      </w:r>
      <w:r w:rsidRPr="00905886">
        <w:rPr>
          <w:rFonts w:cs="Arial"/>
        </w:rPr>
        <w:t>Anti-CCL2 recruitment inhibition fails to restore anti-tumour activity, demonstrating redundancy in immunosuppressive myeloid recruitment.</w:t>
      </w:r>
      <w:r w:rsidR="000D6C24" w:rsidRPr="00905886">
        <w:rPr>
          <w:rFonts w:cs="Arial"/>
        </w:rPr>
        <w:t xml:space="preserve"> </w:t>
      </w:r>
    </w:p>
    <w:p w14:paraId="66758EF9" w14:textId="4956617C" w:rsidR="003F2024" w:rsidRPr="00905886" w:rsidRDefault="003F2024" w:rsidP="001051FA">
      <w:pPr>
        <w:spacing w:line="276" w:lineRule="auto"/>
        <w:jc w:val="both"/>
        <w:rPr>
          <w:rFonts w:cs="Arial"/>
          <w:b/>
          <w:bCs/>
        </w:rPr>
      </w:pPr>
      <w:r w:rsidRPr="00905886">
        <w:rPr>
          <w:rFonts w:cs="Arial"/>
          <w:b/>
          <w:bCs/>
        </w:rPr>
        <w:t>Figure 3.</w:t>
      </w:r>
    </w:p>
    <w:p w14:paraId="05FE18BF" w14:textId="7E5675A4" w:rsidR="002C7C9F" w:rsidRPr="00905886" w:rsidRDefault="002C7C9F" w:rsidP="001051FA">
      <w:pPr>
        <w:spacing w:line="276" w:lineRule="auto"/>
        <w:jc w:val="both"/>
        <w:rPr>
          <w:rFonts w:cs="Arial"/>
        </w:rPr>
      </w:pPr>
      <w:r w:rsidRPr="00905886">
        <w:rPr>
          <w:rFonts w:cs="Arial"/>
        </w:rPr>
        <w:t>Myeloid-wide Siglec-E deletion (Cx3cr1-CreERT2) significantly reduces tumour growth</w:t>
      </w:r>
      <w:r w:rsidR="004A7A84">
        <w:rPr>
          <w:rFonts w:cs="Arial"/>
        </w:rPr>
        <w:t xml:space="preserve"> and </w:t>
      </w:r>
      <w:r w:rsidRPr="00905886">
        <w:rPr>
          <w:rFonts w:cs="Arial"/>
        </w:rPr>
        <w:t>prolongs survival by bypassing MdC</w:t>
      </w:r>
      <w:r w:rsidR="009E5981">
        <w:rPr>
          <w:rFonts w:cs="Arial"/>
        </w:rPr>
        <w:t>s</w:t>
      </w:r>
      <w:r w:rsidRPr="00905886">
        <w:rPr>
          <w:rFonts w:cs="Arial"/>
        </w:rPr>
        <w:t xml:space="preserve"> compensation. This avoids the compensatory response seen in microglia-specific deletion. The effect is associated with increased phagocytosis and </w:t>
      </w:r>
      <w:r w:rsidR="00FE5974" w:rsidRPr="00FE5974">
        <w:rPr>
          <w:rFonts w:cs="Arial"/>
        </w:rPr>
        <w:t>tumour necrosis factor alpha (TNF-α)</w:t>
      </w:r>
      <w:r w:rsidRPr="00905886">
        <w:rPr>
          <w:rFonts w:cs="Arial"/>
        </w:rPr>
        <w:t>/</w:t>
      </w:r>
      <w:r w:rsidR="00CB33B0" w:rsidRPr="00CB33B0">
        <w:t xml:space="preserve"> </w:t>
      </w:r>
      <w:r w:rsidR="00CB33B0" w:rsidRPr="00CB33B0">
        <w:rPr>
          <w:rFonts w:cs="Arial"/>
        </w:rPr>
        <w:t>major histocompatibility complex class II (MHC-II)</w:t>
      </w:r>
      <w:r w:rsidRPr="00905886">
        <w:rPr>
          <w:rFonts w:cs="Arial"/>
        </w:rPr>
        <w:t xml:space="preserve"> presentation in TAMs. Th</w:t>
      </w:r>
      <w:r w:rsidR="005C4A73" w:rsidRPr="00905886">
        <w:rPr>
          <w:rFonts w:cs="Arial"/>
        </w:rPr>
        <w:t>is</w:t>
      </w:r>
      <w:r w:rsidRPr="00905886">
        <w:rPr>
          <w:rFonts w:cs="Arial"/>
        </w:rPr>
        <w:t xml:space="preserve"> indicate</w:t>
      </w:r>
      <w:r w:rsidR="005C4A73" w:rsidRPr="00905886">
        <w:rPr>
          <w:rFonts w:cs="Arial"/>
        </w:rPr>
        <w:t>s</w:t>
      </w:r>
      <w:r w:rsidRPr="00905886">
        <w:rPr>
          <w:rFonts w:cs="Arial"/>
        </w:rPr>
        <w:t xml:space="preserve"> enhanced antigen presentation, linking innate function to adaptive responses. However, systemic targeting of all myeloid cells may cause off-target inflammatory effects.</w:t>
      </w:r>
    </w:p>
    <w:p w14:paraId="341A88BF" w14:textId="11E6AE36" w:rsidR="00BF3F91" w:rsidRPr="00905886" w:rsidRDefault="00BF3F91" w:rsidP="001051FA">
      <w:pPr>
        <w:spacing w:line="276" w:lineRule="auto"/>
        <w:jc w:val="both"/>
        <w:rPr>
          <w:rFonts w:cs="Arial"/>
          <w:b/>
        </w:rPr>
      </w:pPr>
      <w:r w:rsidRPr="00905886">
        <w:rPr>
          <w:rFonts w:cs="Arial"/>
          <w:b/>
        </w:rPr>
        <w:t>Figure 4</w:t>
      </w:r>
      <w:r w:rsidR="00F93FFF" w:rsidRPr="00905886">
        <w:rPr>
          <w:rFonts w:cs="Arial"/>
          <w:b/>
        </w:rPr>
        <w:t xml:space="preserve">. </w:t>
      </w:r>
    </w:p>
    <w:p w14:paraId="6665960F" w14:textId="3EA8A02E" w:rsidR="000D6C24" w:rsidRPr="00905886" w:rsidRDefault="00D9361A" w:rsidP="001051FA">
      <w:pPr>
        <w:spacing w:line="276" w:lineRule="auto"/>
        <w:jc w:val="both"/>
        <w:rPr>
          <w:rFonts w:cs="Arial"/>
          <w:bCs/>
        </w:rPr>
      </w:pPr>
      <w:r w:rsidRPr="00905886">
        <w:rPr>
          <w:rFonts w:cs="Arial"/>
          <w:bCs/>
        </w:rPr>
        <w:t xml:space="preserve">Siglec-E deletion increases adaptive immune activation via CD8+ T-cell proliferation and </w:t>
      </w:r>
      <w:r w:rsidR="000D133D" w:rsidRPr="000D133D">
        <w:rPr>
          <w:rFonts w:cs="Arial"/>
          <w:bCs/>
        </w:rPr>
        <w:t>interferon gamma (IFN-γ)</w:t>
      </w:r>
      <w:r w:rsidR="000D133D">
        <w:rPr>
          <w:rFonts w:cs="Arial"/>
          <w:bCs/>
        </w:rPr>
        <w:t xml:space="preserve"> </w:t>
      </w:r>
      <w:r w:rsidRPr="00905886">
        <w:rPr>
          <w:rFonts w:cs="Arial"/>
          <w:bCs/>
        </w:rPr>
        <w:t xml:space="preserve">production. MdCs show increased antigen cross-presentation, leading to improved priming. Depletion of CD8+ T-cells abolishes the survival benefit, demonstrating they are required for tumour control. This confirms therapeutic efficacy is mediated by adaptive immunity following innate stimulation. Associated pro-inflammatory genes linked to </w:t>
      </w:r>
      <w:r w:rsidR="00E160EF" w:rsidRPr="00E160EF">
        <w:rPr>
          <w:rFonts w:cs="Arial"/>
          <w:bCs/>
        </w:rPr>
        <w:t>nuclear factor kappa B (NF-κB)</w:t>
      </w:r>
      <w:r w:rsidR="00E160EF">
        <w:rPr>
          <w:rFonts w:cs="Arial"/>
          <w:bCs/>
        </w:rPr>
        <w:t xml:space="preserve"> </w:t>
      </w:r>
      <w:r w:rsidRPr="00905886">
        <w:rPr>
          <w:rFonts w:cs="Arial"/>
          <w:bCs/>
        </w:rPr>
        <w:t>signalling suggest NF-κB activation drives cytokine production and T cell priming. However, the study does not directly demonstrate antigen specificity, limiting conclusions about tumour-specific immunity.</w:t>
      </w:r>
      <w:bookmarkStart w:id="0" w:name="_Hlk160540260"/>
    </w:p>
    <w:p w14:paraId="4F6E236D" w14:textId="59B61120" w:rsidR="00694B05" w:rsidRPr="00905886" w:rsidRDefault="00694B05" w:rsidP="001051FA">
      <w:pPr>
        <w:spacing w:line="276" w:lineRule="auto"/>
        <w:jc w:val="both"/>
        <w:rPr>
          <w:rFonts w:cs="Arial"/>
          <w:b/>
          <w:bCs/>
        </w:rPr>
      </w:pPr>
      <w:r w:rsidRPr="00905886">
        <w:rPr>
          <w:rFonts w:cs="Arial"/>
          <w:b/>
          <w:bCs/>
        </w:rPr>
        <w:t xml:space="preserve">Figure 5. </w:t>
      </w:r>
    </w:p>
    <w:p w14:paraId="2EE49062" w14:textId="1BCD8514" w:rsidR="00D9361A" w:rsidRPr="00905886" w:rsidRDefault="00523A24" w:rsidP="001051FA">
      <w:pPr>
        <w:spacing w:line="276" w:lineRule="auto"/>
        <w:jc w:val="both"/>
        <w:rPr>
          <w:rFonts w:cs="Arial"/>
        </w:rPr>
      </w:pPr>
      <w:r w:rsidRPr="00523A24">
        <w:rPr>
          <w:rFonts w:cs="Arial"/>
        </w:rPr>
        <w:t>UDP-N-acetylglucosamine 2-epimerase/N-acetylmannosamine kinase (GNE)</w:t>
      </w:r>
      <w:r>
        <w:rPr>
          <w:rFonts w:cs="Arial"/>
        </w:rPr>
        <w:t xml:space="preserve"> </w:t>
      </w:r>
      <w:r w:rsidR="00D9361A" w:rsidRPr="00905886">
        <w:rPr>
          <w:rFonts w:cs="Arial"/>
        </w:rPr>
        <w:t>knockout mimics Siglec-E deletion, leading to increased survival, enhanced phagocytosis, and elevated inflammatory cytokines. CD8+ T-cells show reduced exhaustion. The loss of therapeutic benefit in Siglec-E–deficient hosts supports the conclusion that tumour-derived sialic acid promotes immune suppression through Siglec signalling.</w:t>
      </w:r>
    </w:p>
    <w:bookmarkEnd w:id="0"/>
    <w:p w14:paraId="1CC92F5E" w14:textId="38BBEBB7" w:rsidR="006C4352" w:rsidRPr="00905886" w:rsidRDefault="006C4352" w:rsidP="001051FA">
      <w:pPr>
        <w:spacing w:line="276" w:lineRule="auto"/>
        <w:jc w:val="both"/>
        <w:rPr>
          <w:rFonts w:cs="Arial"/>
          <w:b/>
          <w:bCs/>
        </w:rPr>
      </w:pPr>
      <w:r w:rsidRPr="00905886">
        <w:rPr>
          <w:rFonts w:cs="Arial"/>
          <w:b/>
          <w:bCs/>
        </w:rPr>
        <w:t xml:space="preserve">Figure 6. </w:t>
      </w:r>
    </w:p>
    <w:p w14:paraId="0454052C" w14:textId="77DDCE3E" w:rsidR="00905886" w:rsidRDefault="00D9361A" w:rsidP="001051FA">
      <w:pPr>
        <w:spacing w:line="276" w:lineRule="auto"/>
        <w:jc w:val="both"/>
        <w:rPr>
          <w:rFonts w:cs="Arial"/>
        </w:rPr>
      </w:pPr>
      <w:r w:rsidRPr="00905886">
        <w:rPr>
          <w:rFonts w:cs="Arial"/>
        </w:rPr>
        <w:t xml:space="preserve">Combination checkpoint blockade improves tumour control vs single treatments. Siglec-E targeting enhances </w:t>
      </w:r>
      <w:r w:rsidR="00523A24" w:rsidRPr="00523A24">
        <w:rPr>
          <w:rFonts w:cs="Arial"/>
        </w:rPr>
        <w:t>cluster of differentiation 47 (CD47)</w:t>
      </w:r>
      <w:r w:rsidR="00523A24">
        <w:rPr>
          <w:rFonts w:cs="Arial"/>
        </w:rPr>
        <w:t xml:space="preserve"> </w:t>
      </w:r>
      <w:r w:rsidRPr="00905886">
        <w:rPr>
          <w:rFonts w:cs="Arial"/>
        </w:rPr>
        <w:t>blockade, while additional PD-1 inhibition overcomes adaptive resistance associated with T-cell exhaustion. This results in complete tumour rejection and long-term immunological memory, indicating that combined targeting of innate and adaptive checkpoints is required for durable responses. Complexity and potential toxicity limit clinical feasibility.</w:t>
      </w:r>
    </w:p>
    <w:p w14:paraId="7980CECA" w14:textId="77777777" w:rsidR="00905886" w:rsidRPr="00905886" w:rsidRDefault="00905886" w:rsidP="001051FA">
      <w:pPr>
        <w:spacing w:line="276" w:lineRule="auto"/>
        <w:jc w:val="both"/>
        <w:rPr>
          <w:rFonts w:cs="Arial"/>
        </w:rPr>
      </w:pPr>
    </w:p>
    <w:p w14:paraId="201B452B" w14:textId="1C4EA552" w:rsidR="00ED0559" w:rsidRPr="00905886" w:rsidRDefault="00ED0559" w:rsidP="001051FA">
      <w:pPr>
        <w:spacing w:line="276" w:lineRule="auto"/>
        <w:jc w:val="both"/>
        <w:rPr>
          <w:rFonts w:cs="Arial"/>
          <w:b/>
          <w:bCs/>
        </w:rPr>
      </w:pPr>
      <w:r w:rsidRPr="00905886">
        <w:rPr>
          <w:rFonts w:cs="Arial"/>
          <w:b/>
          <w:bCs/>
        </w:rPr>
        <w:t xml:space="preserve">Figure </w:t>
      </w:r>
      <w:r w:rsidR="000D7B13" w:rsidRPr="00905886">
        <w:rPr>
          <w:rFonts w:cs="Arial"/>
          <w:b/>
          <w:bCs/>
        </w:rPr>
        <w:t>7</w:t>
      </w:r>
      <w:r w:rsidRPr="00905886">
        <w:rPr>
          <w:rFonts w:cs="Arial"/>
          <w:b/>
          <w:bCs/>
        </w:rPr>
        <w:t xml:space="preserve">. </w:t>
      </w:r>
    </w:p>
    <w:p w14:paraId="0934B969" w14:textId="77777777" w:rsidR="00D9361A" w:rsidRPr="00905886" w:rsidRDefault="00D9361A" w:rsidP="001051FA">
      <w:pPr>
        <w:spacing w:line="276" w:lineRule="auto"/>
        <w:jc w:val="both"/>
        <w:rPr>
          <w:rFonts w:cs="Arial"/>
        </w:rPr>
      </w:pPr>
      <w:r w:rsidRPr="00905886">
        <w:rPr>
          <w:rFonts w:cs="Arial"/>
        </w:rPr>
        <w:t>Pharmacological Siglec-E blockade improves mouse GBM survival. In human tumour explants, Siglec-9 inhibition increases pro-inflammatory cytokine production and reduces tumour cell numbers. However, responses vary between patients, highlighting clinical heterogeneity.</w:t>
      </w:r>
    </w:p>
    <w:p w14:paraId="06AB29F9" w14:textId="77777777" w:rsidR="00A268F5" w:rsidRPr="00905886" w:rsidRDefault="00A268F5" w:rsidP="001051FA">
      <w:pPr>
        <w:spacing w:line="276" w:lineRule="auto"/>
        <w:jc w:val="both"/>
        <w:rPr>
          <w:rFonts w:cs="Arial"/>
        </w:rPr>
      </w:pPr>
    </w:p>
    <w:p w14:paraId="7958D5CB" w14:textId="77777777" w:rsidR="0094747D" w:rsidRPr="00905886" w:rsidRDefault="0094747D" w:rsidP="001051FA">
      <w:pPr>
        <w:spacing w:line="276" w:lineRule="auto"/>
        <w:jc w:val="both"/>
        <w:rPr>
          <w:rFonts w:cs="Arial"/>
          <w:b/>
        </w:rPr>
      </w:pPr>
      <w:r w:rsidRPr="00905886">
        <w:rPr>
          <w:rFonts w:cs="Arial"/>
          <w:b/>
        </w:rPr>
        <w:t>Active Immune Checkpoint Inhibitor Axes in GBM</w:t>
      </w:r>
    </w:p>
    <w:p w14:paraId="18481814" w14:textId="7E376409" w:rsidR="00A268F5" w:rsidRPr="00905B63" w:rsidRDefault="00905B63" w:rsidP="001051FA">
      <w:pPr>
        <w:pStyle w:val="ListParagraph"/>
        <w:spacing w:line="276" w:lineRule="auto"/>
        <w:ind w:left="0"/>
        <w:jc w:val="both"/>
        <w:rPr>
          <w:rFonts w:cs="Arial"/>
        </w:rPr>
      </w:pPr>
      <w:r w:rsidRPr="00905B63">
        <w:rPr>
          <w:rFonts w:cs="Arial"/>
        </w:rPr>
        <w:t>Four active axes: Siglec–sialic acid, CD47, programmed death 1/programmed death ligand 1 (PD-1/PD-L1), and transforming growth factor beta (TGF-β).</w:t>
      </w:r>
    </w:p>
    <w:p w14:paraId="3CCF9293" w14:textId="77777777" w:rsidR="00905B63" w:rsidRDefault="00905B63" w:rsidP="001051FA">
      <w:pPr>
        <w:pStyle w:val="ListParagraph"/>
        <w:spacing w:line="276" w:lineRule="auto"/>
        <w:ind w:left="0"/>
        <w:jc w:val="both"/>
        <w:rPr>
          <w:rFonts w:cs="Arial"/>
          <w:b/>
          <w:bCs/>
        </w:rPr>
      </w:pPr>
    </w:p>
    <w:p w14:paraId="3A38C634" w14:textId="004D9EBE" w:rsidR="00A268F5" w:rsidRPr="00905886" w:rsidRDefault="0094747D" w:rsidP="001051FA">
      <w:pPr>
        <w:pStyle w:val="ListParagraph"/>
        <w:spacing w:line="276" w:lineRule="auto"/>
        <w:ind w:left="0"/>
        <w:jc w:val="both"/>
        <w:rPr>
          <w:rFonts w:cs="Arial"/>
          <w:b/>
          <w:bCs/>
        </w:rPr>
      </w:pPr>
      <w:r w:rsidRPr="0094747D">
        <w:rPr>
          <w:rFonts w:cs="Arial"/>
          <w:b/>
          <w:bCs/>
        </w:rPr>
        <w:t>Clinical Impact and Therapeutic Challenges</w:t>
      </w:r>
    </w:p>
    <w:p w14:paraId="5D6F3CF3" w14:textId="77777777" w:rsidR="00A268F5" w:rsidRPr="00905886" w:rsidRDefault="0030531D" w:rsidP="001051FA">
      <w:pPr>
        <w:pStyle w:val="ListParagraph"/>
        <w:spacing w:line="276" w:lineRule="auto"/>
        <w:ind w:left="0"/>
        <w:jc w:val="both"/>
        <w:rPr>
          <w:rFonts w:cs="Arial"/>
        </w:rPr>
      </w:pPr>
      <w:r w:rsidRPr="00905886">
        <w:rPr>
          <w:rFonts w:cs="Arial"/>
        </w:rPr>
        <w:t>This paper identifies Siglec-9 as a targetable innate checkpoint, validating innate/adaptive combinations (e.g., anti-PD-1) to overcome resistance. SIGLEC9 could serve as a prognostic biomarker for patient stratification. Clinical translation faces hurdles: intracranial antibody delivery is impractical for broad use, and systemic therapies must efficiently cross the blood-brain barrier. Furthermore, direct sialic acid targeting carries neurotoxicity risks, while compensatory immunosuppressive myeloid responses and high patient heterogeneity may limit consistent clinical efficacy. In addition, variability in patient response suggests that predictive biomarkers will be required for effective clinical application.</w:t>
      </w:r>
    </w:p>
    <w:p w14:paraId="78287AD8" w14:textId="7E068465" w:rsidR="00A268F5" w:rsidRPr="00905886" w:rsidRDefault="00CC04FE" w:rsidP="001051FA">
      <w:pPr>
        <w:pStyle w:val="ListParagraph"/>
        <w:tabs>
          <w:tab w:val="left" w:pos="3393"/>
        </w:tabs>
        <w:spacing w:line="276" w:lineRule="auto"/>
        <w:ind w:left="0"/>
        <w:jc w:val="both"/>
        <w:rPr>
          <w:rFonts w:cs="Arial"/>
        </w:rPr>
      </w:pPr>
      <w:r>
        <w:rPr>
          <w:rFonts w:cs="Arial"/>
        </w:rPr>
        <w:tab/>
      </w:r>
    </w:p>
    <w:p w14:paraId="46DB247A" w14:textId="77777777" w:rsidR="00A268F5" w:rsidRPr="00905886" w:rsidRDefault="005437E6" w:rsidP="001051FA">
      <w:pPr>
        <w:pStyle w:val="ListParagraph"/>
        <w:spacing w:line="276" w:lineRule="auto"/>
        <w:ind w:left="0"/>
        <w:jc w:val="both"/>
        <w:rPr>
          <w:rFonts w:cs="Arial"/>
          <w:b/>
          <w:bCs/>
        </w:rPr>
      </w:pPr>
      <w:r w:rsidRPr="00905886">
        <w:rPr>
          <w:rFonts w:cs="Arial"/>
          <w:b/>
          <w:bCs/>
        </w:rPr>
        <w:t>Mechanisms of Resistance to Checkpoint Blockade</w:t>
      </w:r>
    </w:p>
    <w:p w14:paraId="1F5339A9" w14:textId="5082D967" w:rsidR="00D06FD5" w:rsidRPr="00905886" w:rsidRDefault="0030531D" w:rsidP="001051FA">
      <w:pPr>
        <w:pStyle w:val="ListParagraph"/>
        <w:spacing w:line="276" w:lineRule="auto"/>
        <w:ind w:left="0"/>
        <w:jc w:val="both"/>
        <w:rPr>
          <w:rFonts w:cs="Arial"/>
          <w:b/>
        </w:rPr>
      </w:pPr>
      <w:r w:rsidRPr="00905886">
        <w:rPr>
          <w:rFonts w:cs="Arial"/>
        </w:rPr>
        <w:t>Solid tumours are often "cold," lacking T-cell infiltration, rendering checkpoint inhibitors ineffective due to poor antigen presentation and physical barriers. Oncolytic virotherapy induces immunogenic cell death, releasing antigens to activate dendritic cells. This primes CD8+ T-cells, converting "cold" tumours into "hot" ones susceptible to checkpoint blockade, which enables checkpoint inhibitors to act on newly recruited tumour-specific T cells.</w:t>
      </w:r>
    </w:p>
    <w:sectPr w:rsidR="00D06FD5" w:rsidRPr="00905886">
      <w:headerReference w:type="default" r:id="rId12"/>
      <w:footerReference w:type="even"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B14D1" w14:textId="77777777" w:rsidR="00116A4C" w:rsidRDefault="00116A4C" w:rsidP="00FE0DBE">
      <w:r>
        <w:separator/>
      </w:r>
    </w:p>
  </w:endnote>
  <w:endnote w:type="continuationSeparator" w:id="0">
    <w:p w14:paraId="1CB0266D" w14:textId="77777777" w:rsidR="00116A4C" w:rsidRDefault="00116A4C" w:rsidP="00FE0D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C29E8" w14:textId="4F1FE172" w:rsidR="00FE0DBE" w:rsidRDefault="00FE0DBE" w:rsidP="008904E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32BEA427" w14:textId="77777777" w:rsidR="00FE0DBE" w:rsidRDefault="00FE0DBE" w:rsidP="00C721A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6CCEE" w14:textId="261F950C" w:rsidR="597BC89B" w:rsidRDefault="597BC89B" w:rsidP="597BC89B">
    <w:pPr>
      <w:pStyle w:val="Footer"/>
      <w:jc w:val="center"/>
    </w:pPr>
  </w:p>
  <w:p w14:paraId="74995622" w14:textId="0679EF19" w:rsidR="16CBCC33" w:rsidRDefault="16CBCC33" w:rsidP="16CBCC33">
    <w:pPr>
      <w:pStyle w:val="Footer"/>
      <w:jc w:val="center"/>
    </w:pPr>
    <w:r>
      <w:fldChar w:fldCharType="begin"/>
    </w:r>
    <w:r>
      <w:instrText>PAGE</w:instrText>
    </w:r>
    <w:r>
      <w:fldChar w:fldCharType="separate"/>
    </w:r>
    <w:r w:rsidR="00F8523B">
      <w:rPr>
        <w:noProof/>
      </w:rPr>
      <w:t>1</w:t>
    </w:r>
    <w:r>
      <w:fldChar w:fldCharType="end"/>
    </w:r>
    <w:r w:rsidR="597BC89B">
      <w:t xml:space="preserve"> of </w:t>
    </w:r>
    <w:r>
      <w:fldChar w:fldCharType="begin"/>
    </w:r>
    <w:r>
      <w:instrText>NUMPAGES</w:instrText>
    </w:r>
    <w:r>
      <w:fldChar w:fldCharType="separate"/>
    </w:r>
    <w:r w:rsidR="00F8523B">
      <w:rPr>
        <w:noProof/>
      </w:rPr>
      <w:t>2</w:t>
    </w:r>
    <w:r>
      <w:fldChar w:fldCharType="end"/>
    </w:r>
  </w:p>
  <w:p w14:paraId="472C0498" w14:textId="0EE12906" w:rsidR="00FE0DBE" w:rsidRDefault="00FE0DBE" w:rsidP="00C721A0">
    <w:pPr>
      <w:pStyle w:val="Footer"/>
      <w:ind w:right="360"/>
    </w:pPr>
  </w:p>
  <w:p w14:paraId="3AB559F2" w14:textId="01E1C38A" w:rsidR="16CBCC33" w:rsidRDefault="16CBCC33" w:rsidP="16CBCC3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A11D2" w14:textId="77777777" w:rsidR="00116A4C" w:rsidRDefault="00116A4C" w:rsidP="00FE0DBE">
      <w:r>
        <w:separator/>
      </w:r>
    </w:p>
  </w:footnote>
  <w:footnote w:type="continuationSeparator" w:id="0">
    <w:p w14:paraId="1DB60190" w14:textId="77777777" w:rsidR="00116A4C" w:rsidRDefault="00116A4C" w:rsidP="00FE0D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98CD1" w14:textId="752DB1E2" w:rsidR="006E7A09" w:rsidRPr="003E5B80" w:rsidRDefault="006E7A09" w:rsidP="003E5B80">
    <w:pPr>
      <w:pStyle w:val="Header"/>
      <w:rPr>
        <w:rFonts w:ascii="Source Sans Pro" w:hAnsi="Source Sans Pro"/>
      </w:rPr>
    </w:pPr>
    <w:r w:rsidRPr="003E5B80">
      <w:rPr>
        <w:rFonts w:ascii="Source Sans Pro" w:hAnsi="Source Sans Pro"/>
      </w:rPr>
      <w:t xml:space="preserve">CANM907 </w:t>
    </w:r>
    <w:r w:rsidR="000F11B5">
      <w:rPr>
        <w:rFonts w:ascii="Source Sans Pro" w:hAnsi="Source Sans Pro"/>
      </w:rPr>
      <w:t xml:space="preserve">critical review </w:t>
    </w:r>
    <w:r w:rsidRPr="003E5B80">
      <w:rPr>
        <w:rFonts w:ascii="Source Sans Pro" w:hAnsi="Source Sans Pro"/>
      </w:rPr>
      <w:t>(202</w:t>
    </w:r>
    <w:r w:rsidR="000F11B5">
      <w:rPr>
        <w:rFonts w:ascii="Source Sans Pro" w:hAnsi="Source Sans Pro"/>
      </w:rPr>
      <w:t>6</w:t>
    </w:r>
    <w:r w:rsidRPr="003E5B80">
      <w:rPr>
        <w:rFonts w:ascii="Source Sans Pro" w:hAnsi="Source Sans Pro"/>
      </w:rPr>
      <w:t>)</w:t>
    </w:r>
    <w:r w:rsidR="00964716">
      <w:rPr>
        <w:rFonts w:ascii="Source Sans Pro" w:hAnsi="Source Sans Pro"/>
      </w:rPr>
      <w:tab/>
    </w:r>
    <w:r w:rsidR="00964716">
      <w:rPr>
        <w:rFonts w:ascii="Source Sans Pro" w:hAnsi="Source Sans Pro"/>
      </w:rPr>
      <w:tab/>
      <w:t>220097611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2C31"/>
    <w:multiLevelType w:val="hybridMultilevel"/>
    <w:tmpl w:val="F954CB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B60B3B"/>
    <w:multiLevelType w:val="hybridMultilevel"/>
    <w:tmpl w:val="EB8A8B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4F7ED1"/>
    <w:multiLevelType w:val="hybridMultilevel"/>
    <w:tmpl w:val="E3A4A7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DB21BB"/>
    <w:multiLevelType w:val="hybridMultilevel"/>
    <w:tmpl w:val="B930024E"/>
    <w:lvl w:ilvl="0" w:tplc="E8048F2A">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A431C7"/>
    <w:multiLevelType w:val="hybridMultilevel"/>
    <w:tmpl w:val="16703B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9B369D"/>
    <w:multiLevelType w:val="multilevel"/>
    <w:tmpl w:val="B61829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0A2E29"/>
    <w:multiLevelType w:val="multilevel"/>
    <w:tmpl w:val="37841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9D56BA"/>
    <w:multiLevelType w:val="hybridMultilevel"/>
    <w:tmpl w:val="BA1EC9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A06062"/>
    <w:multiLevelType w:val="hybridMultilevel"/>
    <w:tmpl w:val="E550C9D0"/>
    <w:lvl w:ilvl="0" w:tplc="ED6C0F28">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9AE3D74"/>
    <w:multiLevelType w:val="hybridMultilevel"/>
    <w:tmpl w:val="7FBE13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1327BDC"/>
    <w:multiLevelType w:val="hybridMultilevel"/>
    <w:tmpl w:val="FA32F6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813793C"/>
    <w:multiLevelType w:val="hybridMultilevel"/>
    <w:tmpl w:val="7ABC09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3617C0"/>
    <w:multiLevelType w:val="hybridMultilevel"/>
    <w:tmpl w:val="7BD89C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EEA688B"/>
    <w:multiLevelType w:val="hybridMultilevel"/>
    <w:tmpl w:val="CCF6B1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4263671"/>
    <w:multiLevelType w:val="hybridMultilevel"/>
    <w:tmpl w:val="38DA61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D93F28"/>
    <w:multiLevelType w:val="hybridMultilevel"/>
    <w:tmpl w:val="3C4CAD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35124C8"/>
    <w:multiLevelType w:val="hybridMultilevel"/>
    <w:tmpl w:val="38DA61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4124C9"/>
    <w:multiLevelType w:val="hybridMultilevel"/>
    <w:tmpl w:val="CE2C06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8C53788"/>
    <w:multiLevelType w:val="hybridMultilevel"/>
    <w:tmpl w:val="1D9C48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B3B3AC4"/>
    <w:multiLevelType w:val="hybridMultilevel"/>
    <w:tmpl w:val="5420E7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11E0F3E"/>
    <w:multiLevelType w:val="hybridMultilevel"/>
    <w:tmpl w:val="00506D46"/>
    <w:lvl w:ilvl="0" w:tplc="47E45E66">
      <w:start w:val="5"/>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62FB7557"/>
    <w:multiLevelType w:val="hybridMultilevel"/>
    <w:tmpl w:val="DA7AF3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3004BCE"/>
    <w:multiLevelType w:val="hybridMultilevel"/>
    <w:tmpl w:val="E8B03E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39217D8"/>
    <w:multiLevelType w:val="hybridMultilevel"/>
    <w:tmpl w:val="D6C605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3934735"/>
    <w:multiLevelType w:val="hybridMultilevel"/>
    <w:tmpl w:val="2250AE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4AD0D89"/>
    <w:multiLevelType w:val="hybridMultilevel"/>
    <w:tmpl w:val="3EF82A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79A4583"/>
    <w:multiLevelType w:val="hybridMultilevel"/>
    <w:tmpl w:val="06485A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BF4326F"/>
    <w:multiLevelType w:val="hybridMultilevel"/>
    <w:tmpl w:val="FDBCC0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CE96D90"/>
    <w:multiLevelType w:val="hybridMultilevel"/>
    <w:tmpl w:val="F3BE82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3CC2170"/>
    <w:multiLevelType w:val="hybridMultilevel"/>
    <w:tmpl w:val="85F21FA2"/>
    <w:lvl w:ilvl="0" w:tplc="C0E259D4">
      <w:start w:val="5"/>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0" w15:restartNumberingAfterBreak="0">
    <w:nsid w:val="7B595747"/>
    <w:multiLevelType w:val="hybridMultilevel"/>
    <w:tmpl w:val="F01CF596"/>
    <w:lvl w:ilvl="0" w:tplc="0409000F">
      <w:start w:val="1"/>
      <w:numFmt w:val="decimal"/>
      <w:lvlText w:val="%1."/>
      <w:lvlJc w:val="left"/>
      <w:pPr>
        <w:ind w:left="790" w:hanging="360"/>
      </w:pPr>
    </w:lvl>
    <w:lvl w:ilvl="1" w:tplc="04090019" w:tentative="1">
      <w:start w:val="1"/>
      <w:numFmt w:val="lowerLetter"/>
      <w:lvlText w:val="%2."/>
      <w:lvlJc w:val="left"/>
      <w:pPr>
        <w:ind w:left="1510" w:hanging="360"/>
      </w:pPr>
    </w:lvl>
    <w:lvl w:ilvl="2" w:tplc="0409001B" w:tentative="1">
      <w:start w:val="1"/>
      <w:numFmt w:val="lowerRoman"/>
      <w:lvlText w:val="%3."/>
      <w:lvlJc w:val="right"/>
      <w:pPr>
        <w:ind w:left="2230" w:hanging="180"/>
      </w:pPr>
    </w:lvl>
    <w:lvl w:ilvl="3" w:tplc="0409000F" w:tentative="1">
      <w:start w:val="1"/>
      <w:numFmt w:val="decimal"/>
      <w:lvlText w:val="%4."/>
      <w:lvlJc w:val="left"/>
      <w:pPr>
        <w:ind w:left="2950" w:hanging="360"/>
      </w:pPr>
    </w:lvl>
    <w:lvl w:ilvl="4" w:tplc="04090019" w:tentative="1">
      <w:start w:val="1"/>
      <w:numFmt w:val="lowerLetter"/>
      <w:lvlText w:val="%5."/>
      <w:lvlJc w:val="left"/>
      <w:pPr>
        <w:ind w:left="3670" w:hanging="360"/>
      </w:pPr>
    </w:lvl>
    <w:lvl w:ilvl="5" w:tplc="0409001B" w:tentative="1">
      <w:start w:val="1"/>
      <w:numFmt w:val="lowerRoman"/>
      <w:lvlText w:val="%6."/>
      <w:lvlJc w:val="right"/>
      <w:pPr>
        <w:ind w:left="4390" w:hanging="180"/>
      </w:pPr>
    </w:lvl>
    <w:lvl w:ilvl="6" w:tplc="0409000F" w:tentative="1">
      <w:start w:val="1"/>
      <w:numFmt w:val="decimal"/>
      <w:lvlText w:val="%7."/>
      <w:lvlJc w:val="left"/>
      <w:pPr>
        <w:ind w:left="5110" w:hanging="360"/>
      </w:pPr>
    </w:lvl>
    <w:lvl w:ilvl="7" w:tplc="04090019" w:tentative="1">
      <w:start w:val="1"/>
      <w:numFmt w:val="lowerLetter"/>
      <w:lvlText w:val="%8."/>
      <w:lvlJc w:val="left"/>
      <w:pPr>
        <w:ind w:left="5830" w:hanging="360"/>
      </w:pPr>
    </w:lvl>
    <w:lvl w:ilvl="8" w:tplc="0409001B" w:tentative="1">
      <w:start w:val="1"/>
      <w:numFmt w:val="lowerRoman"/>
      <w:lvlText w:val="%9."/>
      <w:lvlJc w:val="right"/>
      <w:pPr>
        <w:ind w:left="6550" w:hanging="180"/>
      </w:pPr>
    </w:lvl>
  </w:abstractNum>
  <w:abstractNum w:abstractNumId="31" w15:restartNumberingAfterBreak="0">
    <w:nsid w:val="7DB142A5"/>
    <w:multiLevelType w:val="hybridMultilevel"/>
    <w:tmpl w:val="10563A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20883553">
    <w:abstractNumId w:val="30"/>
  </w:num>
  <w:num w:numId="2" w16cid:durableId="1326670147">
    <w:abstractNumId w:val="16"/>
  </w:num>
  <w:num w:numId="3" w16cid:durableId="1964652159">
    <w:abstractNumId w:val="14"/>
  </w:num>
  <w:num w:numId="4" w16cid:durableId="1641500431">
    <w:abstractNumId w:val="31"/>
  </w:num>
  <w:num w:numId="5" w16cid:durableId="1182205684">
    <w:abstractNumId w:val="24"/>
  </w:num>
  <w:num w:numId="6" w16cid:durableId="393087946">
    <w:abstractNumId w:val="8"/>
  </w:num>
  <w:num w:numId="7" w16cid:durableId="1895893901">
    <w:abstractNumId w:val="20"/>
  </w:num>
  <w:num w:numId="8" w16cid:durableId="420836025">
    <w:abstractNumId w:val="29"/>
  </w:num>
  <w:num w:numId="9" w16cid:durableId="806094554">
    <w:abstractNumId w:val="9"/>
  </w:num>
  <w:num w:numId="10" w16cid:durableId="817770124">
    <w:abstractNumId w:val="11"/>
  </w:num>
  <w:num w:numId="11" w16cid:durableId="1230070511">
    <w:abstractNumId w:val="12"/>
  </w:num>
  <w:num w:numId="12" w16cid:durableId="512963687">
    <w:abstractNumId w:val="18"/>
  </w:num>
  <w:num w:numId="13" w16cid:durableId="1317567290">
    <w:abstractNumId w:val="25"/>
  </w:num>
  <w:num w:numId="14" w16cid:durableId="1968928682">
    <w:abstractNumId w:val="17"/>
  </w:num>
  <w:num w:numId="15" w16cid:durableId="1056783288">
    <w:abstractNumId w:val="7"/>
  </w:num>
  <w:num w:numId="16" w16cid:durableId="1408334757">
    <w:abstractNumId w:val="19"/>
  </w:num>
  <w:num w:numId="17" w16cid:durableId="1669752786">
    <w:abstractNumId w:val="27"/>
  </w:num>
  <w:num w:numId="18" w16cid:durableId="1179808661">
    <w:abstractNumId w:val="10"/>
  </w:num>
  <w:num w:numId="19" w16cid:durableId="75177912">
    <w:abstractNumId w:val="0"/>
  </w:num>
  <w:num w:numId="20" w16cid:durableId="99302956">
    <w:abstractNumId w:val="23"/>
  </w:num>
  <w:num w:numId="21" w16cid:durableId="1970091348">
    <w:abstractNumId w:val="1"/>
  </w:num>
  <w:num w:numId="22" w16cid:durableId="154491575">
    <w:abstractNumId w:val="3"/>
  </w:num>
  <w:num w:numId="23" w16cid:durableId="326977161">
    <w:abstractNumId w:val="15"/>
  </w:num>
  <w:num w:numId="24" w16cid:durableId="1496261320">
    <w:abstractNumId w:val="4"/>
  </w:num>
  <w:num w:numId="25" w16cid:durableId="78186965">
    <w:abstractNumId w:val="26"/>
  </w:num>
  <w:num w:numId="26" w16cid:durableId="1802652769">
    <w:abstractNumId w:val="22"/>
  </w:num>
  <w:num w:numId="27" w16cid:durableId="1762409955">
    <w:abstractNumId w:val="28"/>
  </w:num>
  <w:num w:numId="28" w16cid:durableId="998271839">
    <w:abstractNumId w:val="21"/>
  </w:num>
  <w:num w:numId="29" w16cid:durableId="25297941">
    <w:abstractNumId w:val="13"/>
  </w:num>
  <w:num w:numId="30" w16cid:durableId="30881081">
    <w:abstractNumId w:val="2"/>
  </w:num>
  <w:num w:numId="31" w16cid:durableId="964501362">
    <w:abstractNumId w:val="6"/>
  </w:num>
  <w:num w:numId="32" w16cid:durableId="11805054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CCA"/>
    <w:rsid w:val="000159E2"/>
    <w:rsid w:val="00020F6F"/>
    <w:rsid w:val="00021A92"/>
    <w:rsid w:val="0002258D"/>
    <w:rsid w:val="0002709A"/>
    <w:rsid w:val="00037144"/>
    <w:rsid w:val="00037509"/>
    <w:rsid w:val="00037CF1"/>
    <w:rsid w:val="00052657"/>
    <w:rsid w:val="00054EAE"/>
    <w:rsid w:val="000625DD"/>
    <w:rsid w:val="00062C09"/>
    <w:rsid w:val="00067763"/>
    <w:rsid w:val="0007196F"/>
    <w:rsid w:val="0007258C"/>
    <w:rsid w:val="000748E0"/>
    <w:rsid w:val="000760FA"/>
    <w:rsid w:val="00085D97"/>
    <w:rsid w:val="000970C9"/>
    <w:rsid w:val="000A0D13"/>
    <w:rsid w:val="000B0E19"/>
    <w:rsid w:val="000B36AC"/>
    <w:rsid w:val="000B49D5"/>
    <w:rsid w:val="000B6C7D"/>
    <w:rsid w:val="000C3E6F"/>
    <w:rsid w:val="000D0EC3"/>
    <w:rsid w:val="000D133D"/>
    <w:rsid w:val="000D1AE3"/>
    <w:rsid w:val="000D6C24"/>
    <w:rsid w:val="000D7B13"/>
    <w:rsid w:val="000E47D3"/>
    <w:rsid w:val="000E5C99"/>
    <w:rsid w:val="000F11B5"/>
    <w:rsid w:val="000F1649"/>
    <w:rsid w:val="000F2FD9"/>
    <w:rsid w:val="001001F7"/>
    <w:rsid w:val="00104B65"/>
    <w:rsid w:val="001051FA"/>
    <w:rsid w:val="001056B6"/>
    <w:rsid w:val="001078EF"/>
    <w:rsid w:val="00116A4C"/>
    <w:rsid w:val="001203AC"/>
    <w:rsid w:val="0012581C"/>
    <w:rsid w:val="001422F3"/>
    <w:rsid w:val="001576FE"/>
    <w:rsid w:val="00160109"/>
    <w:rsid w:val="001602F3"/>
    <w:rsid w:val="00190A1B"/>
    <w:rsid w:val="001A63E0"/>
    <w:rsid w:val="001C4EA8"/>
    <w:rsid w:val="001D5D21"/>
    <w:rsid w:val="001E13CE"/>
    <w:rsid w:val="001E19D9"/>
    <w:rsid w:val="00200C92"/>
    <w:rsid w:val="002022AB"/>
    <w:rsid w:val="0021795B"/>
    <w:rsid w:val="00232ED1"/>
    <w:rsid w:val="0023677B"/>
    <w:rsid w:val="00236EF9"/>
    <w:rsid w:val="00242778"/>
    <w:rsid w:val="00246DC9"/>
    <w:rsid w:val="002510C7"/>
    <w:rsid w:val="00254508"/>
    <w:rsid w:val="002558EB"/>
    <w:rsid w:val="00264D7C"/>
    <w:rsid w:val="00276C2C"/>
    <w:rsid w:val="002772D9"/>
    <w:rsid w:val="00283100"/>
    <w:rsid w:val="0028355A"/>
    <w:rsid w:val="00286FCA"/>
    <w:rsid w:val="00290CDF"/>
    <w:rsid w:val="00291682"/>
    <w:rsid w:val="002C0945"/>
    <w:rsid w:val="002C2AF8"/>
    <w:rsid w:val="002C51F0"/>
    <w:rsid w:val="002C7C9F"/>
    <w:rsid w:val="002D240D"/>
    <w:rsid w:val="002D5854"/>
    <w:rsid w:val="002E2408"/>
    <w:rsid w:val="002E29E0"/>
    <w:rsid w:val="002E305E"/>
    <w:rsid w:val="002F5527"/>
    <w:rsid w:val="002F7430"/>
    <w:rsid w:val="00302682"/>
    <w:rsid w:val="0030531D"/>
    <w:rsid w:val="003168F3"/>
    <w:rsid w:val="00321C36"/>
    <w:rsid w:val="00331854"/>
    <w:rsid w:val="00331913"/>
    <w:rsid w:val="00332504"/>
    <w:rsid w:val="0033355C"/>
    <w:rsid w:val="00333818"/>
    <w:rsid w:val="00333AE6"/>
    <w:rsid w:val="00333E3C"/>
    <w:rsid w:val="00333F34"/>
    <w:rsid w:val="00352F0E"/>
    <w:rsid w:val="0036102D"/>
    <w:rsid w:val="00361033"/>
    <w:rsid w:val="003629A6"/>
    <w:rsid w:val="00363066"/>
    <w:rsid w:val="00370394"/>
    <w:rsid w:val="003766E0"/>
    <w:rsid w:val="00384C8F"/>
    <w:rsid w:val="00385570"/>
    <w:rsid w:val="003923F9"/>
    <w:rsid w:val="003950FD"/>
    <w:rsid w:val="003B0A2A"/>
    <w:rsid w:val="003B624F"/>
    <w:rsid w:val="003D4CD3"/>
    <w:rsid w:val="003D784A"/>
    <w:rsid w:val="003E2337"/>
    <w:rsid w:val="003E5B80"/>
    <w:rsid w:val="003F2024"/>
    <w:rsid w:val="003F5FE2"/>
    <w:rsid w:val="00401EEB"/>
    <w:rsid w:val="00416C88"/>
    <w:rsid w:val="00420AAD"/>
    <w:rsid w:val="004226F8"/>
    <w:rsid w:val="004338A8"/>
    <w:rsid w:val="00434F22"/>
    <w:rsid w:val="00443FAF"/>
    <w:rsid w:val="00447F76"/>
    <w:rsid w:val="0046317F"/>
    <w:rsid w:val="00463781"/>
    <w:rsid w:val="00470314"/>
    <w:rsid w:val="00470DED"/>
    <w:rsid w:val="004745AF"/>
    <w:rsid w:val="004800CE"/>
    <w:rsid w:val="00482623"/>
    <w:rsid w:val="00482A30"/>
    <w:rsid w:val="004907A7"/>
    <w:rsid w:val="00492274"/>
    <w:rsid w:val="00492753"/>
    <w:rsid w:val="004A6FBC"/>
    <w:rsid w:val="004A7A84"/>
    <w:rsid w:val="004B2FE4"/>
    <w:rsid w:val="004D1266"/>
    <w:rsid w:val="004D1B5E"/>
    <w:rsid w:val="004D2DAB"/>
    <w:rsid w:val="004D5E0B"/>
    <w:rsid w:val="004E1C2A"/>
    <w:rsid w:val="004E34AD"/>
    <w:rsid w:val="004F7862"/>
    <w:rsid w:val="00503549"/>
    <w:rsid w:val="005105F1"/>
    <w:rsid w:val="00510ACD"/>
    <w:rsid w:val="005215CC"/>
    <w:rsid w:val="00522B2E"/>
    <w:rsid w:val="00523A24"/>
    <w:rsid w:val="00525AFF"/>
    <w:rsid w:val="005437E6"/>
    <w:rsid w:val="005463E7"/>
    <w:rsid w:val="0054769D"/>
    <w:rsid w:val="00551028"/>
    <w:rsid w:val="00553E37"/>
    <w:rsid w:val="005576D2"/>
    <w:rsid w:val="00566AE1"/>
    <w:rsid w:val="00567272"/>
    <w:rsid w:val="00576DD1"/>
    <w:rsid w:val="0058777A"/>
    <w:rsid w:val="005921A4"/>
    <w:rsid w:val="00597DB9"/>
    <w:rsid w:val="005B0381"/>
    <w:rsid w:val="005C3EF5"/>
    <w:rsid w:val="005C4A73"/>
    <w:rsid w:val="005D65C9"/>
    <w:rsid w:val="005E3CF7"/>
    <w:rsid w:val="005E55C0"/>
    <w:rsid w:val="005F4CAB"/>
    <w:rsid w:val="00600D3C"/>
    <w:rsid w:val="00604A51"/>
    <w:rsid w:val="00617F6F"/>
    <w:rsid w:val="00620158"/>
    <w:rsid w:val="006225F7"/>
    <w:rsid w:val="00622A61"/>
    <w:rsid w:val="006261ED"/>
    <w:rsid w:val="006269BD"/>
    <w:rsid w:val="006455E1"/>
    <w:rsid w:val="00651E2D"/>
    <w:rsid w:val="00653D36"/>
    <w:rsid w:val="00656E1D"/>
    <w:rsid w:val="0066493F"/>
    <w:rsid w:val="00667BA3"/>
    <w:rsid w:val="0067021A"/>
    <w:rsid w:val="006737F9"/>
    <w:rsid w:val="006770CA"/>
    <w:rsid w:val="00680915"/>
    <w:rsid w:val="00685BA4"/>
    <w:rsid w:val="00685F30"/>
    <w:rsid w:val="00687622"/>
    <w:rsid w:val="00690CDF"/>
    <w:rsid w:val="00694B05"/>
    <w:rsid w:val="00696787"/>
    <w:rsid w:val="006A2011"/>
    <w:rsid w:val="006A2AE7"/>
    <w:rsid w:val="006A3A38"/>
    <w:rsid w:val="006C0ABD"/>
    <w:rsid w:val="006C2ADD"/>
    <w:rsid w:val="006C2D32"/>
    <w:rsid w:val="006C3B83"/>
    <w:rsid w:val="006C4352"/>
    <w:rsid w:val="006D1074"/>
    <w:rsid w:val="006D66B0"/>
    <w:rsid w:val="006E5CD8"/>
    <w:rsid w:val="006E6168"/>
    <w:rsid w:val="006E6A8B"/>
    <w:rsid w:val="006E7A09"/>
    <w:rsid w:val="00702CDB"/>
    <w:rsid w:val="007129D9"/>
    <w:rsid w:val="00727CD3"/>
    <w:rsid w:val="00745BA4"/>
    <w:rsid w:val="00746739"/>
    <w:rsid w:val="00747E9D"/>
    <w:rsid w:val="00750EC8"/>
    <w:rsid w:val="00753BFA"/>
    <w:rsid w:val="007569FD"/>
    <w:rsid w:val="00766747"/>
    <w:rsid w:val="00777B62"/>
    <w:rsid w:val="00791B85"/>
    <w:rsid w:val="007935A3"/>
    <w:rsid w:val="007A382E"/>
    <w:rsid w:val="007A3FD8"/>
    <w:rsid w:val="007A5FB5"/>
    <w:rsid w:val="007B02A7"/>
    <w:rsid w:val="007B0548"/>
    <w:rsid w:val="007B21EB"/>
    <w:rsid w:val="007C1F7B"/>
    <w:rsid w:val="007C4445"/>
    <w:rsid w:val="007C5892"/>
    <w:rsid w:val="007C5E1C"/>
    <w:rsid w:val="007D1033"/>
    <w:rsid w:val="007E41CE"/>
    <w:rsid w:val="007E5016"/>
    <w:rsid w:val="007E66E7"/>
    <w:rsid w:val="007E74F7"/>
    <w:rsid w:val="007F3C03"/>
    <w:rsid w:val="007F4826"/>
    <w:rsid w:val="00802C3C"/>
    <w:rsid w:val="0080799A"/>
    <w:rsid w:val="00821379"/>
    <w:rsid w:val="00827732"/>
    <w:rsid w:val="0083297B"/>
    <w:rsid w:val="0084212C"/>
    <w:rsid w:val="008475FA"/>
    <w:rsid w:val="00852602"/>
    <w:rsid w:val="00860BE2"/>
    <w:rsid w:val="00863837"/>
    <w:rsid w:val="00875EF4"/>
    <w:rsid w:val="008818A2"/>
    <w:rsid w:val="00886831"/>
    <w:rsid w:val="00894FB4"/>
    <w:rsid w:val="008963CB"/>
    <w:rsid w:val="008B1195"/>
    <w:rsid w:val="008B2852"/>
    <w:rsid w:val="008B5DDD"/>
    <w:rsid w:val="008B6456"/>
    <w:rsid w:val="008C0C74"/>
    <w:rsid w:val="008C381D"/>
    <w:rsid w:val="008D34C3"/>
    <w:rsid w:val="008D79DB"/>
    <w:rsid w:val="008F0348"/>
    <w:rsid w:val="008F18EA"/>
    <w:rsid w:val="008F363E"/>
    <w:rsid w:val="008F3A3E"/>
    <w:rsid w:val="008F3F32"/>
    <w:rsid w:val="00904D3E"/>
    <w:rsid w:val="00905886"/>
    <w:rsid w:val="00905B63"/>
    <w:rsid w:val="009137FC"/>
    <w:rsid w:val="00920CC3"/>
    <w:rsid w:val="009317B6"/>
    <w:rsid w:val="00935E34"/>
    <w:rsid w:val="0094656E"/>
    <w:rsid w:val="0094747D"/>
    <w:rsid w:val="009505CB"/>
    <w:rsid w:val="00954550"/>
    <w:rsid w:val="009550E7"/>
    <w:rsid w:val="00963953"/>
    <w:rsid w:val="00964716"/>
    <w:rsid w:val="00964FCC"/>
    <w:rsid w:val="0097509A"/>
    <w:rsid w:val="00975C60"/>
    <w:rsid w:val="00981BD3"/>
    <w:rsid w:val="00982335"/>
    <w:rsid w:val="009854CC"/>
    <w:rsid w:val="00987971"/>
    <w:rsid w:val="0099234E"/>
    <w:rsid w:val="009A2697"/>
    <w:rsid w:val="009C0F84"/>
    <w:rsid w:val="009C58CC"/>
    <w:rsid w:val="009C60BF"/>
    <w:rsid w:val="009C7597"/>
    <w:rsid w:val="009C7B34"/>
    <w:rsid w:val="009D45F0"/>
    <w:rsid w:val="009D4D70"/>
    <w:rsid w:val="009E4A42"/>
    <w:rsid w:val="009E5981"/>
    <w:rsid w:val="009F5259"/>
    <w:rsid w:val="00A008DA"/>
    <w:rsid w:val="00A0690E"/>
    <w:rsid w:val="00A13444"/>
    <w:rsid w:val="00A1748A"/>
    <w:rsid w:val="00A17B0A"/>
    <w:rsid w:val="00A25464"/>
    <w:rsid w:val="00A268F5"/>
    <w:rsid w:val="00A31929"/>
    <w:rsid w:val="00A3698A"/>
    <w:rsid w:val="00A429F3"/>
    <w:rsid w:val="00A43814"/>
    <w:rsid w:val="00A51642"/>
    <w:rsid w:val="00A5701C"/>
    <w:rsid w:val="00A64526"/>
    <w:rsid w:val="00A658FD"/>
    <w:rsid w:val="00A6701F"/>
    <w:rsid w:val="00A81696"/>
    <w:rsid w:val="00A82BEB"/>
    <w:rsid w:val="00A8379B"/>
    <w:rsid w:val="00A93A4A"/>
    <w:rsid w:val="00AA4D67"/>
    <w:rsid w:val="00AB0765"/>
    <w:rsid w:val="00AB1610"/>
    <w:rsid w:val="00AB191C"/>
    <w:rsid w:val="00AB43DA"/>
    <w:rsid w:val="00AC1935"/>
    <w:rsid w:val="00AC5B06"/>
    <w:rsid w:val="00AC6E4B"/>
    <w:rsid w:val="00AD219F"/>
    <w:rsid w:val="00AD52C2"/>
    <w:rsid w:val="00AD5CB4"/>
    <w:rsid w:val="00AE003F"/>
    <w:rsid w:val="00AE056F"/>
    <w:rsid w:val="00B052CF"/>
    <w:rsid w:val="00B07735"/>
    <w:rsid w:val="00B07CFF"/>
    <w:rsid w:val="00B21069"/>
    <w:rsid w:val="00B42C2E"/>
    <w:rsid w:val="00B5336E"/>
    <w:rsid w:val="00B66CFC"/>
    <w:rsid w:val="00B759C6"/>
    <w:rsid w:val="00B767AE"/>
    <w:rsid w:val="00B92F1D"/>
    <w:rsid w:val="00B955B4"/>
    <w:rsid w:val="00B96449"/>
    <w:rsid w:val="00BA3B5D"/>
    <w:rsid w:val="00BA6805"/>
    <w:rsid w:val="00BC6DC1"/>
    <w:rsid w:val="00BD3187"/>
    <w:rsid w:val="00BD3CCA"/>
    <w:rsid w:val="00BE4CBC"/>
    <w:rsid w:val="00BE716A"/>
    <w:rsid w:val="00BF3F91"/>
    <w:rsid w:val="00BF5B7A"/>
    <w:rsid w:val="00BF7D50"/>
    <w:rsid w:val="00C131FF"/>
    <w:rsid w:val="00C138B0"/>
    <w:rsid w:val="00C1409F"/>
    <w:rsid w:val="00C30551"/>
    <w:rsid w:val="00C31347"/>
    <w:rsid w:val="00C33C70"/>
    <w:rsid w:val="00C37DA7"/>
    <w:rsid w:val="00C44A8B"/>
    <w:rsid w:val="00C44B83"/>
    <w:rsid w:val="00C45933"/>
    <w:rsid w:val="00C53368"/>
    <w:rsid w:val="00C534D4"/>
    <w:rsid w:val="00C55B2F"/>
    <w:rsid w:val="00C62275"/>
    <w:rsid w:val="00C71C81"/>
    <w:rsid w:val="00C721A0"/>
    <w:rsid w:val="00C72B41"/>
    <w:rsid w:val="00C72D74"/>
    <w:rsid w:val="00C9110A"/>
    <w:rsid w:val="00C92056"/>
    <w:rsid w:val="00C92AAE"/>
    <w:rsid w:val="00CA1479"/>
    <w:rsid w:val="00CA5B54"/>
    <w:rsid w:val="00CA6CB7"/>
    <w:rsid w:val="00CB33B0"/>
    <w:rsid w:val="00CB3F98"/>
    <w:rsid w:val="00CC04FE"/>
    <w:rsid w:val="00CC5715"/>
    <w:rsid w:val="00CC7D49"/>
    <w:rsid w:val="00CD3796"/>
    <w:rsid w:val="00CE3104"/>
    <w:rsid w:val="00CE3673"/>
    <w:rsid w:val="00CE3C5D"/>
    <w:rsid w:val="00CE527D"/>
    <w:rsid w:val="00CF179A"/>
    <w:rsid w:val="00D036B2"/>
    <w:rsid w:val="00D06FD5"/>
    <w:rsid w:val="00D07957"/>
    <w:rsid w:val="00D11352"/>
    <w:rsid w:val="00D131BF"/>
    <w:rsid w:val="00D178D9"/>
    <w:rsid w:val="00D20F7B"/>
    <w:rsid w:val="00D222BD"/>
    <w:rsid w:val="00D3157F"/>
    <w:rsid w:val="00D34059"/>
    <w:rsid w:val="00D34B85"/>
    <w:rsid w:val="00D37603"/>
    <w:rsid w:val="00D47B35"/>
    <w:rsid w:val="00D65874"/>
    <w:rsid w:val="00D7617C"/>
    <w:rsid w:val="00D77967"/>
    <w:rsid w:val="00D80291"/>
    <w:rsid w:val="00D862BA"/>
    <w:rsid w:val="00D8668E"/>
    <w:rsid w:val="00D86D93"/>
    <w:rsid w:val="00D9361A"/>
    <w:rsid w:val="00DB355D"/>
    <w:rsid w:val="00DB68A6"/>
    <w:rsid w:val="00DB7F3E"/>
    <w:rsid w:val="00DC2CBE"/>
    <w:rsid w:val="00DC3CCF"/>
    <w:rsid w:val="00DD5F30"/>
    <w:rsid w:val="00DD748B"/>
    <w:rsid w:val="00DE2A27"/>
    <w:rsid w:val="00E000BB"/>
    <w:rsid w:val="00E00177"/>
    <w:rsid w:val="00E00ABF"/>
    <w:rsid w:val="00E01D7C"/>
    <w:rsid w:val="00E0217A"/>
    <w:rsid w:val="00E13F2A"/>
    <w:rsid w:val="00E160EF"/>
    <w:rsid w:val="00E20BEF"/>
    <w:rsid w:val="00E26A8A"/>
    <w:rsid w:val="00E32A87"/>
    <w:rsid w:val="00E346B8"/>
    <w:rsid w:val="00E36B05"/>
    <w:rsid w:val="00E43425"/>
    <w:rsid w:val="00E73C7C"/>
    <w:rsid w:val="00E74522"/>
    <w:rsid w:val="00E822CB"/>
    <w:rsid w:val="00E844EB"/>
    <w:rsid w:val="00E84ADB"/>
    <w:rsid w:val="00E95306"/>
    <w:rsid w:val="00EA6DC9"/>
    <w:rsid w:val="00EA726B"/>
    <w:rsid w:val="00EB2279"/>
    <w:rsid w:val="00EC3779"/>
    <w:rsid w:val="00ED0559"/>
    <w:rsid w:val="00ED23AA"/>
    <w:rsid w:val="00ED4013"/>
    <w:rsid w:val="00EE2DBE"/>
    <w:rsid w:val="00EF1282"/>
    <w:rsid w:val="00EF24AD"/>
    <w:rsid w:val="00F06B68"/>
    <w:rsid w:val="00F07FB3"/>
    <w:rsid w:val="00F12834"/>
    <w:rsid w:val="00F24839"/>
    <w:rsid w:val="00F344CE"/>
    <w:rsid w:val="00F37B90"/>
    <w:rsid w:val="00F401CB"/>
    <w:rsid w:val="00F47FFE"/>
    <w:rsid w:val="00F51F90"/>
    <w:rsid w:val="00F55D7E"/>
    <w:rsid w:val="00F56DB7"/>
    <w:rsid w:val="00F57A0A"/>
    <w:rsid w:val="00F65D2B"/>
    <w:rsid w:val="00F71BFC"/>
    <w:rsid w:val="00F73250"/>
    <w:rsid w:val="00F829CD"/>
    <w:rsid w:val="00F8523B"/>
    <w:rsid w:val="00F900AF"/>
    <w:rsid w:val="00F904BB"/>
    <w:rsid w:val="00F92E41"/>
    <w:rsid w:val="00F93FFF"/>
    <w:rsid w:val="00F9417D"/>
    <w:rsid w:val="00FA4E0F"/>
    <w:rsid w:val="00FB0265"/>
    <w:rsid w:val="00FD1CB4"/>
    <w:rsid w:val="00FD7CFF"/>
    <w:rsid w:val="00FE0DBE"/>
    <w:rsid w:val="00FE0F81"/>
    <w:rsid w:val="00FE5974"/>
    <w:rsid w:val="00FE7B2E"/>
    <w:rsid w:val="00FF74BB"/>
    <w:rsid w:val="00FF7863"/>
    <w:rsid w:val="02FAEAA6"/>
    <w:rsid w:val="058F6E7A"/>
    <w:rsid w:val="138BB675"/>
    <w:rsid w:val="149280F2"/>
    <w:rsid w:val="16CBCC33"/>
    <w:rsid w:val="17FFD711"/>
    <w:rsid w:val="195F53E8"/>
    <w:rsid w:val="1B210350"/>
    <w:rsid w:val="1C47024D"/>
    <w:rsid w:val="27CBEA1B"/>
    <w:rsid w:val="2A477F52"/>
    <w:rsid w:val="2D228213"/>
    <w:rsid w:val="2F15B832"/>
    <w:rsid w:val="2F85DD20"/>
    <w:rsid w:val="30584A46"/>
    <w:rsid w:val="35B65872"/>
    <w:rsid w:val="3F7FC693"/>
    <w:rsid w:val="4350C1CF"/>
    <w:rsid w:val="4600ACC5"/>
    <w:rsid w:val="4E6D885E"/>
    <w:rsid w:val="4E8DCAD8"/>
    <w:rsid w:val="50307BAD"/>
    <w:rsid w:val="54BFA53E"/>
    <w:rsid w:val="5669EB89"/>
    <w:rsid w:val="597BC89B"/>
    <w:rsid w:val="5BFEF0E6"/>
    <w:rsid w:val="620AFEFA"/>
    <w:rsid w:val="65AA5ED2"/>
    <w:rsid w:val="67BAE3F8"/>
    <w:rsid w:val="68AE004A"/>
    <w:rsid w:val="69387DAB"/>
    <w:rsid w:val="69CF24A8"/>
    <w:rsid w:val="71C88B13"/>
    <w:rsid w:val="7230D0CE"/>
    <w:rsid w:val="74873D47"/>
    <w:rsid w:val="7BED53E2"/>
    <w:rsid w:val="7DD13A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355BD"/>
  <w15:chartTrackingRefBased/>
  <w15:docId w15:val="{3C0E9821-54DC-4815-838C-EC2597904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352"/>
    <w:pPr>
      <w:spacing w:after="0" w:line="240" w:lineRule="auto"/>
    </w:pPr>
    <w:rPr>
      <w:rFonts w:ascii="Arial" w:eastAsiaTheme="minorEastAsia" w:hAnsi="Arial"/>
      <w:sz w:val="24"/>
      <w:szCs w:val="24"/>
    </w:rPr>
  </w:style>
  <w:style w:type="paragraph" w:styleId="Heading1">
    <w:name w:val="heading 1"/>
    <w:basedOn w:val="Normal"/>
    <w:next w:val="Normal"/>
    <w:link w:val="Heading1Char"/>
    <w:uiPriority w:val="9"/>
    <w:qFormat/>
    <w:rsid w:val="009A269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43814"/>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3CCA"/>
    <w:pPr>
      <w:ind w:left="720"/>
      <w:contextualSpacing/>
    </w:pPr>
  </w:style>
  <w:style w:type="paragraph" w:styleId="BalloonText">
    <w:name w:val="Balloon Text"/>
    <w:basedOn w:val="Normal"/>
    <w:link w:val="BalloonTextChar"/>
    <w:uiPriority w:val="99"/>
    <w:semiHidden/>
    <w:unhideWhenUsed/>
    <w:rsid w:val="007935A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935A3"/>
    <w:rPr>
      <w:rFonts w:ascii="Times New Roman" w:eastAsiaTheme="minorEastAsia" w:hAnsi="Times New Roman" w:cs="Times New Roman"/>
      <w:sz w:val="18"/>
      <w:szCs w:val="18"/>
    </w:rPr>
  </w:style>
  <w:style w:type="paragraph" w:styleId="Revision">
    <w:name w:val="Revision"/>
    <w:hidden/>
    <w:uiPriority w:val="99"/>
    <w:semiHidden/>
    <w:rsid w:val="00FE0DBE"/>
    <w:pPr>
      <w:spacing w:after="0" w:line="240" w:lineRule="auto"/>
    </w:pPr>
    <w:rPr>
      <w:rFonts w:ascii="Arial" w:eastAsiaTheme="minorEastAsia" w:hAnsi="Arial"/>
      <w:sz w:val="24"/>
      <w:szCs w:val="24"/>
    </w:rPr>
  </w:style>
  <w:style w:type="paragraph" w:styleId="Footer">
    <w:name w:val="footer"/>
    <w:basedOn w:val="Normal"/>
    <w:link w:val="FooterChar"/>
    <w:uiPriority w:val="99"/>
    <w:unhideWhenUsed/>
    <w:rsid w:val="00FE0DBE"/>
    <w:pPr>
      <w:tabs>
        <w:tab w:val="center" w:pos="4680"/>
        <w:tab w:val="right" w:pos="9360"/>
      </w:tabs>
    </w:pPr>
  </w:style>
  <w:style w:type="character" w:customStyle="1" w:styleId="FooterChar">
    <w:name w:val="Footer Char"/>
    <w:basedOn w:val="DefaultParagraphFont"/>
    <w:link w:val="Footer"/>
    <w:uiPriority w:val="99"/>
    <w:rsid w:val="00FE0DBE"/>
    <w:rPr>
      <w:rFonts w:ascii="Arial" w:eastAsiaTheme="minorEastAsia" w:hAnsi="Arial"/>
      <w:sz w:val="24"/>
      <w:szCs w:val="24"/>
    </w:rPr>
  </w:style>
  <w:style w:type="character" w:styleId="PageNumber">
    <w:name w:val="page number"/>
    <w:basedOn w:val="DefaultParagraphFont"/>
    <w:uiPriority w:val="99"/>
    <w:semiHidden/>
    <w:unhideWhenUsed/>
    <w:rsid w:val="00FE0DBE"/>
  </w:style>
  <w:style w:type="paragraph" w:styleId="Header">
    <w:name w:val="header"/>
    <w:basedOn w:val="Normal"/>
    <w:link w:val="HeaderChar"/>
    <w:uiPriority w:val="99"/>
    <w:unhideWhenUsed/>
    <w:rsid w:val="006E7A09"/>
    <w:pPr>
      <w:tabs>
        <w:tab w:val="center" w:pos="4513"/>
        <w:tab w:val="right" w:pos="9026"/>
      </w:tabs>
    </w:pPr>
  </w:style>
  <w:style w:type="character" w:customStyle="1" w:styleId="HeaderChar">
    <w:name w:val="Header Char"/>
    <w:basedOn w:val="DefaultParagraphFont"/>
    <w:link w:val="Header"/>
    <w:uiPriority w:val="99"/>
    <w:rsid w:val="006E7A09"/>
    <w:rPr>
      <w:rFonts w:ascii="Arial" w:eastAsiaTheme="minorEastAsia" w:hAnsi="Arial"/>
      <w:sz w:val="24"/>
      <w:szCs w:val="24"/>
    </w:rPr>
  </w:style>
  <w:style w:type="table" w:customStyle="1" w:styleId="TableGrid1">
    <w:name w:val="Table Grid1"/>
    <w:basedOn w:val="TableNormal"/>
    <w:next w:val="TableGrid"/>
    <w:uiPriority w:val="59"/>
    <w:rsid w:val="00753BFA"/>
    <w:pPr>
      <w:spacing w:after="0" w:line="240" w:lineRule="auto"/>
    </w:pPr>
    <w:rPr>
      <w:rFonts w:ascii="Arial" w:eastAsia="MS Mincho" w:hAnsi="Arial"/>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753B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Arial" w:eastAsiaTheme="minorEastAsia" w:hAnsi="Arial"/>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ED23AA"/>
    <w:rPr>
      <w:b/>
      <w:bCs/>
    </w:rPr>
  </w:style>
  <w:style w:type="character" w:customStyle="1" w:styleId="CommentSubjectChar">
    <w:name w:val="Comment Subject Char"/>
    <w:basedOn w:val="CommentTextChar"/>
    <w:link w:val="CommentSubject"/>
    <w:uiPriority w:val="99"/>
    <w:semiHidden/>
    <w:rsid w:val="00ED23AA"/>
    <w:rPr>
      <w:rFonts w:ascii="Arial" w:eastAsiaTheme="minorEastAsia" w:hAnsi="Arial"/>
      <w:b/>
      <w:bCs/>
      <w:sz w:val="20"/>
      <w:szCs w:val="20"/>
    </w:rPr>
  </w:style>
  <w:style w:type="character" w:customStyle="1" w:styleId="Heading1Char">
    <w:name w:val="Heading 1 Char"/>
    <w:basedOn w:val="DefaultParagraphFont"/>
    <w:link w:val="Heading1"/>
    <w:uiPriority w:val="9"/>
    <w:rsid w:val="009A2697"/>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981BD3"/>
    <w:pPr>
      <w:spacing w:before="100" w:beforeAutospacing="1" w:after="100" w:afterAutospacing="1"/>
    </w:pPr>
    <w:rPr>
      <w:rFonts w:ascii="Times New Roman" w:eastAsia="Times New Roman" w:hAnsi="Times New Roman" w:cs="Times New Roman"/>
      <w:lang w:eastAsia="en-GB"/>
    </w:rPr>
  </w:style>
  <w:style w:type="character" w:styleId="Emphasis">
    <w:name w:val="Emphasis"/>
    <w:basedOn w:val="DefaultParagraphFont"/>
    <w:uiPriority w:val="20"/>
    <w:qFormat/>
    <w:rsid w:val="00E844EB"/>
    <w:rPr>
      <w:i/>
      <w:iCs/>
    </w:rPr>
  </w:style>
  <w:style w:type="character" w:customStyle="1" w:styleId="Heading3Char">
    <w:name w:val="Heading 3 Char"/>
    <w:basedOn w:val="DefaultParagraphFont"/>
    <w:link w:val="Heading3"/>
    <w:uiPriority w:val="9"/>
    <w:semiHidden/>
    <w:rsid w:val="00A43814"/>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QMULInformationClassificationTaxHTField0 xmlns="http://schemas.microsoft.com/sharepoint/v3">
      <Terms xmlns="http://schemas.microsoft.com/office/infopath/2007/PartnerControls">
        <TermInfo xmlns="http://schemas.microsoft.com/office/infopath/2007/PartnerControls">
          <TermName xmlns="http://schemas.microsoft.com/office/infopath/2007/PartnerControls">Protect</TermName>
          <TermId xmlns="http://schemas.microsoft.com/office/infopath/2007/PartnerControls">9124d8d9-0c1c-41e9-aa14-aba001e9a028</TermId>
        </TermInfo>
      </Terms>
    </QMULInformationClassificationTaxHTField0>
    <Sent xmlns="31459315-2f73-4dce-aca0-b3c547765886">true</Sent>
    <QMULSchoolTaxHTField0 xmlns="http://schemas.microsoft.com/sharepoint/v3">
      <Terms xmlns="http://schemas.microsoft.com/office/infopath/2007/PartnerControls"/>
    </QMULSchoolTaxHTField0>
    <QMULDocumentTypeTaxHTField0 xmlns="http://schemas.microsoft.com/sharepoint/v3">
      <Terms xmlns="http://schemas.microsoft.com/office/infopath/2007/PartnerControls"/>
    </QMULDocumentTypeTaxHTField0>
    <QMULReviewDate xmlns="http://schemas.microsoft.com/sharepoint/v3" xsi:nil="true"/>
    <TaxCatchAll xmlns="7061fb09-f837-441e-9eda-866dca5eb2a9">
      <Value>5</Value>
      <Value>8</Value>
    </TaxCatchAll>
    <QMULOwner xmlns="http://schemas.microsoft.com/sharepoint/v3">
      <UserInfo>
        <DisplayName/>
        <AccountId xsi:nil="true"/>
        <AccountType/>
      </UserInfo>
    </QMULOwner>
    <lcf76f155ced4ddcb4097134ff3c332f xmlns="31459315-2f73-4dce-aca0-b3c547765886">
      <Terms xmlns="http://schemas.microsoft.com/office/infopath/2007/PartnerControls"/>
    </lcf76f155ced4ddcb4097134ff3c332f>
    <TaxKeywordTaxHTField xmlns="7061fb09-f837-441e-9eda-866dca5eb2a9">
      <Terms xmlns="http://schemas.microsoft.com/office/infopath/2007/PartnerControls">
        <TermInfo xmlns="http://schemas.microsoft.com/office/infopath/2007/PartnerControls">
          <TermName xmlns="http://schemas.microsoft.com/office/infopath/2007/PartnerControls">Queen Mary University of London: Confidential</TermName>
          <TermId xmlns="http://schemas.microsoft.com/office/infopath/2007/PartnerControls">f5686bdc-de62-48ea-9ddc-5cca502ac04c</TermId>
        </TermInfo>
      </Terms>
    </TaxKeywordTaxHTField>
    <QMULDepartmentTaxHTField0 xmlns="http://schemas.microsoft.com/sharepoint/v3">
      <Terms xmlns="http://schemas.microsoft.com/office/infopath/2007/PartnerControls"/>
    </QMULDepartmentTaxHTField0>
    <QMULAcademicYear xmlns="http://schemas.microsoft.com/sharepoint/v3" xsi:nil="true"/>
    <QMULLocationTaxHTField0 xmlns="http://schemas.microsoft.com/sharepoint/v3">
      <Terms xmlns="http://schemas.microsoft.com/office/infopath/2007/PartnerControls"/>
    </QMULLocationTaxHTField0>
    <QMULDocumentStatusTaxHTField0 xmlns="http://schemas.microsoft.com/sharepoint/v3">
      <Terms xmlns="http://schemas.microsoft.com/office/infopath/2007/PartnerControls"/>
    </QMULDocumentStatusTaxHTField0>
    <QMULProject xmlns="http://schemas.microsoft.com/sharepoint/v3" xsi:nil="true"/>
  </documentManagement>
</p:properties>
</file>

<file path=customXml/item3.xml><?xml version="1.0" encoding="utf-8"?>
<LabArchives xmlns:xsi="http://www.w3.org/2001/XMLSchema-instance" xmlns:xsd="http://www.w3.org/2001/XMLSchema">
  <BaseUri>https://uk-mynotebook.labarchives.com</BaseUri>
  <eid>MTEzNTYuODAwMDAwMDAwMDAxfDEzNjQwLzg3MzYvRW50cnlQYXJ0LzEwMjg0ODY1MDd8Mjg4MjguOA==</eid>
  <version>1</version>
  <updated-at>2025-05-01T14:11:49Z</updated-at>
</LabArchives>
</file>

<file path=customXml/item4.xml><?xml version="1.0" encoding="utf-8"?>
<ct:contentTypeSchema xmlns:ct="http://schemas.microsoft.com/office/2006/metadata/contentType" xmlns:ma="http://schemas.microsoft.com/office/2006/metadata/properties/metaAttributes" ct:_="" ma:_="" ma:contentTypeName="QMUL Document" ma:contentTypeID="0x0101005EA864BF41DF8A41860E925F5B29BCF50041A61FD00EB1A7489FA6136E7BCBF233" ma:contentTypeVersion="36" ma:contentTypeDescription="" ma:contentTypeScope="" ma:versionID="d112004c9a619fac23f8667e38acf525">
  <xsd:schema xmlns:xsd="http://www.w3.org/2001/XMLSchema" xmlns:xs="http://www.w3.org/2001/XMLSchema" xmlns:p="http://schemas.microsoft.com/office/2006/metadata/properties" xmlns:ns1="http://schemas.microsoft.com/sharepoint/v3" xmlns:ns2="7061fb09-f837-441e-9eda-866dca5eb2a9" xmlns:ns3="31459315-2f73-4dce-aca0-b3c547765886" targetNamespace="http://schemas.microsoft.com/office/2006/metadata/properties" ma:root="true" ma:fieldsID="9d9e40e0e3731fb1239cb691f2b89e06" ns1:_="" ns2:_="" ns3:_="">
    <xsd:import namespace="http://schemas.microsoft.com/sharepoint/v3"/>
    <xsd:import namespace="7061fb09-f837-441e-9eda-866dca5eb2a9"/>
    <xsd:import namespace="31459315-2f73-4dce-aca0-b3c547765886"/>
    <xsd:element name="properties">
      <xsd:complexType>
        <xsd:sequence>
          <xsd:element name="documentManagement">
            <xsd:complexType>
              <xsd:all>
                <xsd:element ref="ns1:QMULDocumentStatusTaxHTField0" minOccurs="0"/>
                <xsd:element ref="ns1:QMULDepartmentTaxHTField0" minOccurs="0"/>
                <xsd:element ref="ns1:QMULSchoolTaxHTField0" minOccurs="0"/>
                <xsd:element ref="ns1:QMULDocumentTypeTaxHTField0" minOccurs="0"/>
                <xsd:element ref="ns1:QMULLocationTaxHTField0" minOccurs="0"/>
                <xsd:element ref="ns1:QMULInformationClassificationTaxHTField0" minOccurs="0"/>
                <xsd:element ref="ns1:QMULAcademicYear" minOccurs="0"/>
                <xsd:element ref="ns1:QMULProject" minOccurs="0"/>
                <xsd:element ref="ns1:QMULReviewDate" minOccurs="0"/>
                <xsd:element ref="ns1:QMULOwner" minOccurs="0"/>
                <xsd:element ref="ns2:TaxKeywordTaxHTField"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DateTaken" minOccurs="0"/>
                <xsd:element ref="ns3:MediaLengthInSeconds" minOccurs="0"/>
                <xsd:element ref="ns3:Sent"/>
                <xsd:element ref="ns3:lcf76f155ced4ddcb4097134ff3c332f"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QMULDocumentStatusTaxHTField0" ma:index="8" nillable="true" ma:taxonomy="true" ma:internalName="QMULDocumentStatusTaxHTField0" ma:taxonomyFieldName="QMULDocumentStatus" ma:displayName="Document Status" ma:default="" ma:fieldId="{083bdfb7-9f4e-4bc9-b582-62ed6b950f9e}" ma:sspId="9c18f9b8-5ae4-4f0b-a238-a922c51e2dda" ma:termSetId="780aba48-6c17-4ca0-84b9-f0207a095630" ma:anchorId="00000000-0000-0000-0000-000000000000" ma:open="false" ma:isKeyword="false">
      <xsd:complexType>
        <xsd:sequence>
          <xsd:element ref="pc:Terms" minOccurs="0" maxOccurs="1"/>
        </xsd:sequence>
      </xsd:complexType>
    </xsd:element>
    <xsd:element name="QMULDepartmentTaxHTField0" ma:index="10" nillable="true" ma:taxonomy="true" ma:internalName="QMULDepartmentTaxHTField0" ma:taxonomyFieldName="QMULDepartment" ma:displayName="Department" ma:default="" ma:fieldId="{2a7d89f9-5f8e-4c42-ab4f-aa1fc3002ea0}" ma:sspId="9c18f9b8-5ae4-4f0b-a238-a922c51e2dda" ma:termSetId="28874c57-2df5-45e8-a804-d15afc96d4ee" ma:anchorId="00000000-0000-0000-0000-000000000000" ma:open="false" ma:isKeyword="false">
      <xsd:complexType>
        <xsd:sequence>
          <xsd:element ref="pc:Terms" minOccurs="0" maxOccurs="1"/>
        </xsd:sequence>
      </xsd:complexType>
    </xsd:element>
    <xsd:element name="QMULSchoolTaxHTField0" ma:index="12" nillable="true" ma:taxonomy="true" ma:internalName="QMULSchoolTaxHTField0" ma:taxonomyFieldName="QMULSchool" ma:displayName="School" ma:default="" ma:fieldId="{46346f8e-3161-4021-8b14-3dcca2e3ca8d}" ma:sspId="9c18f9b8-5ae4-4f0b-a238-a922c51e2dda" ma:termSetId="0f9f7e9f-7d6b-4cae-9193-a3e3200f87de" ma:anchorId="00000000-0000-0000-0000-000000000000" ma:open="false" ma:isKeyword="false">
      <xsd:complexType>
        <xsd:sequence>
          <xsd:element ref="pc:Terms" minOccurs="0" maxOccurs="1"/>
        </xsd:sequence>
      </xsd:complexType>
    </xsd:element>
    <xsd:element name="QMULDocumentTypeTaxHTField0" ma:index="14" nillable="true" ma:taxonomy="true" ma:internalName="QMULDocumentTypeTaxHTField0" ma:taxonomyFieldName="QMULDocumentType" ma:displayName="Document Type" ma:default="" ma:fieldId="{2596c3af-0d77-4ea4-a15d-d3f71457b096}" ma:sspId="9c18f9b8-5ae4-4f0b-a238-a922c51e2dda" ma:termSetId="8ec3f1bd-c4f8-46a7-ae88-878ed3be39d1" ma:anchorId="00000000-0000-0000-0000-000000000000" ma:open="false" ma:isKeyword="false">
      <xsd:complexType>
        <xsd:sequence>
          <xsd:element ref="pc:Terms" minOccurs="0" maxOccurs="1"/>
        </xsd:sequence>
      </xsd:complexType>
    </xsd:element>
    <xsd:element name="QMULLocationTaxHTField0" ma:index="16" nillable="true" ma:taxonomy="true" ma:internalName="QMULLocationTaxHTField0" ma:taxonomyFieldName="QMULLocation" ma:displayName="Location" ma:default="" ma:fieldId="{29b985f4-a05e-4f39-b5da-e9fb81ddaa79}" ma:sspId="9c18f9b8-5ae4-4f0b-a238-a922c51e2dda" ma:termSetId="5327f1c4-618f-4317-b197-fc29da39fa66" ma:anchorId="00000000-0000-0000-0000-000000000000" ma:open="false" ma:isKeyword="false">
      <xsd:complexType>
        <xsd:sequence>
          <xsd:element ref="pc:Terms" minOccurs="0" maxOccurs="1"/>
        </xsd:sequence>
      </xsd:complexType>
    </xsd:element>
    <xsd:element name="QMULInformationClassificationTaxHTField0" ma:index="18" nillable="true" ma:taxonomy="true" ma:internalName="QMULInformationClassificationTaxHTField0" ma:taxonomyFieldName="QMULInformationClassification" ma:displayName="Information Classification" ma:default="5;#Protect|9124d8d9-0c1c-41e9-aa14-aba001e9a028" ma:fieldId="{57b3469a-2ea1-4a06-a2d1-c99ce62a5d6f}" ma:sspId="9c18f9b8-5ae4-4f0b-a238-a922c51e2dda" ma:termSetId="a3d7b326-4e5e-4e73-95fa-6245adfab113" ma:anchorId="00000000-0000-0000-0000-000000000000" ma:open="false" ma:isKeyword="false">
      <xsd:complexType>
        <xsd:sequence>
          <xsd:element ref="pc:Terms" minOccurs="0" maxOccurs="1"/>
        </xsd:sequence>
      </xsd:complexType>
    </xsd:element>
    <xsd:element name="QMULAcademicYear" ma:index="20" nillable="true" ma:displayName="Academic Year" ma:decimals="0" ma:internalName="QMULAcademicYear" ma:percentage="FALSE">
      <xsd:simpleType>
        <xsd:restriction base="dms:Number">
          <xsd:maxInclusive value="9999"/>
          <xsd:minInclusive value="1000"/>
        </xsd:restriction>
      </xsd:simpleType>
    </xsd:element>
    <xsd:element name="QMULProject" ma:index="21" nillable="true" ma:displayName="Project" ma:internalName="QMULProject">
      <xsd:simpleType>
        <xsd:restriction base="dms:Text">
          <xsd:maxLength value="255"/>
        </xsd:restriction>
      </xsd:simpleType>
    </xsd:element>
    <xsd:element name="QMULReviewDate" ma:index="22" nillable="true" ma:displayName="Review Date" ma:format="DateOnly" ma:internalName="QMULReviewDate">
      <xsd:simpleType>
        <xsd:restriction base="dms:DateTime"/>
      </xsd:simpleType>
    </xsd:element>
    <xsd:element name="QMULOwner" ma:index="23" nillable="true" ma:displayName="Owner" ma:list="UserInfo" ma:SharePointGroup="0" ma:internalName="QMUL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061fb09-f837-441e-9eda-866dca5eb2a9" elementFormDefault="qualified">
    <xsd:import namespace="http://schemas.microsoft.com/office/2006/documentManagement/types"/>
    <xsd:import namespace="http://schemas.microsoft.com/office/infopath/2007/PartnerControls"/>
    <xsd:element name="TaxKeywordTaxHTField" ma:index="24" nillable="true" ma:taxonomy="true" ma:internalName="TaxKeywordTaxHTField" ma:taxonomyFieldName="TaxKeyword" ma:displayName="Enterprise Keywords" ma:fieldId="{23f27201-bee3-471e-b2e7-b64fd8b7ca38}" ma:taxonomyMulti="true" ma:sspId="9c18f9b8-5ae4-4f0b-a238-a922c51e2dda" ma:termSetId="00000000-0000-0000-0000-000000000000" ma:anchorId="00000000-0000-0000-0000-000000000000" ma:open="true" ma:isKeyword="true">
      <xsd:complexType>
        <xsd:sequence>
          <xsd:element ref="pc:Terms" minOccurs="0" maxOccurs="1"/>
        </xsd:sequence>
      </xsd:complexType>
    </xsd:element>
    <xsd:element name="TaxCatchAll" ma:index="26" nillable="true" ma:displayName="Taxonomy Catch All Column" ma:hidden="true" ma:list="{a062ba39-7f85-4450-a6bf-a27e0c7bca51}" ma:internalName="TaxCatchAll" ma:showField="CatchAllData" ma:web="7061fb09-f837-441e-9eda-866dca5eb2a9">
      <xsd:complexType>
        <xsd:complexContent>
          <xsd:extension base="dms:MultiChoiceLookup">
            <xsd:sequence>
              <xsd:element name="Value" type="dms:Lookup" maxOccurs="unbounded" minOccurs="0" nillable="true"/>
            </xsd:sequence>
          </xsd:extension>
        </xsd:complexContent>
      </xsd:complexType>
    </xsd:element>
    <xsd:element name="TaxCatchAllLabel" ma:index="27" nillable="true" ma:displayName="Taxonomy Catch All Column1" ma:hidden="true" ma:list="{a062ba39-7f85-4450-a6bf-a27e0c7bca51}" ma:internalName="TaxCatchAllLabel" ma:readOnly="true" ma:showField="CatchAllDataLabel" ma:web="7061fb09-f837-441e-9eda-866dca5eb2a9">
      <xsd:complexType>
        <xsd:complexContent>
          <xsd:extension base="dms:MultiChoiceLookup">
            <xsd:sequence>
              <xsd:element name="Value" type="dms:Lookup" maxOccurs="unbounded" minOccurs="0" nillable="true"/>
            </xsd:sequence>
          </xsd:extension>
        </xsd:complexContent>
      </xsd:complexType>
    </xsd:element>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1459315-2f73-4dce-aca0-b3c547765886" elementFormDefault="qualified">
    <xsd:import namespace="http://schemas.microsoft.com/office/2006/documentManagement/types"/>
    <xsd:import namespace="http://schemas.microsoft.com/office/infopath/2007/PartnerControls"/>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MediaServiceDateTaken" ma:index="32" nillable="true" ma:displayName="MediaServiceDateTaken" ma:internalName="MediaServiceDateTaken" ma:readOnly="true">
      <xsd:simpleType>
        <xsd:restriction base="dms:Text"/>
      </xsd:simpleType>
    </xsd:element>
    <xsd:element name="MediaLengthInSeconds" ma:index="33" nillable="true" ma:displayName="MediaLengthInSeconds" ma:hidden="true" ma:internalName="MediaLengthInSeconds" ma:readOnly="true">
      <xsd:simpleType>
        <xsd:restriction base="dms:Unknown"/>
      </xsd:simpleType>
    </xsd:element>
    <xsd:element name="Sent" ma:index="34" ma:displayName="Sent" ma:default="1" ma:format="Dropdown" ma:internalName="Sent">
      <xsd:simpleType>
        <xsd:restriction base="dms:Boolea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9c18f9b8-5ae4-4f0b-a238-a922c51e2dda" ma:termSetId="09814cd3-568e-fe90-9814-8d621ff8fb84" ma:anchorId="fba54fb3-c3e1-fe81-a776-ca4b69148c4d" ma:open="true" ma:isKeyword="false">
      <xsd:complexType>
        <xsd:sequence>
          <xsd:element ref="pc:Terms" minOccurs="0" maxOccurs="1"/>
        </xsd:sequence>
      </xsd:complexType>
    </xsd:element>
    <xsd:element name="MediaServiceOCR" ma:index="37" nillable="true" ma:displayName="Extracted Text" ma:internalName="MediaServiceOCR" ma:readOnly="true">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element name="MediaServiceObjectDetectorVersions" ma:index="40" nillable="true" ma:displayName="MediaServiceObjectDetectorVersions" ma:hidden="true" ma:indexed="true" ma:internalName="MediaServiceObjectDetectorVersions" ma:readOnly="true">
      <xsd:simpleType>
        <xsd:restriction base="dms:Text"/>
      </xsd:simpleType>
    </xsd:element>
    <xsd:element name="MediaServiceSearchProperties" ma:index="4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D018D9-0204-46EE-A72E-6AAFBCA66CBB}">
  <ds:schemaRefs>
    <ds:schemaRef ds:uri="http://schemas.microsoft.com/sharepoint/v3/contenttype/forms"/>
  </ds:schemaRefs>
</ds:datastoreItem>
</file>

<file path=customXml/itemProps2.xml><?xml version="1.0" encoding="utf-8"?>
<ds:datastoreItem xmlns:ds="http://schemas.openxmlformats.org/officeDocument/2006/customXml" ds:itemID="{B1E53DAC-6CE3-4576-AEAC-8A007CBD5F27}">
  <ds:schemaRefs>
    <ds:schemaRef ds:uri="http://schemas.microsoft.com/office/2006/metadata/properties"/>
    <ds:schemaRef ds:uri="http://schemas.microsoft.com/office/infopath/2007/PartnerControls"/>
    <ds:schemaRef ds:uri="http://schemas.microsoft.com/sharepoint/v3"/>
    <ds:schemaRef ds:uri="31459315-2f73-4dce-aca0-b3c547765886"/>
    <ds:schemaRef ds:uri="7061fb09-f837-441e-9eda-866dca5eb2a9"/>
  </ds:schemaRefs>
</ds:datastoreItem>
</file>

<file path=customXml/itemProps3.xml><?xml version="1.0" encoding="utf-8"?>
<ds:datastoreItem xmlns:ds="http://schemas.openxmlformats.org/officeDocument/2006/customXml" ds:itemID="{DB6AD26D-9090-4606-AFE2-268E183EE976}">
  <ds:schemaRefs>
    <ds:schemaRef ds:uri="http://www.w3.org/2001/XMLSchema"/>
  </ds:schemaRefs>
</ds:datastoreItem>
</file>

<file path=customXml/itemProps4.xml><?xml version="1.0" encoding="utf-8"?>
<ds:datastoreItem xmlns:ds="http://schemas.openxmlformats.org/officeDocument/2006/customXml" ds:itemID="{F402C52E-BDCA-48FC-B62E-414E85978B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061fb09-f837-441e-9eda-866dca5eb2a9"/>
    <ds:schemaRef ds:uri="31459315-2f73-4dce-aca0-b3c5477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894</TotalTime>
  <Pages>4</Pages>
  <Words>1163</Words>
  <Characters>6633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Queen Mary University of London</Company>
  <LinksUpToDate>false</LinksUpToDate>
  <CharactersWithSpaces>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Pearce</dc:creator>
  <cp:keywords>Queen Mary University of London: Confidential</cp:keywords>
  <dc:description/>
  <cp:lastModifiedBy>Eylul Turkay</cp:lastModifiedBy>
  <cp:revision>153</cp:revision>
  <dcterms:created xsi:type="dcterms:W3CDTF">2026-04-17T20:32:00Z</dcterms:created>
  <dcterms:modified xsi:type="dcterms:W3CDTF">2026-04-20T06:41:00Z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0x0101005EA864BF41DF8A41860E925F5B29BCF50041A61FD00EB1A7489FA6136E7BCBF233</vt:lpwstr>
  </property>
  <property fmtid="{D5CDD505-2E9C-101B-9397-08002B2CF9AE}" pid="3" name="TaxKeyword">
    <vt:lpwstr>8;#Queen Mary University of London: Confidential|f5686bdc-de62-48ea-9ddc-5cca502ac04c</vt:lpwstr>
  </property>
  <property fmtid="{D5CDD505-2E9C-101B-9397-08002B2CF9AE}" pid="4" name="QMULDocumentStatus">
    <vt:lpwstr/>
  </property>
  <property fmtid="{D5CDD505-2E9C-101B-9397-08002B2CF9AE}" pid="5" name="MediaServiceImageTags">
    <vt:lpwstr/>
  </property>
  <property fmtid="{D5CDD505-2E9C-101B-9397-08002B2CF9AE}" pid="6" name="QMULInformationClassification">
    <vt:lpwstr>5;#Protect|9124d8d9-0c1c-41e9-aa14-aba001e9a028</vt:lpwstr>
  </property>
  <property fmtid="{D5CDD505-2E9C-101B-9397-08002B2CF9AE}" pid="7" name="QMULLocation">
    <vt:lpwstr/>
  </property>
  <property fmtid="{D5CDD505-2E9C-101B-9397-08002B2CF9AE}" pid="8" name="QMULDepartment">
    <vt:lpwstr/>
  </property>
  <property fmtid="{D5CDD505-2E9C-101B-9397-08002B2CF9AE}" pid="9" name="QMULDocumentType">
    <vt:lpwstr/>
  </property>
  <property fmtid="{D5CDD505-2E9C-101B-9397-08002B2CF9AE}" pid="10" name="QMULSchool">
    <vt:lpwstr/>
  </property>
  <property fmtid="{D5CDD505-2E9C-101B-9397-08002B2CF9AE}" pid="11" name="TitusGUID">
    <vt:lpwstr>95221b22-c5d2-4c21-ba20-ab5ecc2722fb</vt:lpwstr>
  </property>
  <property fmtid="{D5CDD505-2E9C-101B-9397-08002B2CF9AE}" pid="12" name="CLASSIFICATION">
    <vt:lpwstr>Confidential</vt:lpwstr>
  </property>
  <property fmtid="{D5CDD505-2E9C-101B-9397-08002B2CF9AE}" pid="13" name="GrammarlyDocumentId">
    <vt:lpwstr>10f7617e-9a77-4cf3-9186-0617ff455a93</vt:lpwstr>
  </property>
</Properties>
</file>