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BREADCRUMBLIST SCHEMA — BREADCRUMB BULUNAN TÜM İÇ SAYFALARA EKLENMELİ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Arama sonuçlarında "Anasayfa &gt; Kategori &gt; Ürün" yolunu gösterir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 TALİMATLARI: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Bu schema her sayfa için farklı olacaktır.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Breadcrumb verisi sayfadaki HTML breadcrumb elementinden beslenmelidir.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Aşağıdaki örnek bir ürün detay sayfası içindir.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Son eleman (aktif sayfa) için "item" alanı yer almamalıdır.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ÖRNEK SAYFA TÜRLERİ: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  Kategori:  Anasayfa &gt; Gram Külçe Altın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  Ürün:      Anasayfa &gt; Gram Külçe Altın &gt; Ürün Adı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  Blog:      Anasayfa &gt; Blog &gt; Yazı Başlığı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  SSS:       Anasayfa &gt; Sıkça Sorulan Sorular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"BreadcrumbList"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"itemListElement"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İlk eleman her zaman Anasayfa olmalıdır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"Anasayfa"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"https://www.agakulche.com"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Kategori adı — sayfadaki breadcrumb HTML'inden okunmalıdır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"Gram Külçe Altın"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Kategori URL'si — breadcrumb linkinden okunmalıdır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"https://www.agakulche.com/gram-kulce-altin"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"ListItem"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Aktif sayfa adı — breadcrumb son elemanından okunmalıdır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NOT: Son eleman için "item" alanı bulunmamalıdır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20 gr 995 24 Ayar Nadir Külçe Altın"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