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Modèle de CCTP — GTB multi-protocole (vendor-neutral)</w:t>
      </w:r>
    </w:p>
    <w:p>
      <w:r>
        <w:rPr>
          <w:i/>
          <w:color w:val="267A43"/>
        </w:rPr>
        <w:t>Cahier des Clauses Techniques Particulières + grille de dépouillement — trame type réutilisable</w:t>
      </w:r>
    </w:p>
    <w:p>
      <w:r>
        <w:rPr>
          <w:sz w:val="18"/>
        </w:rPr>
        <w:t>Ressource NeoGTB — neogtb.fr. Document neutre, n'avantageant aucune marque ni protocole. À adapter projet par projet : renseigner les champs [À COMPLÉTER], traiter les blocs OPTION et la check-list de l'article 13 (points réglementaires à reconfirmer sur Légifrance/AFNOR à la date de diffusion).</w:t>
      </w:r>
    </w:p>
    <w:p>
      <w:r>
        <w:br w:type="page"/>
      </w:r>
    </w:p>
    <w:p>
      <w:pPr>
        <w:pStyle w:val="Heading1"/>
      </w:pPr>
      <w:r>
        <w:t>CCTP — GESTION TECHNIQUE DU BÂTIMENT (GTB/GTC)</w:t>
      </w:r>
      <w:r/>
    </w:p>
    <w:p>
      <w:pPr>
        <w:pStyle w:val="Heading2"/>
      </w:pPr>
      <w:r>
        <w:t>Système ouvert, multi-protocole et non-discriminant</w:t>
      </w:r>
      <w:r/>
      <w:r/>
    </w:p>
    <w:p>
      <w:r/>
      <w:r>
        <w:rPr>
          <w:b/>
        </w:rPr>
        <w:t>Modèle type réutilisable — vendor-neutral.</w:t>
      </w:r>
      <w:r>
        <w:t xml:space="preserve"> Document de référence n'avantageant aucune marque, aucun fabricant ni aucun protocole propriétaire. À adapter projet par projet.</w:t>
      </w:r>
      <w:r/>
    </w:p>
    <w:p>
      <w:r/>
      <w:r>
        <w:rPr>
          <w:b/>
        </w:rPr>
        <w:t>Comment utiliser ce modèle</w:t>
      </w:r>
      <w:r>
        <w:t xml:space="preserve">- Les champs </w:t>
      </w:r>
      <w:r>
        <w:rPr>
          <w:rFonts w:ascii="Courier" w:hAnsi="Courier"/>
        </w:rPr>
        <w:t>[À COMPLÉTER : …]</w:t>
      </w:r>
      <w:r>
        <w:t xml:space="preserve"> sont à renseigner selon le projet. - Les blocs </w:t>
      </w:r>
      <w:r>
        <w:rPr>
          <w:rFonts w:ascii="Courier" w:hAnsi="Courier"/>
        </w:rPr>
        <w:t>&gt; 🔀 OPTION</w:t>
      </w:r>
      <w:r>
        <w:t xml:space="preserve"> sont </w:t>
      </w:r>
      <w:r>
        <w:rPr>
          <w:b/>
        </w:rPr>
        <w:t>conditionnels</w:t>
      </w:r>
      <w:r>
        <w:t xml:space="preserve"> : conserver ou supprimer selon le contexte (assujettissement BACS, décret tertiaire, type de bâtiment). - Les balises ⚠️ </w:t>
      </w:r>
      <w:r>
        <w:rPr>
          <w:b/>
        </w:rPr>
        <w:t>[À VÉRIFIER]</w:t>
      </w:r>
      <w:r>
        <w:t xml:space="preserve"> signalent un point réglementaire à reconfirmer sur la source officielle </w:t>
      </w:r>
      <w:r>
        <w:rPr>
          <w:b/>
        </w:rPr>
        <w:t>à la date de publication</w:t>
      </w:r>
      <w:r>
        <w:t xml:space="preserve"> (la réglementation évolue — voir §13 « Points à vérifier avant diffusion »). - Maître d'ouvrage = </w:t>
      </w:r>
      <w:r>
        <w:rPr>
          <w:b/>
        </w:rPr>
        <w:t>« le MOA »</w:t>
      </w:r>
      <w:r>
        <w:t xml:space="preserve"> ; titulaire du marché = </w:t>
      </w:r>
      <w:r>
        <w:rPr>
          <w:b/>
        </w:rPr>
        <w:t>« le titulaire »</w:t>
      </w:r>
      <w:r>
        <w:t>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Maître d'ouvrage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COMPLÉTER]</w:t>
            </w:r>
          </w:p>
        </w:tc>
      </w:tr>
      <w:tr>
        <w:tc>
          <w:tcPr>
            <w:tcW w:type="dxa" w:w="4320"/>
          </w:tcPr>
          <w:p>
            <w:r>
              <w:t>Opération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COMPLÉTER]</w:t>
            </w:r>
          </w:p>
        </w:tc>
      </w:tr>
      <w:tr>
        <w:tc>
          <w:tcPr>
            <w:tcW w:type="dxa" w:w="4320"/>
          </w:tcPr>
          <w:p>
            <w:r>
              <w:t>Bâtiment(s) / site(s)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 : type, surface, usage]</w:t>
            </w:r>
          </w:p>
        </w:tc>
      </w:tr>
      <w:tr>
        <w:tc>
          <w:tcPr>
            <w:tcW w:type="dxa" w:w="4320"/>
          </w:tcPr>
          <w:p>
            <w:r>
              <w:t>Lots couverts</w:t>
            </w:r>
          </w:p>
        </w:tc>
        <w:tc>
          <w:tcPr>
            <w:tcW w:type="dxa" w:w="4320"/>
          </w:tcPr>
          <w:p>
            <w:r>
              <w:t>CVC · Éclairage (DALI) · Comptage / sous-comptage énergie · Supervision GTB</w:t>
            </w:r>
          </w:p>
        </w:tc>
      </w:tr>
      <w:tr>
        <w:tc>
          <w:tcPr>
            <w:tcW w:type="dxa" w:w="4320"/>
          </w:tcPr>
          <w:p>
            <w:r>
              <w:t>Maître d'œuvre / AMO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COMPLÉTER]</w:t>
            </w:r>
          </w:p>
        </w:tc>
      </w:tr>
      <w:tr>
        <w:tc>
          <w:tcPr>
            <w:tcW w:type="dxa" w:w="4320"/>
          </w:tcPr>
          <w:p>
            <w:r>
              <w:t>Forme du marché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 : public / privé]</w:t>
            </w:r>
          </w:p>
        </w:tc>
      </w:tr>
      <w:tr>
        <w:tc>
          <w:tcPr>
            <w:tcW w:type="dxa" w:w="4320"/>
          </w:tcPr>
          <w:p>
            <w:r>
              <w:t>Indice / date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[À COMPLÉTER]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SOMMAIRE</w:t>
      </w:r>
      <w:r/>
      <w:r/>
    </w:p>
    <w:p>
      <w:pPr>
        <w:pStyle w:val="ListNumber"/>
        <w:spacing w:line="240" w:lineRule="auto"/>
        <w:ind w:left="720"/>
      </w:pPr>
      <w:r/>
      <w:r>
        <w:t>Objet et périmètre</w:t>
      </w:r>
      <w:r/>
    </w:p>
    <w:p>
      <w:pPr>
        <w:pStyle w:val="ListNumber"/>
        <w:spacing w:line="240" w:lineRule="auto"/>
        <w:ind w:left="720"/>
      </w:pPr>
      <w:r/>
      <w:r>
        <w:t>Principes directeurs (neutralité, ouverture, réversibilité)</w:t>
      </w:r>
      <w:r/>
    </w:p>
    <w:p>
      <w:pPr>
        <w:pStyle w:val="ListNumber"/>
        <w:spacing w:line="240" w:lineRule="auto"/>
        <w:ind w:left="720"/>
      </w:pPr>
      <w:r/>
      <w:r>
        <w:t>Documents de référence</w:t>
      </w:r>
      <w:r/>
    </w:p>
    <w:p>
      <w:pPr>
        <w:pStyle w:val="ListNumber"/>
        <w:spacing w:line="240" w:lineRule="auto"/>
        <w:ind w:left="720"/>
      </w:pPr>
      <w:r/>
      <w:r>
        <w:t>Définitions et abréviations</w:t>
      </w:r>
      <w:r/>
    </w:p>
    <w:p>
      <w:pPr>
        <w:pStyle w:val="ListNumber"/>
        <w:spacing w:line="240" w:lineRule="auto"/>
        <w:ind w:left="720"/>
      </w:pPr>
      <w:r/>
      <w:r>
        <w:t>Expression du besoin fonctionnel</w:t>
      </w:r>
      <w:r/>
    </w:p>
    <w:p>
      <w:pPr>
        <w:pStyle w:val="ListNumber"/>
        <w:spacing w:line="240" w:lineRule="auto"/>
        <w:ind w:left="720"/>
      </w:pPr>
      <w:r/>
      <w:r>
        <w:t>Exigences d'interopérabilité et de protocoles</w:t>
      </w:r>
      <w:r/>
    </w:p>
    <w:p>
      <w:pPr>
        <w:pStyle w:val="ListNumber"/>
        <w:spacing w:line="240" w:lineRule="auto"/>
        <w:ind w:left="720"/>
      </w:pPr>
      <w:r/>
      <w:r>
        <w:t>Exigences anti-verrouillage (clauses contractuelles)</w:t>
      </w:r>
      <w:r/>
    </w:p>
    <w:p>
      <w:pPr>
        <w:pStyle w:val="ListNumber"/>
        <w:spacing w:line="240" w:lineRule="auto"/>
        <w:ind w:left="720"/>
      </w:pPr>
      <w:r/>
      <w:r>
        <w:t>Livrables et documents à remettre</w:t>
      </w:r>
      <w:r/>
    </w:p>
    <w:p>
      <w:pPr>
        <w:pStyle w:val="ListNumber"/>
        <w:spacing w:line="240" w:lineRule="auto"/>
        <w:ind w:left="720"/>
      </w:pPr>
      <w:r/>
      <w:r>
        <w:t>Recette et vérifications</w:t>
      </w:r>
      <w:r/>
    </w:p>
    <w:p>
      <w:pPr>
        <w:pStyle w:val="ListNumber"/>
        <w:spacing w:line="240" w:lineRule="auto"/>
        <w:ind w:left="720"/>
      </w:pPr>
      <w:r/>
      <w:r>
        <w:t>Garantie, maintenance, SAV</w:t>
      </w:r>
      <w:r/>
    </w:p>
    <w:p>
      <w:pPr>
        <w:pStyle w:val="ListNumber"/>
        <w:spacing w:line="240" w:lineRule="auto"/>
        <w:ind w:left="720"/>
      </w:pPr>
      <w:r/>
      <w:r>
        <w:t>Critères d'évaluation des offres</w:t>
      </w:r>
      <w:r/>
    </w:p>
    <w:p>
      <w:pPr>
        <w:pStyle w:val="ListNumber"/>
        <w:spacing w:line="240" w:lineRule="auto"/>
        <w:ind w:left="720"/>
      </w:pPr>
      <w:r/>
      <w:r>
        <w:t>Annexes (cadres à remplir par le candidat)</w:t>
      </w:r>
      <w:r/>
    </w:p>
    <w:p>
      <w:pPr>
        <w:pStyle w:val="ListNumber"/>
        <w:spacing w:line="240" w:lineRule="auto"/>
        <w:ind w:left="720"/>
      </w:pPr>
      <w:r/>
      <w:r>
        <w:t>Points à vérifier avant diffusion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1 — OBJET ET PÉRIMÈTRE</w:t>
      </w:r>
      <w:r/>
    </w:p>
    <w:p>
      <w:pPr>
        <w:pStyle w:val="Heading3"/>
      </w:pPr>
      <w:r>
        <w:t>1.1 Objet du marché</w:t>
      </w:r>
      <w:r/>
    </w:p>
    <w:p>
      <w:r/>
      <w:r>
        <w:t xml:space="preserve">Le présent Cahier des Clauses Techniques Particulières (CCTP) définit les exigences relatives à la fourniture, l'installation, le paramétrage, la mise en service, la documentation et la garantie d'un système de </w:t>
      </w:r>
      <w:r>
        <w:rPr>
          <w:b/>
        </w:rPr>
        <w:t>Gestion Technique du Bâtiment (GTB/GTC)</w:t>
      </w:r>
      <w:r>
        <w:t xml:space="preserve"> ouvert et interopérable pour </w:t>
      </w:r>
      <w:r>
        <w:rPr>
          <w:rFonts w:ascii="Courier" w:hAnsi="Courier"/>
        </w:rPr>
        <w:t>[À COMPLÉTER : opération]</w:t>
      </w:r>
      <w:r>
        <w:t>.</w:t>
      </w:r>
      <w:r/>
    </w:p>
    <w:p>
      <w:r/>
      <w:r>
        <w:t xml:space="preserve">Le système assure le pilotage, la régulation, le comptage, la supervision et l'optimisation énergétique des installations techniques, dans le respect des principes de </w:t>
      </w:r>
      <w:r>
        <w:rPr>
          <w:b/>
        </w:rPr>
        <w:t>neutralité technologique</w:t>
      </w:r>
      <w:r>
        <w:t xml:space="preserve"> et d'</w:t>
      </w:r>
      <w:r>
        <w:rPr>
          <w:b/>
        </w:rPr>
        <w:t>absence de verrouillage propriétaire (anti vendor lock-in)</w:t>
      </w:r>
      <w:r>
        <w:t xml:space="preserve"> énoncés à l'article 2.</w:t>
      </w:r>
      <w:r/>
    </w:p>
    <w:p>
      <w:pPr>
        <w:pStyle w:val="Heading3"/>
      </w:pPr>
      <w:r>
        <w:t>1.2 Périmètre technique</w:t>
      </w:r>
      <w:r/>
    </w:p>
    <w:p>
      <w:r/>
      <w:r>
        <w:t>Le marché couvre les lots suivants 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Périmètre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CVC</w:t>
            </w:r>
          </w:p>
        </w:tc>
        <w:tc>
          <w:tcPr>
            <w:tcW w:type="dxa" w:w="4320"/>
          </w:tcPr>
          <w:p>
            <w:r>
              <w:t>Production, distribution, émission, ventilation, régulation terminale (chauffage / ventilation / rafraîchissement).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Éclairage</w:t>
            </w:r>
          </w:p>
        </w:tc>
        <w:tc>
          <w:tcPr>
            <w:tcW w:type="dxa" w:w="4320"/>
          </w:tcPr>
          <w:p>
            <w:r>
              <w:t xml:space="preserve">Pilotage, gradation, détection présence / luminosité, scènes, groupes — bus </w:t>
            </w:r>
            <w:r>
              <w:rPr>
                <w:b/>
              </w:rPr>
              <w:t>DALI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Comptage / sous-comptage</w:t>
            </w:r>
          </w:p>
        </w:tc>
        <w:tc>
          <w:tcPr>
            <w:tcW w:type="dxa" w:w="4320"/>
          </w:tcPr>
          <w:p>
            <w:r>
              <w:t>Compteurs et sous-compteurs d'énergie et de fluides, par usage et par zone.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Supervision GTB</w:t>
            </w:r>
          </w:p>
        </w:tc>
        <w:tc>
          <w:tcPr>
            <w:tcW w:type="dxa" w:w="4320"/>
          </w:tcPr>
          <w:p>
            <w:r>
              <w:t>Superviseur, serveur, IHM/poste opérateur, historisation, alarmes, tableaux de bord, API d'ouverture des données.</w:t>
            </w:r>
          </w:p>
        </w:tc>
      </w:tr>
    </w:tbl>
    <w:p>
      <w:r/>
      <w:r/>
    </w:p>
    <w:p>
      <w:r/>
      <w:r>
        <w:t xml:space="preserve">🔀 OPTION — Ajouter / retirer des lots selon le projet : </w:t>
      </w:r>
      <w:r>
        <w:rPr>
          <w:rFonts w:ascii="Courier" w:hAnsi="Courier"/>
        </w:rPr>
        <w:t>[ECS · sûreté · contrôle d'accès · GTC ascenseurs · production EnR…]</w:t>
      </w:r>
      <w:r>
        <w:t xml:space="preserve">. </w:t>
      </w:r>
      <w:r>
        <w:rPr>
          <w:b/>
        </w:rPr>
        <w:t>Ne pas inclure</w:t>
      </w:r>
      <w:r>
        <w:t xml:space="preserve"> la sûreté / le contrôle d'accès dans le périmètre GTB sauf besoin explicite (logiques et contraintes distinctes).</w:t>
      </w:r>
      <w:r/>
      <w:r/>
    </w:p>
    <w:p>
      <w:pPr>
        <w:pStyle w:val="Heading3"/>
      </w:pPr>
      <w:r>
        <w:t>1.3 Limites de prestation</w:t>
      </w:r>
      <w:r/>
    </w:p>
    <w:p>
      <w:r/>
      <w:r>
        <w:rPr>
          <w:rFonts w:ascii="Courier" w:hAnsi="Courier"/>
        </w:rPr>
        <w:t>[À COMPLÉTER : interfaces avec les lots CVC, électricité, plomberie ; fournitures à la charge du titulaire vs autres lots ; raccordements ; alimentations électriques ; chemins de câbles.]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2 — PRINCIPES DIRECTEURS</w:t>
      </w:r>
      <w:r/>
    </w:p>
    <w:p>
      <w:r/>
      <w:r>
        <w:t>Ces principes priment sur toute autre disposition technique. Toute solution proposée doit s'y conformer.</w:t>
      </w:r>
      <w:r/>
    </w:p>
    <w:p>
      <w:pPr>
        <w:pStyle w:val="Heading3"/>
      </w:pPr>
      <w:r>
        <w:t>2.1 Neutralité technologique et non-discrimination</w:t>
      </w:r>
      <w:r/>
    </w:p>
    <w:p>
      <w:r/>
      <w:r>
        <w:t xml:space="preserve">Les spécifications du présent CCTP sont exprimées en </w:t>
      </w:r>
      <w:r>
        <w:rPr>
          <w:b/>
        </w:rPr>
        <w:t>exigences fonctionnelles et niveaux de performance</w:t>
      </w:r>
      <w:r>
        <w:t xml:space="preserve"> ; aucune marque, brevet, type, procédé de fabrication ou origine n'est imposé.</w:t>
      </w:r>
      <w:r/>
      <w:r/>
    </w:p>
    <w:p>
      <w:r/>
      <w:r>
        <w:t xml:space="preserve">🔀 OPTION MARCHÉ PUBLIC — clauses reprenant le Code de la commande publique (à conserver pour un acheteur public ; en marché privé, les conserver à titre de bonne pratique) : - « Les spécifications techniques sont formulées conformément à l'article </w:t>
      </w:r>
      <w:r>
        <w:rPr>
          <w:b/>
        </w:rPr>
        <w:t>R. 2111-8</w:t>
      </w:r>
      <w:r>
        <w:t xml:space="preserve"> du Code de la commande publique (en termes de performances et d'exigences fonctionnelles). » - « Lorsqu'une référence à une marque, un brevet ou un type apparaît, </w:t>
      </w:r>
      <w:r>
        <w:rPr>
          <w:b/>
        </w:rPr>
        <w:t>elle est réputée suivie de la mention "ou équivalent"</w:t>
      </w:r>
      <w:r>
        <w:t xml:space="preserve"> au sens de l'article </w:t>
      </w:r>
      <w:r>
        <w:rPr>
          <w:b/>
        </w:rPr>
        <w:t>R. 2111-7</w:t>
      </w:r>
      <w:r>
        <w:t xml:space="preserve"> du Code de la commande publique. Le titulaire peut proposer toute solution équivalente et en apporte la preuve par tout moyen approprié (art. </w:t>
      </w:r>
      <w:r>
        <w:rPr>
          <w:b/>
        </w:rPr>
        <w:t>R. 2111-11</w:t>
      </w:r>
      <w:r>
        <w:t>). »</w:t>
      </w:r>
      <w:r/>
      <w:r/>
    </w:p>
    <w:p>
      <w:r/>
      <w:r>
        <w:t xml:space="preserve">Tout composant matériel ou logiciel </w:t>
      </w:r>
      <w:r>
        <w:rPr>
          <w:b/>
        </w:rPr>
        <w:t>imposant le recours exclusif à un fournisseur unique</w:t>
      </w:r>
      <w:r>
        <w:t xml:space="preserve"> pour son exploitation, sa maintenance ou son évolution est </w:t>
      </w:r>
      <w:r>
        <w:rPr>
          <w:b/>
        </w:rPr>
        <w:t>proscrit</w:t>
      </w:r>
      <w:r>
        <w:t>, sauf justification écrite acceptée par le MOA.</w:t>
      </w:r>
      <w:r/>
    </w:p>
    <w:p>
      <w:pPr>
        <w:pStyle w:val="Heading3"/>
      </w:pPr>
      <w:r>
        <w:t>2.2 Ouverture et interopérabilité</w:t>
      </w:r>
      <w:r/>
    </w:p>
    <w:p>
      <w:r/>
      <w:r>
        <w:t xml:space="preserve">Le système repose </w:t>
      </w:r>
      <w:r>
        <w:rPr>
          <w:b/>
        </w:rPr>
        <w:t>exclusivement sur des protocoles ouverts et normalisés</w:t>
      </w:r>
      <w:r>
        <w:t xml:space="preserve"> (article 6). Le système doit être </w:t>
      </w:r>
      <w:r>
        <w:rPr>
          <w:b/>
        </w:rPr>
        <w:t>interopérable avec les différents systèmes techniques du bâtiment</w:t>
      </w:r>
      <w:r>
        <w:t xml:space="preserve"> (exigence fondée sur le décret BACS — voir §3 et §5.4). Tout protocole propriétaire fermé est proscrit pour la couche d'interopérabilité.</w:t>
      </w:r>
      <w:r/>
    </w:p>
    <w:p>
      <w:pPr>
        <w:pStyle w:val="Heading3"/>
      </w:pPr>
      <w:r>
        <w:t>2.3 Propriété des données et réversibilité</w:t>
      </w:r>
      <w:r/>
    </w:p>
    <w:p>
      <w:r/>
      <w:r>
        <w:t xml:space="preserve">Le MOA est propriétaire de l'intégralité des </w:t>
      </w:r>
      <w:r>
        <w:rPr>
          <w:b/>
        </w:rPr>
        <w:t>données, configurations, paramétrages et programmations</w:t>
      </w:r>
      <w:r>
        <w:t xml:space="preserve"> réalisés au titre du marché. Le système doit être </w:t>
      </w:r>
      <w:r>
        <w:rPr>
          <w:b/>
        </w:rPr>
        <w:t>reprenable par tout tiers qualifié</w:t>
      </w:r>
      <w:r>
        <w:t xml:space="preserve"> sans dépendance au titulaire initial (article 7).</w:t>
      </w:r>
      <w:r/>
    </w:p>
    <w:p>
      <w:pPr>
        <w:pStyle w:val="Heading3"/>
      </w:pPr>
      <w:r>
        <w:t>2.4 Architecture en couches</w:t>
      </w:r>
      <w:r/>
    </w:p>
    <w:p>
      <w:r/>
      <w:r>
        <w:t xml:space="preserve">L'architecture sépare les </w:t>
      </w:r>
      <w:r>
        <w:rPr>
          <w:b/>
        </w:rPr>
        <w:t>trois niveaux</w:t>
      </w:r>
      <w:r>
        <w:t xml:space="preserve"> terrain / automation / supervision (article 6.1), de sorte qu'un changement de superviseur n'impose pas le remplacement des équipements de terrain, et inversement.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3 — DOCUMENTS DE RÉFÉRENCE</w:t>
      </w:r>
      <w:r/>
    </w:p>
    <w:p>
      <w:r/>
      <w:r>
        <w:t xml:space="preserve">Le système est conforme aux textes et normes en vigueur </w:t>
      </w:r>
      <w:r>
        <w:rPr>
          <w:b/>
        </w:rPr>
        <w:t>à la date de remise des offres</w:t>
      </w:r>
      <w:r>
        <w:t xml:space="preserve">. Le titulaire vérifie l'édition applicable. Liste indicative (⚠️ </w:t>
      </w:r>
      <w:r>
        <w:rPr>
          <w:b/>
        </w:rPr>
        <w:t>[À VÉRIFIER]</w:t>
      </w:r>
      <w:r>
        <w:t xml:space="preserve"> : éditions et dates à jour — voir §13) :</w:t>
      </w:r>
      <w:r/>
    </w:p>
    <w:p>
      <w:r/>
      <w:r>
        <w:rPr>
          <w:b/>
        </w:rPr>
        <w:t>Réglementation française</w:t>
      </w:r>
      <w:r>
        <w:t xml:space="preserve">- </w:t>
      </w:r>
      <w:r>
        <w:rPr>
          <w:b/>
        </w:rPr>
        <w:t>Décret n° 2020-887 du 20 juillet 2020</w:t>
      </w:r>
      <w:r>
        <w:t xml:space="preserve"> relatif au système d'automatisation et de contrôle des bâtiments (décret « BACS »), </w:t>
      </w:r>
      <w:r>
        <w:rPr>
          <w:b/>
        </w:rPr>
        <w:t>modifié par le décret n° 2023-259 du 7 avril 2023</w:t>
      </w:r>
      <w:r>
        <w:t xml:space="preserve"> (abaissement du seuil à 70 kW). - </w:t>
      </w:r>
      <w:r>
        <w:rPr>
          <w:b/>
        </w:rPr>
        <w:t>Arrêté du 7 avril 2023</w:t>
      </w:r>
      <w:r>
        <w:t xml:space="preserve"> relatif à l'inspection périodique des systèmes d'automatisation et de contrôle. - </w:t>
      </w:r>
      <w:r>
        <w:rPr>
          <w:b/>
        </w:rPr>
        <w:t>Articles R. 175-1 et suivants du Code de la construction et de l'habitation (CCH)</w:t>
      </w:r>
      <w:r>
        <w:t xml:space="preserve"> — fonctions exigées du système (notamment art. R. 175-3). - </w:t>
      </w:r>
      <w:r>
        <w:rPr>
          <w:b/>
        </w:rPr>
        <w:t>Décret n° 2025-1343 du 26 décembre 2025</w:t>
      </w:r>
      <w:r>
        <w:t xml:space="preserve"> (vérifié sur Légifrance, JORFTEXT000053175245) reportant au </w:t>
      </w:r>
      <w:r>
        <w:rPr>
          <w:b/>
        </w:rPr>
        <w:t>1ᵉʳ janvier 2030</w:t>
      </w:r>
      <w:r>
        <w:t xml:space="preserve"> l'échéance d'équipement des bâtiments existants dont la puissance CVC est comprise entre </w:t>
      </w:r>
      <w:r>
        <w:rPr>
          <w:b/>
        </w:rPr>
        <w:t>70 et 290 kW</w:t>
      </w:r>
      <w:r>
        <w:t xml:space="preserve"> (échéance antérieure : 2027). ⚠️ Vérifier la rédaction en vigueur à la date du marché. - &gt; 🔀 OPTION (si bâtiment assujetti au dispositif éco-énergie tertiaire) — </w:t>
      </w:r>
      <w:r>
        <w:rPr>
          <w:b/>
        </w:rPr>
        <w:t>Décret n° 2019-771 du 23 juillet 2019</w:t>
      </w:r>
      <w:r>
        <w:t xml:space="preserve"> (éco-énergie tertiaire / dispositif « décret tertiaire »), plateforme </w:t>
      </w:r>
      <w:r>
        <w:rPr>
          <w:b/>
        </w:rPr>
        <w:t>OPERAT</w:t>
      </w:r>
      <w:r>
        <w:t xml:space="preserve"> (ADEME).</w:t>
      </w:r>
      <w:r/>
    </w:p>
    <w:p>
      <w:r/>
      <w:r>
        <w:rPr>
          <w:b/>
        </w:rPr>
        <w:t>Normes — performance énergétique de la GTB</w:t>
      </w:r>
      <w:r>
        <w:t xml:space="preserve">- </w:t>
      </w:r>
      <w:r>
        <w:rPr>
          <w:b/>
        </w:rPr>
        <w:t>NF EN ISO 52120-1:2022</w:t>
      </w:r>
      <w:r>
        <w:t xml:space="preserve"> « Performance énergétique des bâtiments — Contribution de l'automatisation, de la régulation et de la gestion technique » (</w:t>
      </w:r>
      <w:r>
        <w:rPr>
          <w:b/>
        </w:rPr>
        <w:t>remplace la NF EN 15232-1:2017</w:t>
      </w:r>
      <w:r>
        <w:t xml:space="preserve">). Définit les classes d'efficacité </w:t>
      </w:r>
      <w:r>
        <w:rPr>
          <w:b/>
        </w:rPr>
        <w:t>A / B / C / D</w:t>
      </w:r>
      <w:r>
        <w:t>.</w:t>
      </w:r>
      <w:r/>
    </w:p>
    <w:p>
      <w:r/>
      <w:r>
        <w:rPr>
          <w:b/>
        </w:rPr>
        <w:t>Normes — protocoles et systèmes</w:t>
      </w:r>
      <w:r>
        <w:t xml:space="preserve">- </w:t>
      </w:r>
      <w:r>
        <w:rPr>
          <w:b/>
        </w:rPr>
        <w:t>NF EN ISO 16484-2</w:t>
      </w:r>
      <w:r>
        <w:t xml:space="preserve"> (matériel des systèmes d'automatisation des bâtiments) et </w:t>
      </w:r>
      <w:r>
        <w:rPr>
          <w:b/>
        </w:rPr>
        <w:t>NF EN ISO 16484-5</w:t>
      </w:r>
      <w:r>
        <w:t xml:space="preserve"> (protocole </w:t>
      </w:r>
      <w:r>
        <w:rPr>
          <w:b/>
        </w:rPr>
        <w:t>BACnet</w:t>
      </w:r>
      <w:r>
        <w:t xml:space="preserve">) ; conformité testée selon </w:t>
      </w:r>
      <w:r>
        <w:rPr>
          <w:b/>
        </w:rPr>
        <w:t>ISO 16484-6</w:t>
      </w:r>
      <w:r>
        <w:t xml:space="preserve">. - </w:t>
      </w:r>
      <w:r>
        <w:rPr>
          <w:b/>
        </w:rPr>
        <w:t>ISO/IEC 14543-3</w:t>
      </w:r>
      <w:r>
        <w:t xml:space="preserve"> et </w:t>
      </w:r>
      <w:r>
        <w:rPr>
          <w:b/>
        </w:rPr>
        <w:t>EN 50090</w:t>
      </w:r>
      <w:r>
        <w:t xml:space="preserve"> (protocole </w:t>
      </w:r>
      <w:r>
        <w:rPr>
          <w:b/>
        </w:rPr>
        <w:t>KNX</w:t>
      </w:r>
      <w:r>
        <w:t xml:space="preserve">). - </w:t>
      </w:r>
      <w:r>
        <w:rPr>
          <w:b/>
        </w:rPr>
        <w:t>IEC 62386</w:t>
      </w:r>
      <w:r>
        <w:t xml:space="preserve"> (protocole </w:t>
      </w:r>
      <w:r>
        <w:rPr>
          <w:b/>
        </w:rPr>
        <w:t>DALI</w:t>
      </w:r>
      <w:r>
        <w:t xml:space="preserve"> / DALI-2). - </w:t>
      </w:r>
      <w:r>
        <w:rPr>
          <w:b/>
        </w:rPr>
        <w:t>EN 13757</w:t>
      </w:r>
      <w:r>
        <w:t xml:space="preserve"> (protocole </w:t>
      </w:r>
      <w:r>
        <w:rPr>
          <w:b/>
        </w:rPr>
        <w:t>M-Bus</w:t>
      </w:r>
      <w:r>
        <w:t xml:space="preserve"> filaire et sans fil — comptage). - </w:t>
      </w:r>
      <w:r>
        <w:rPr>
          <w:b/>
        </w:rPr>
        <w:t>ISO/IEC 14908</w:t>
      </w:r>
      <w:r>
        <w:t xml:space="preserve"> (protocole </w:t>
      </w:r>
      <w:r>
        <w:rPr>
          <w:b/>
        </w:rPr>
        <w:t>LON / LonWorks</w:t>
      </w:r>
      <w:r>
        <w:t xml:space="preserve"> — compatibilité existant). - Spécifications </w:t>
      </w:r>
      <w:r>
        <w:rPr>
          <w:b/>
        </w:rPr>
        <w:t>Modbus</w:t>
      </w:r>
      <w:r>
        <w:t xml:space="preserve"> publiées par la Modbus Organization (modbus.org).</w:t>
      </w:r>
      <w:r/>
    </w:p>
    <w:p>
      <w:r/>
      <w:r>
        <w:rPr>
          <w:b/>
        </w:rPr>
        <w:t>Cadre contractuel</w:t>
      </w:r>
      <w:r>
        <w:t xml:space="preserve">- </w:t>
      </w:r>
      <w:r>
        <w:rPr>
          <w:rFonts w:ascii="Courier" w:hAnsi="Courier"/>
        </w:rPr>
        <w:t>[À COMPLÉTER : CCAG applicable]</w:t>
      </w:r>
      <w:r>
        <w:t xml:space="preserve"> — ⚠️ </w:t>
      </w:r>
      <w:r>
        <w:rPr>
          <w:b/>
        </w:rPr>
        <w:t>[À VÉRIFIER]</w:t>
      </w:r>
      <w:r>
        <w:t xml:space="preserve"> : une GTB relève en principe d'un </w:t>
      </w:r>
      <w:r>
        <w:rPr>
          <w:b/>
        </w:rPr>
        <w:t>marché de travaux (CCAG-Travaux)</w:t>
      </w:r>
      <w:r>
        <w:t xml:space="preserve">. Les clauses de réversibilité de l'article 7 sont inspirées de l'article 38 du </w:t>
      </w:r>
      <w:r>
        <w:rPr>
          <w:b/>
        </w:rPr>
        <w:t>CCAG-TIC</w:t>
      </w:r>
      <w:r>
        <w:t xml:space="preserve"> (arrêté du 30 mars 2021) et sont </w:t>
      </w:r>
      <w:r>
        <w:rPr>
          <w:b/>
        </w:rPr>
        <w:t>portées en dur dans le présent CCTP</w:t>
      </w:r>
      <w:r>
        <w:t xml:space="preserve"> pour s'appliquer quel que soit le CCAG visé.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4 — DÉFINITIONS ET ABRÉVIATIONS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GTB / GTC</w:t>
            </w:r>
          </w:p>
        </w:tc>
        <w:tc>
          <w:tcPr>
            <w:tcW w:type="dxa" w:w="4320"/>
          </w:tcPr>
          <w:p>
            <w:r>
              <w:t>Gestion Technique du Bâtiment / Centralisée.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Point de données (data point)</w:t>
            </w:r>
          </w:p>
        </w:tc>
        <w:tc>
          <w:tcPr>
            <w:tcW w:type="dxa" w:w="4320"/>
          </w:tcPr>
          <w:p>
            <w:r>
              <w:t>Variable physique ou logique du système (mesure, consigne, état, commande, alarme).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Table / liste de points</w:t>
            </w:r>
          </w:p>
        </w:tc>
        <w:tc>
          <w:tcPr>
            <w:tcW w:type="dxa" w:w="4320"/>
          </w:tcPr>
          <w:p>
            <w:r>
              <w:t>Inventaire exhaustif et documenté des points de données et de leur adressage.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Passerelle (gateway)</w:t>
            </w:r>
          </w:p>
        </w:tc>
        <w:tc>
          <w:tcPr>
            <w:tcW w:type="dxa" w:w="4320"/>
          </w:tcPr>
          <w:p>
            <w:r>
              <w:t>Équipement traduisant un protocole vers un autre (ex. Modbus → BACnet/IP).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PICS</w:t>
            </w:r>
          </w:p>
        </w:tc>
        <w:tc>
          <w:tcPr>
            <w:tcW w:type="dxa" w:w="4320"/>
          </w:tcPr>
          <w:p>
            <w:r>
              <w:rPr>
                <w:i/>
              </w:rPr>
              <w:t>Protocol Implementation Conformance Statement</w:t>
            </w:r>
            <w:r>
              <w:t xml:space="preserve"> — fiche de conformité BACnet du fabricant.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BIBBs</w:t>
            </w:r>
          </w:p>
        </w:tc>
        <w:tc>
          <w:tcPr>
            <w:tcW w:type="dxa" w:w="4320"/>
          </w:tcPr>
          <w:p>
            <w:r>
              <w:rPr>
                <w:i/>
              </w:rPr>
              <w:t>BACnet Interoperability Building Blocks</w:t>
            </w:r>
            <w:r>
              <w:t xml:space="preserve"> — briques d'interopérabilité BACnet.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BTL</w:t>
            </w:r>
          </w:p>
        </w:tc>
        <w:tc>
          <w:tcPr>
            <w:tcW w:type="dxa" w:w="4320"/>
          </w:tcPr>
          <w:p>
            <w:r>
              <w:rPr>
                <w:i/>
              </w:rPr>
              <w:t>BACnet Testing Laboratories</w:t>
            </w:r>
            <w:r>
              <w:t xml:space="preserve"> — laboratoire et marque de certification de conformité BACnet.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DPT</w:t>
            </w:r>
          </w:p>
        </w:tc>
        <w:tc>
          <w:tcPr>
            <w:tcW w:type="dxa" w:w="4320"/>
          </w:tcPr>
          <w:p>
            <w:r>
              <w:rPr>
                <w:i/>
              </w:rPr>
              <w:t>Datapoint Type</w:t>
            </w:r>
            <w:r>
              <w:t xml:space="preserve"> — type de point normalisé KNX.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TCO</w:t>
            </w:r>
          </w:p>
        </w:tc>
        <w:tc>
          <w:tcPr>
            <w:tcW w:type="dxa" w:w="4320"/>
          </w:tcPr>
          <w:p>
            <w:r>
              <w:rPr>
                <w:i/>
              </w:rPr>
              <w:t>Total Cost of Ownership</w:t>
            </w:r>
            <w:r>
              <w:t xml:space="preserve"> — coût global de possession.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DOE</w:t>
            </w:r>
          </w:p>
        </w:tc>
        <w:tc>
          <w:tcPr>
            <w:tcW w:type="dxa" w:w="4320"/>
          </w:tcPr>
          <w:p>
            <w:r>
              <w:t>Dossier des Ouvrages Exécutés.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FDD</w:t>
            </w:r>
          </w:p>
        </w:tc>
        <w:tc>
          <w:tcPr>
            <w:tcW w:type="dxa" w:w="4320"/>
          </w:tcPr>
          <w:p>
            <w:r>
              <w:rPr>
                <w:i/>
              </w:rPr>
              <w:t>Fault Detection &amp; Diagnostics</w:t>
            </w:r>
            <w:r>
              <w:t xml:space="preserve"> — détection et diagnostic de défauts.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5 — EXPRESSION DU BESOIN FONCTIONNEL</w:t>
      </w:r>
      <w:r/>
    </w:p>
    <w:p>
      <w:pPr>
        <w:pStyle w:val="Heading3"/>
      </w:pPr>
      <w:r>
        <w:t>5.1 Fonctions générales attendues</w:t>
      </w:r>
      <w:r/>
    </w:p>
    <w:p>
      <w:r/>
      <w:r>
        <w:t>Le système doit assurer les fonctions suivantes (formulées en exigences) 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Acquisition</w:t>
      </w:r>
      <w:r>
        <w:t xml:space="preserve"> des mesures et états de l'ensemble des installations techniques du périmètre.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Régulation et pilotage</w:t>
      </w:r>
      <w:r>
        <w:t xml:space="preserve"> automatiques, avec programmation horaire, calendaire et par zone fonctionnelle.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Suivi, enregistrement et analyse en continu</w:t>
      </w:r>
      <w:r>
        <w:t xml:space="preserve"> des consommations et productions énergétiques, </w:t>
      </w:r>
      <w:r>
        <w:rPr>
          <w:b/>
        </w:rPr>
        <w:t>par usage et par zone</w:t>
      </w:r>
      <w:r>
        <w:t xml:space="preserve">, à un </w:t>
      </w:r>
      <w:r>
        <w:rPr>
          <w:b/>
        </w:rPr>
        <w:t>pas de temps au moins horaire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Historisation</w:t>
      </w:r>
      <w:r>
        <w:t xml:space="preserve"> des données et </w:t>
      </w:r>
      <w:r>
        <w:rPr>
          <w:b/>
        </w:rPr>
        <w:t>conservation</w:t>
      </w:r>
      <w:r>
        <w:t xml:space="preserve"> sur une durée permettant le suivi pluriannuel (voir §5.4 pour l'exigence réglementaire BACS).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Comparaison à des valeurs de référence</w:t>
      </w:r>
      <w:r>
        <w:t xml:space="preserve"> (benchmarking) et </w:t>
      </w:r>
      <w:r>
        <w:rPr>
          <w:b/>
        </w:rPr>
        <w:t>détection des dérives / pertes d'efficacité</w:t>
      </w:r>
      <w:r>
        <w:t xml:space="preserve"> des systèmes techniques, avec information de l'exploitant sur les améliorations possibles.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Gestion des alarmes</w:t>
      </w:r>
      <w:r>
        <w:t xml:space="preserve"> (hiérarchisées, horodatées, acquittables) et notification.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Tableaux de bord</w:t>
      </w:r>
      <w:r>
        <w:t xml:space="preserve"> et restitution exploitable (synoptiques, courbes de tendance, rapports).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Arrêt manuel et gestion autonome</w:t>
      </w:r>
      <w:r>
        <w:t xml:space="preserve"> d'un ou plusieurs systèmes techniques.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Accès aux données par le MOA</w:t>
      </w:r>
      <w:r>
        <w:t>, qui en est propriétaire, et mise à disposition du gestionnaire.</w:t>
      </w:r>
      <w:r/>
      <w:r/>
    </w:p>
    <w:p>
      <w:pPr>
        <w:pStyle w:val="Heading3"/>
      </w:pPr>
      <w:r>
        <w:t>5.2 Fonctions par lot</w:t>
      </w:r>
      <w:r/>
    </w:p>
    <w:p>
      <w:pPr>
        <w:pStyle w:val="Heading4"/>
      </w:pPr>
      <w:r>
        <w:t>5.2.1 CVC</w:t>
      </w:r>
      <w:r/>
    </w:p>
    <w:p>
      <w:r/>
      <w:r>
        <w:rPr>
          <w:rFonts w:ascii="Courier" w:hAnsi="Courier"/>
        </w:rPr>
        <w:t>[À COMPLÉTER : installations réelles]</w:t>
      </w:r>
      <w:r>
        <w:t xml:space="preserve"> — exigences types : - Régulation des productions (chaud / froid) et de la distribution (loi d'eau, pompes à débit variable, optimisation départ/arrêt). - Pilotage des centrales de traitement d'air (CTA) : débits, registres, récupération, free-cooling, qualité d'air (CO₂) si applicable. - Régulation terminale </w:t>
      </w:r>
      <w:r>
        <w:rPr>
          <w:b/>
        </w:rPr>
        <w:t>par zone</w:t>
      </w:r>
      <w:r>
        <w:t xml:space="preserve"> (température, occupation, réduit/relance). - Délestage / optimisation de la puissance appelée si requis. - Comptage de l'énergie thermique (voir §5.2.3).</w:t>
      </w:r>
      <w:r/>
    </w:p>
    <w:p>
      <w:pPr>
        <w:pStyle w:val="Heading4"/>
      </w:pPr>
      <w:r>
        <w:t>5.2.2 Éclairage (DALI)</w:t>
      </w:r>
      <w:r/>
      <w:r/>
    </w:p>
    <w:p>
      <w:pPr>
        <w:pStyle w:val="ListBullet"/>
        <w:spacing w:line="240" w:lineRule="auto"/>
        <w:ind w:left="720"/>
      </w:pPr>
      <w:r/>
      <w:r>
        <w:t>Adressage individuel des luminaires / drivers, gradation, scènes, groupes.</w:t>
      </w:r>
      <w:r/>
    </w:p>
    <w:p>
      <w:pPr>
        <w:pStyle w:val="ListBullet"/>
        <w:spacing w:line="240" w:lineRule="auto"/>
        <w:ind w:left="720"/>
      </w:pPr>
      <w:r/>
      <w:r>
        <w:t xml:space="preserve">Détection de </w:t>
      </w:r>
      <w:r>
        <w:rPr>
          <w:b/>
        </w:rPr>
        <w:t>présence</w:t>
      </w:r>
      <w:r>
        <w:t xml:space="preserve"> et de </w:t>
      </w:r>
      <w:r>
        <w:rPr>
          <w:b/>
        </w:rPr>
        <w:t>luminosité</w:t>
      </w:r>
      <w:r>
        <w:t xml:space="preserve"> (gradation en fonction de l'apport de lumière naturelle — </w:t>
      </w:r>
      <w:r>
        <w:rPr>
          <w:i/>
        </w:rPr>
        <w:t>daylight harvesting</w:t>
      </w:r>
      <w:r>
        <w:t>), temporisations.</w:t>
      </w:r>
      <w:r/>
    </w:p>
    <w:p>
      <w:pPr>
        <w:pStyle w:val="ListBullet"/>
        <w:spacing w:line="240" w:lineRule="auto"/>
        <w:ind w:left="720"/>
      </w:pPr>
      <w:r/>
      <w:r>
        <w:t>Gestion des zones, des horaires et des dérogations locales.</w:t>
      </w:r>
      <w:r/>
    </w:p>
    <w:p>
      <w:pPr>
        <w:pStyle w:val="ListBullet"/>
        <w:spacing w:line="240" w:lineRule="auto"/>
        <w:ind w:left="720"/>
      </w:pPr>
      <w:r/>
      <w:r>
        <w:t xml:space="preserve">Remontée des </w:t>
      </w:r>
      <w:r>
        <w:rPr>
          <w:b/>
        </w:rPr>
        <w:t>états et défauts</w:t>
      </w:r>
      <w:r>
        <w:t xml:space="preserve"> des luminaires vers la supervision.</w:t>
      </w:r>
      <w:r/>
    </w:p>
    <w:p>
      <w:pPr>
        <w:pStyle w:val="ListBullet"/>
        <w:spacing w:line="240" w:lineRule="auto"/>
        <w:ind w:left="720"/>
      </w:pPr>
      <w:r/>
      <w:r/>
      <w:r/>
    </w:p>
    <w:p>
      <w:r/>
      <w:r>
        <w:t>🔀 OPTION — gestion de l'</w:t>
      </w:r>
      <w:r>
        <w:rPr>
          <w:b/>
        </w:rPr>
        <w:t>éclairage de sécurité</w:t>
      </w:r>
      <w:r>
        <w:t xml:space="preserve"> et/ou </w:t>
      </w:r>
      <w:r>
        <w:rPr>
          <w:b/>
        </w:rPr>
        <w:t>tunable white / couleur</w:t>
      </w:r>
      <w:r>
        <w:t xml:space="preserve"> (DALI device types correspondants).</w:t>
      </w:r>
      <w:r/>
      <w:r/>
      <w:r/>
      <w:r/>
    </w:p>
    <w:p>
      <w:pPr>
        <w:pStyle w:val="Heading4"/>
      </w:pPr>
      <w:r>
        <w:t>5.2.3 Comptage et sous-comptage énergie</w:t>
      </w:r>
      <w:r/>
      <w:r/>
    </w:p>
    <w:p>
      <w:pPr>
        <w:pStyle w:val="ListBullet"/>
        <w:spacing w:line="240" w:lineRule="auto"/>
        <w:ind w:left="720"/>
      </w:pPr>
      <w:r/>
      <w:r>
        <w:t xml:space="preserve">Comptage général et </w:t>
      </w:r>
      <w:r>
        <w:rPr>
          <w:b/>
        </w:rPr>
        <w:t>sous-comptage par usage</w:t>
      </w:r>
      <w:r>
        <w:t xml:space="preserve"> (CVC, éclairage, prises, process le cas échéant) et </w:t>
      </w:r>
      <w:r>
        <w:rPr>
          <w:b/>
        </w:rPr>
        <w:t>par zone / par locataire</w:t>
      </w:r>
      <w:r>
        <w:t xml:space="preserve"> si applicable.</w:t>
      </w:r>
      <w:r/>
    </w:p>
    <w:p>
      <w:pPr>
        <w:pStyle w:val="ListBullet"/>
        <w:spacing w:line="240" w:lineRule="auto"/>
        <w:ind w:left="720"/>
      </w:pPr>
      <w:r/>
      <w:r>
        <w:t>Remontée des index, puissances, et grandeurs électriques / thermiques / fluides.</w:t>
      </w:r>
      <w:r/>
    </w:p>
    <w:p>
      <w:pPr>
        <w:pStyle w:val="ListBullet"/>
        <w:spacing w:line="240" w:lineRule="auto"/>
        <w:ind w:left="720"/>
      </w:pPr>
      <w:r/>
      <w:r>
        <w:t>Horodatage, historisation, agrégation par usage pour le suivi réglementaire.</w:t>
      </w:r>
      <w:r/>
    </w:p>
    <w:p>
      <w:pPr>
        <w:pStyle w:val="ListBullet"/>
        <w:spacing w:line="240" w:lineRule="auto"/>
        <w:ind w:left="720"/>
      </w:pPr>
      <w:r/>
      <w:r/>
      <w:r/>
    </w:p>
    <w:p>
      <w:r/>
      <w:r>
        <w:t xml:space="preserve">🔀 OPTION (décret tertiaire) — distinction des consommations relevant des activités tertiaires et </w:t>
      </w:r>
      <w:r>
        <w:rPr>
          <w:b/>
        </w:rPr>
        <w:t>export vers OPERAT</w:t>
      </w:r>
      <w:r>
        <w:t xml:space="preserve"> ; structuration des compteurs/sous-comptages permettant cette distinction.</w:t>
      </w:r>
      <w:r/>
      <w:r/>
      <w:r/>
      <w:r/>
    </w:p>
    <w:p>
      <w:pPr>
        <w:pStyle w:val="Heading4"/>
      </w:pPr>
      <w:r>
        <w:t>5.2.4 Supervision / poste central</w:t>
      </w:r>
      <w:r/>
      <w:r/>
    </w:p>
    <w:p>
      <w:pPr>
        <w:pStyle w:val="ListBullet"/>
        <w:spacing w:line="240" w:lineRule="auto"/>
        <w:ind w:left="720"/>
      </w:pPr>
      <w:r/>
      <w:r>
        <w:t xml:space="preserve">Superviseur centralisant l'ensemble des lots, </w:t>
      </w:r>
      <w:r>
        <w:rPr>
          <w:b/>
        </w:rPr>
        <w:t>indépendant des marques des équipements de terrain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IHM ergonomique : synoptiques, navigation par zone, gestion des droits utilisateurs.</w:t>
      </w:r>
      <w:r/>
    </w:p>
    <w:p>
      <w:pPr>
        <w:pStyle w:val="ListBullet"/>
        <w:spacing w:line="240" w:lineRule="auto"/>
        <w:ind w:left="720"/>
      </w:pPr>
      <w:r/>
      <w:r>
        <w:t xml:space="preserve">Historisation, courbes de tendance, </w:t>
      </w:r>
      <w:r>
        <w:rPr>
          <w:b/>
        </w:rPr>
        <w:t>export des données aux formats ouverts</w:t>
      </w:r>
      <w:r>
        <w:t xml:space="preserve"> (CSV, JSON…) et </w:t>
      </w:r>
      <w:r>
        <w:rPr>
          <w:b/>
        </w:rPr>
        <w:t>API documentée</w:t>
      </w:r>
      <w:r>
        <w:t xml:space="preserve"> (voir §6 et §7).</w:t>
      </w:r>
      <w:r/>
    </w:p>
    <w:p>
      <w:pPr>
        <w:pStyle w:val="ListBullet"/>
        <w:spacing w:line="240" w:lineRule="auto"/>
        <w:ind w:left="720"/>
      </w:pPr>
      <w:r/>
      <w:r>
        <w:t>Gestion centralisée des alarmes, rapports automatiques, tableaux de bord énergétiques.</w:t>
      </w:r>
      <w:r/>
    </w:p>
    <w:p>
      <w:pPr>
        <w:pStyle w:val="ListBullet"/>
        <w:spacing w:line="240" w:lineRule="auto"/>
        <w:ind w:left="720"/>
      </w:pPr>
      <w:r/>
      <w:r/>
      <w:r/>
    </w:p>
    <w:p>
      <w:r/>
      <w:r>
        <w:t>🔀 OPTION (patrimoine multi-sites) — supervision multi-bâtiments homogène, agrégation de parc, accès distant sécurisé.</w:t>
      </w:r>
      <w:r/>
      <w:r/>
      <w:r/>
      <w:r/>
    </w:p>
    <w:p>
      <w:pPr>
        <w:pStyle w:val="Heading3"/>
      </w:pPr>
      <w:r>
        <w:t>5.3 Niveau de performance énergétique (NF EN ISO 52120-1:2022)</w:t>
      </w:r>
      <w:r/>
    </w:p>
    <w:p>
      <w:r/>
      <w:r>
        <w:t xml:space="preserve">La GTB doit atteindre </w:t>
      </w:r>
      <w:r>
        <w:rPr>
          <w:b/>
        </w:rPr>
        <w:t>a minima la classe</w:t>
      </w:r>
      <w:r>
        <w:t xml:space="preserve"> </w:t>
      </w:r>
      <w:r>
        <w:rPr>
          <w:rFonts w:ascii="Courier" w:hAnsi="Courier"/>
        </w:rPr>
        <w:t>[À COMPLÉTER : B (par défaut) ou A]</w:t>
      </w:r>
      <w:r>
        <w:t xml:space="preserve"> au sens de la </w:t>
      </w:r>
      <w:r>
        <w:rPr>
          <w:b/>
        </w:rPr>
        <w:t>NF EN ISO 52120-1:2022</w:t>
      </w:r>
      <w:r>
        <w:t xml:space="preserve">, </w:t>
      </w:r>
      <w:r>
        <w:rPr>
          <w:b/>
        </w:rPr>
        <w:t>justifiée fonction par fonction</w:t>
      </w:r>
      <w:r>
        <w:t xml:space="preserve"> (CVC, éclairage, ECS, stores…) à l'aide de la grille fonctionnelle de la norme, et non par une simple affirmation globale.</w:t>
      </w:r>
      <w:r/>
      <w:r/>
    </w:p>
    <w:p>
      <w:r/>
      <w:r>
        <w:rPr>
          <w:b/>
        </w:rPr>
        <w:t>Note de rédaction (zéro sur-affirmation)</w:t>
      </w:r>
      <w:r>
        <w:t xml:space="preserve"> : la classe globale d'un bâtiment correspond à la </w:t>
      </w:r>
      <w:r>
        <w:rPr>
          <w:b/>
        </w:rPr>
        <w:t>classe la plus faible</w:t>
      </w:r>
      <w:r>
        <w:t xml:space="preserve"> atteinte parmi les fonctions installées. Viser « classe B globale » impose donc que </w:t>
      </w:r>
      <w:r>
        <w:rPr>
          <w:b/>
        </w:rPr>
        <w:t>toutes</w:t>
      </w:r>
      <w:r>
        <w:t xml:space="preserve"> les fonctions applicables atteignent au moins B.</w:t>
      </w:r>
      <w:r/>
      <w:r/>
    </w:p>
    <w:p>
      <w:pPr>
        <w:pStyle w:val="Heading3"/>
      </w:pPr>
      <w:r>
        <w:t>5.4 Conformité réglementaire</w:t>
      </w:r>
      <w:r/>
      <w:r/>
    </w:p>
    <w:p>
      <w:r/>
      <w:r>
        <w:t>🔀 OPTION — BÂTIMENT ASSUJETTI AU DÉCRET BACS (à conserver si le bâtiment dépasse les seuils — voir §13) :</w:t>
      </w:r>
      <w:r/>
    </w:p>
    <w:p>
      <w:r/>
      <w:r>
        <w:t xml:space="preserve">Le système constitue un système d'automatisation et de contrôle au sens du </w:t>
      </w:r>
      <w:r>
        <w:rPr>
          <w:b/>
        </w:rPr>
        <w:t>décret BACS</w:t>
      </w:r>
      <w:r>
        <w:t xml:space="preserve"> et assure les fonctions de l'</w:t>
      </w:r>
      <w:r>
        <w:rPr>
          <w:b/>
        </w:rPr>
        <w:t>article R. 175-3 du CCH</w:t>
      </w:r>
      <w:r>
        <w:t xml:space="preserve">, notamment : - </w:t>
      </w:r>
      <w:r>
        <w:rPr>
          <w:b/>
        </w:rPr>
        <w:t>suivre, enregistrer et analyser en continu</w:t>
      </w:r>
      <w:r>
        <w:t xml:space="preserve">, par zone fonctionnelle et </w:t>
      </w:r>
      <w:r>
        <w:rPr>
          <w:b/>
        </w:rPr>
        <w:t>à un pas de temps horaire</w:t>
      </w:r>
      <w:r>
        <w:t xml:space="preserve">, les données de production et de consommation énergétique, et </w:t>
      </w:r>
      <w:r>
        <w:rPr>
          <w:b/>
        </w:rPr>
        <w:t>ajuster</w:t>
      </w:r>
      <w:r>
        <w:t xml:space="preserve"> les systèmes techniques en conséquence ; - </w:t>
      </w:r>
      <w:r>
        <w:rPr>
          <w:b/>
        </w:rPr>
        <w:t>conserver</w:t>
      </w:r>
      <w:r>
        <w:t xml:space="preserve"> ces données (à l'échelle mensuelle) pendant </w:t>
      </w:r>
      <w:r>
        <w:rPr>
          <w:b/>
        </w:rPr>
        <w:t>cinq (5) ans</w:t>
      </w:r>
      <w:r>
        <w:t xml:space="preserve"> ; - </w:t>
      </w:r>
      <w:r>
        <w:rPr>
          <w:b/>
        </w:rPr>
        <w:t>situer l'efficacité énergétique</w:t>
      </w:r>
      <w:r>
        <w:t xml:space="preserve"> du bâtiment par rapport à des </w:t>
      </w:r>
      <w:r>
        <w:rPr>
          <w:b/>
        </w:rPr>
        <w:t>valeurs de référence</w:t>
      </w:r>
      <w:r>
        <w:t xml:space="preserve"> ; - </w:t>
      </w:r>
      <w:r>
        <w:rPr>
          <w:b/>
        </w:rPr>
        <w:t>détecter les pertes d'efficacité</w:t>
      </w:r>
      <w:r>
        <w:t xml:space="preserve"> et </w:t>
      </w:r>
      <w:r>
        <w:rPr>
          <w:b/>
        </w:rPr>
        <w:t>informer l'exploitant</w:t>
      </w:r>
      <w:r>
        <w:t xml:space="preserve"> des possibilités d'amélioration ; - être </w:t>
      </w:r>
      <w:r>
        <w:rPr>
          <w:b/>
        </w:rPr>
        <w:t>interopérable</w:t>
      </w:r>
      <w:r>
        <w:t xml:space="preserve"> avec les différents systèmes techniques ; - </w:t>
      </w:r>
      <w:r>
        <w:rPr>
          <w:b/>
        </w:rPr>
        <w:t>permettre l'arrêt manuel et la gestion autonome</w:t>
      </w:r>
      <w:r>
        <w:t xml:space="preserve"> des systèmes ; - </w:t>
      </w:r>
      <w:r>
        <w:rPr>
          <w:b/>
        </w:rPr>
        <w:t>rendre les données accessibles</w:t>
      </w:r>
      <w:r>
        <w:t xml:space="preserve"> au propriétaire (qui en a la propriété) et au gestionnaire.</w:t>
      </w:r>
      <w:r/>
    </w:p>
    <w:p>
      <w:r/>
      <w:r>
        <w:t xml:space="preserve">Le système est </w:t>
      </w:r>
      <w:r>
        <w:rPr>
          <w:b/>
        </w:rPr>
        <w:t>inspectable</w:t>
      </w:r>
      <w:r>
        <w:t xml:space="preserve"> : il permet la vérification documentaire et fonctionnelle prévue par l'arrêté du 7 avril 2023.</w:t>
      </w:r>
      <w:r/>
    </w:p>
    <w:p>
      <w:r/>
      <w:r>
        <w:t xml:space="preserve">⚠️ </w:t>
      </w:r>
      <w:r>
        <w:rPr>
          <w:b/>
        </w:rPr>
        <w:t>[À VÉRIFIER]</w:t>
      </w:r>
      <w:r>
        <w:t xml:space="preserve"> — Échéances d'équipement selon la puissance nominale utile des systèmes de CVC : </w:t>
      </w:r>
      <w:r>
        <w:rPr>
          <w:b/>
        </w:rPr>
        <w:t>&gt; 290 kW → 1ᵉʳ janvier 2025</w:t>
      </w:r>
      <w:r>
        <w:t xml:space="preserve"> ; </w:t>
      </w:r>
      <w:r>
        <w:rPr>
          <w:b/>
        </w:rPr>
        <w:t>70–290 kW → 1ᵉʳ janvier 2030</w:t>
      </w:r>
      <w:r>
        <w:t xml:space="preserve"> (report introduit par le décret n° 2025-1343, anciennement 2027). </w:t>
      </w:r>
      <w:r>
        <w:rPr>
          <w:b/>
        </w:rPr>
        <w:t>Confirmer sur Légifrance</w:t>
      </w:r>
      <w:r>
        <w:t xml:space="preserve"> la rédaction en vigueur à la date du marché.</w:t>
      </w:r>
      <w:r/>
    </w:p>
    <w:p>
      <w:r/>
      <w:r>
        <w:t>🔀 OPTION — BÂTIMENT ASSUJETTI AU DÉCRET TERTIAIRE : le système contribue à l'atteinte des objectifs de réduction des consommations (</w:t>
      </w:r>
      <w:r>
        <w:rPr>
          <w:b/>
        </w:rPr>
        <w:t>-40 % en 2030, -50 % en 2040, -60 % en 2050</w:t>
      </w:r>
      <w:r>
        <w:t xml:space="preserve"> par rapport à une année de référence pleine ≥ 2010, ou niveau de consommation absolu par usage) et permet le </w:t>
      </w:r>
      <w:r>
        <w:rPr>
          <w:b/>
        </w:rPr>
        <w:t>sous-comptage</w:t>
      </w:r>
      <w:r>
        <w:t xml:space="preserve"> et la </w:t>
      </w:r>
      <w:r>
        <w:rPr>
          <w:b/>
        </w:rPr>
        <w:t>déclaration annuelle OPERAT</w:t>
      </w:r>
      <w:r>
        <w:t>.</w:t>
      </w:r>
      <w:r/>
    </w:p>
    <w:p>
      <w:r/>
      <w:r>
        <w:rPr>
          <w:b/>
        </w:rPr>
        <w:t>Avertissement</w:t>
      </w:r>
      <w:r>
        <w:t xml:space="preserve"> : le présent CCTP ne fixe </w:t>
      </w:r>
      <w:r>
        <w:rPr>
          <w:b/>
        </w:rPr>
        <w:t>aucune sanction</w:t>
      </w:r>
      <w:r>
        <w:t xml:space="preserve"> au titre du décret BACS — l'existence d'un régime de sanction propre au BACS n'est pas confirmée. Ne pas insérer de montant de pénalité réglementaire sans vérification.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6 — EXIGENCES D'INTEROPÉRABILITÉ ET DE PROTOCOLES</w:t>
      </w:r>
      <w:r/>
    </w:p>
    <w:p>
      <w:pPr>
        <w:pStyle w:val="Heading3"/>
      </w:pPr>
      <w:r>
        <w:t>6.1 Architecture en trois niveaux</w:t>
      </w:r>
      <w:r/>
    </w:p>
    <w:p>
      <w:r/>
      <w:r>
        <w:t>Le système est organisé selon trois niveaux ; les exigences sont spécifiées par niveau 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Protocoles attendus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Terrain</w:t>
            </w:r>
          </w:p>
        </w:tc>
        <w:tc>
          <w:tcPr>
            <w:tcW w:type="dxa" w:w="2880"/>
          </w:tcPr>
          <w:p>
            <w:r>
              <w:t>Capteurs, actionneurs, luminaires, compteurs, contrôleurs terminaux</w:t>
            </w:r>
          </w:p>
        </w:tc>
        <w:tc>
          <w:tcPr>
            <w:tcW w:type="dxa" w:w="2880"/>
          </w:tcPr>
          <w:p>
            <w:r>
              <w:t>KNX, DALI, M-Bus, Modbus RTU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2880"/>
          </w:tcPr>
          <w:p>
            <w:r>
              <w:t>Automates / régulateurs (DDC) des procédés primaires</w:t>
            </w:r>
          </w:p>
        </w:tc>
        <w:tc>
          <w:tcPr>
            <w:tcW w:type="dxa" w:w="2880"/>
          </w:tcPr>
          <w:p>
            <w:r>
              <w:t>BACnet, (LON existant)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Supervision</w:t>
            </w:r>
          </w:p>
        </w:tc>
        <w:tc>
          <w:tcPr>
            <w:tcW w:type="dxa" w:w="2880"/>
          </w:tcPr>
          <w:p>
            <w:r>
              <w:t>Superviseur, serveur, IHM, tableaux de bord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BACnet/IP</w:t>
            </w:r>
            <w:r>
              <w:t xml:space="preserve"> (ou BACnet/SC), OPC UA, Modbus TCP</w:t>
            </w:r>
          </w:p>
        </w:tc>
      </w:tr>
    </w:tbl>
    <w:p>
      <w:r/>
    </w:p>
    <w:p>
      <w:r/>
      <w:r>
        <w:t xml:space="preserve">Le </w:t>
      </w:r>
      <w:r>
        <w:rPr>
          <w:b/>
        </w:rPr>
        <w:t>backbone d'intégration et de supervision</w:t>
      </w:r>
      <w:r>
        <w:t xml:space="preserve"> est constitué d'un protocole ouvert standard de niveau supervision (</w:t>
      </w:r>
      <w:r>
        <w:rPr>
          <w:b/>
        </w:rPr>
        <w:t>BACnet/IP</w:t>
      </w:r>
      <w:r>
        <w:t xml:space="preserve"> par défaut) ; les bus de terrain spécialisés (DALI, KNX, M-Bus, Modbus) remontent via des </w:t>
      </w:r>
      <w:r>
        <w:rPr>
          <w:b/>
        </w:rPr>
        <w:t>passerelles documentées</w:t>
      </w:r>
      <w:r>
        <w:t xml:space="preserve"> (§6.4).</w:t>
      </w:r>
      <w:r/>
    </w:p>
    <w:p>
      <w:pPr>
        <w:pStyle w:val="Heading3"/>
      </w:pPr>
      <w:r>
        <w:t>6.2 Exigences par protocole</w:t>
      </w:r>
      <w:r/>
    </w:p>
    <w:p>
      <w:r/>
      <w:r>
        <w:t xml:space="preserve">Le candidat précise pour </w:t>
      </w:r>
      <w:r>
        <w:rPr>
          <w:b/>
        </w:rPr>
        <w:t>chaque équipement</w:t>
      </w:r>
      <w:r>
        <w:t xml:space="preserve"> le ou les protocoles supportés et fournit les preuves de conformité demandées.</w:t>
      </w:r>
      <w:r/>
    </w:p>
    <w:p>
      <w:pPr>
        <w:pStyle w:val="Heading4"/>
      </w:pPr>
      <w:r>
        <w:t>6.2.1 BACnet (supervision / automation)</w:t>
      </w:r>
      <w:r/>
      <w:r/>
    </w:p>
    <w:p>
      <w:pPr>
        <w:pStyle w:val="ListBullet"/>
        <w:spacing w:line="240" w:lineRule="auto"/>
        <w:ind w:left="720"/>
      </w:pPr>
      <w:r/>
      <w:r>
        <w:t xml:space="preserve">Conformité à </w:t>
      </w:r>
      <w:r>
        <w:rPr>
          <w:b/>
        </w:rPr>
        <w:t>ISO 16484-5</w:t>
      </w:r>
      <w:r>
        <w:t xml:space="preserve"> [préciser l'édition retenue : </w:t>
      </w:r>
      <w:r>
        <w:rPr>
          <w:rFonts w:ascii="Courier" w:hAnsi="Courier"/>
        </w:rPr>
        <w:t>[À COMPLÉTER]</w:t>
      </w:r>
      <w:r>
        <w:t>].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Profil d'appareil par rôle</w:t>
      </w:r>
      <w:r>
        <w:t xml:space="preserve"> (Annexe L) : automate de tête </w:t>
      </w:r>
      <w:r>
        <w:rPr>
          <w:b/>
        </w:rPr>
        <w:t>B-BC</w:t>
      </w:r>
      <w:r>
        <w:t xml:space="preserve">, contrôleur terminal </w:t>
      </w:r>
      <w:r>
        <w:rPr>
          <w:b/>
        </w:rPr>
        <w:t>B-ASC/B-AAC</w:t>
      </w:r>
      <w:r>
        <w:t xml:space="preserve">, poste de supervision </w:t>
      </w:r>
      <w:r>
        <w:rPr>
          <w:b/>
        </w:rPr>
        <w:t>B-OWS/B-AWS</w:t>
      </w:r>
      <w:r>
        <w:t xml:space="preserve"> (ou équivalent).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Liste de BIBBs minimaux</w:t>
      </w:r>
      <w:r>
        <w:t xml:space="preserve"> par domaine : partage de données (DS), alarmes &amp; événements (AE), programmation horaire (SCHED), historisation (T), gestion d'équipement (DM), gestion réseau (NM).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Certification BTL</w:t>
      </w:r>
      <w:r>
        <w:t xml:space="preserve"> : équipements </w:t>
      </w:r>
      <w:r>
        <w:rPr>
          <w:b/>
        </w:rPr>
        <w:t>BTL Listed</w:t>
      </w:r>
      <w:r>
        <w:t xml:space="preserve"> ; le titulaire </w:t>
      </w:r>
      <w:r>
        <w:rPr>
          <w:b/>
        </w:rPr>
        <w:t>fournit la PICS</w:t>
      </w:r>
      <w:r>
        <w:t xml:space="preserve"> de chaque équipement BACnet pour vérification.</w:t>
      </w:r>
      <w:r/>
    </w:p>
    <w:p>
      <w:pPr>
        <w:pStyle w:val="ListBullet"/>
        <w:spacing w:line="240" w:lineRule="auto"/>
        <w:ind w:left="720"/>
      </w:pPr>
      <w:r/>
      <w:r>
        <w:t xml:space="preserve">Transports : </w:t>
      </w:r>
      <w:r>
        <w:rPr>
          <w:b/>
        </w:rPr>
        <w:t>BACnet/IP</w:t>
      </w:r>
      <w:r>
        <w:t xml:space="preserve"> et/ou </w:t>
      </w:r>
      <w:r>
        <w:rPr>
          <w:b/>
        </w:rPr>
        <w:t>BACnet MS/TP</w:t>
      </w:r>
      <w:r>
        <w:t xml:space="preserve"> (RS-485). </w:t>
      </w:r>
      <w:r/>
    </w:p>
    <w:p>
      <w:pPr>
        <w:pStyle w:val="ListBullet"/>
        <w:spacing w:line="240" w:lineRule="auto"/>
        <w:ind w:left="720"/>
      </w:pPr>
      <w:r/>
      <w:r/>
      <w:r/>
    </w:p>
    <w:p>
      <w:r/>
      <w:r>
        <w:t xml:space="preserve">🔀 OPTION CYBERSÉCURITÉ — exiger </w:t>
      </w:r>
      <w:r>
        <w:rPr>
          <w:b/>
        </w:rPr>
        <w:t>BACnet/SC (Secure Connect)</w:t>
      </w:r>
      <w:r>
        <w:t xml:space="preserve"> (WebSocket + TLS) sur le backbone IP.</w:t>
      </w:r>
      <w:r/>
      <w:r/>
      <w:r/>
      <w:r/>
    </w:p>
    <w:p>
      <w:pPr>
        <w:pStyle w:val="Heading4"/>
      </w:pPr>
      <w:r>
        <w:t>6.2.2 KNX (terrain — éclairage, CVC terminal, stores)</w:t>
      </w:r>
      <w:r/>
      <w:r/>
    </w:p>
    <w:p>
      <w:pPr>
        <w:pStyle w:val="ListBullet"/>
        <w:spacing w:line="240" w:lineRule="auto"/>
        <w:ind w:left="720"/>
      </w:pPr>
      <w:r/>
      <w:r>
        <w:t xml:space="preserve">Produits </w:t>
      </w:r>
      <w:r>
        <w:rPr>
          <w:b/>
        </w:rPr>
        <w:t>« certifiés KNX »</w:t>
      </w:r>
      <w:r>
        <w:t xml:space="preserve"> (marque KNX, test en laboratoire tiers accrédité), conformes </w:t>
      </w:r>
      <w:r>
        <w:rPr>
          <w:b/>
        </w:rPr>
        <w:t>ISO/IEC 14543-3</w:t>
      </w:r>
      <w:r>
        <w:t xml:space="preserve"> et </w:t>
      </w:r>
      <w:r>
        <w:rPr>
          <w:b/>
        </w:rPr>
        <w:t>EN 50090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Paramétrables via </w:t>
      </w:r>
      <w:r>
        <w:rPr>
          <w:b/>
        </w:rPr>
        <w:t>ETS</w:t>
      </w:r>
      <w:r>
        <w:t xml:space="preserve"> ; fichiers produit (</w:t>
      </w:r>
      <w:r>
        <w:rPr>
          <w:rFonts w:ascii="Courier" w:hAnsi="Courier"/>
        </w:rPr>
        <w:t>.knxprod</w:t>
      </w:r>
      <w:r>
        <w:t xml:space="preserve">) et projet </w:t>
      </w:r>
      <w:r>
        <w:rPr>
          <w:b/>
        </w:rPr>
        <w:t>ETS</w:t>
      </w:r>
      <w:r>
        <w:t xml:space="preserve"> remis au MOA.</w:t>
      </w:r>
      <w:r/>
    </w:p>
    <w:p>
      <w:pPr>
        <w:pStyle w:val="ListBullet"/>
        <w:spacing w:line="240" w:lineRule="auto"/>
        <w:ind w:left="720"/>
      </w:pPr>
      <w:r/>
      <w:r>
        <w:t xml:space="preserve">Usage des </w:t>
      </w:r>
      <w:r>
        <w:rPr>
          <w:b/>
        </w:rPr>
        <w:t>Datapoint Types (DPT) normalisés</w:t>
      </w:r>
      <w:r>
        <w:t xml:space="preserve"> ; médium(s) précisé(s) : </w:t>
      </w:r>
      <w:r>
        <w:rPr>
          <w:rFonts w:ascii="Courier" w:hAnsi="Courier"/>
        </w:rPr>
        <w:t>[À COMPLÉTER : TP / IP / RF]</w:t>
      </w:r>
      <w:r>
        <w:t>.</w:t>
      </w:r>
      <w:r/>
      <w:r/>
    </w:p>
    <w:p>
      <w:pPr>
        <w:pStyle w:val="Heading4"/>
      </w:pPr>
      <w:r>
        <w:t>6.2.3 Modbus (terrain et TCP supervision)</w:t>
      </w:r>
      <w:r/>
      <w:r/>
    </w:p>
    <w:p>
      <w:pPr>
        <w:pStyle w:val="ListBullet"/>
        <w:spacing w:line="240" w:lineRule="auto"/>
        <w:ind w:left="720"/>
      </w:pPr>
      <w:r/>
      <w:r>
        <w:t xml:space="preserve">Conformité aux spécifications </w:t>
      </w:r>
      <w:r>
        <w:rPr>
          <w:b/>
        </w:rPr>
        <w:t>Modbus Organization</w:t>
      </w:r>
      <w:r>
        <w:t xml:space="preserve"> (Modbus RTU série RS-485 et/ou </w:t>
      </w:r>
      <w:r>
        <w:rPr>
          <w:b/>
        </w:rPr>
        <w:t>Modbus TCP</w:t>
      </w:r>
      <w:r>
        <w:t>, port 502).</w:t>
      </w:r>
      <w:r/>
    </w:p>
    <w:p>
      <w:pPr>
        <w:pStyle w:val="ListBullet"/>
        <w:spacing w:line="240" w:lineRule="auto"/>
        <w:ind w:left="720"/>
      </w:pPr>
      <w:r/>
      <w:r>
        <w:t xml:space="preserve">⚠️ </w:t>
      </w:r>
      <w:r>
        <w:rPr>
          <w:b/>
        </w:rPr>
        <w:t>Modbus ne définit aucun modèle d'objet normalisé.</w:t>
      </w:r>
      <w:r>
        <w:t xml:space="preserve"> En conséquence, </w:t>
      </w:r>
      <w:r>
        <w:rPr>
          <w:b/>
        </w:rPr>
        <w:t>livrable obligatoire</w:t>
      </w:r>
      <w:r>
        <w:t xml:space="preserve"> : pour chaque équipement Modbus, une </w:t>
      </w:r>
      <w:r>
        <w:rPr>
          <w:b/>
        </w:rPr>
        <w:t>table de cartographie complète et documentée</w:t>
      </w:r>
      <w:r>
        <w:t xml:space="preserve"> des registres (adresse, type de table, type de donnée, </w:t>
      </w:r>
      <w:r>
        <w:rPr>
          <w:i/>
        </w:rPr>
        <w:t>endianness</w:t>
      </w:r>
      <w:r>
        <w:t>, facteur d'échelle, unité, plage, droit d'accès R/RW). Une offre sans engagement de fourniture de ces tables est réputée non conforme.</w:t>
      </w:r>
      <w:r/>
      <w:r/>
    </w:p>
    <w:p>
      <w:pPr>
        <w:pStyle w:val="Heading4"/>
      </w:pPr>
      <w:r>
        <w:t>6.2.4 DALI (terrain — éclairage)</w:t>
      </w:r>
      <w:r/>
      <w:r/>
    </w:p>
    <w:p>
      <w:pPr>
        <w:pStyle w:val="ListBullet"/>
        <w:spacing w:line="240" w:lineRule="auto"/>
        <w:ind w:left="720"/>
      </w:pPr>
      <w:r/>
      <w:r>
        <w:t xml:space="preserve">Composants </w:t>
      </w:r>
      <w:r>
        <w:rPr>
          <w:b/>
        </w:rPr>
        <w:t>certifiés DALI-2</w:t>
      </w:r>
      <w:r>
        <w:t xml:space="preserve"> (et </w:t>
      </w:r>
      <w:r>
        <w:rPr>
          <w:b/>
        </w:rPr>
        <w:t>D4i</w:t>
      </w:r>
      <w:r>
        <w:t xml:space="preserve"> pour luminaires intelligents / drivers communicants), conformes </w:t>
      </w:r>
      <w:r>
        <w:rPr>
          <w:b/>
        </w:rPr>
        <w:t>IEC 62386</w:t>
      </w:r>
      <w:r>
        <w:t xml:space="preserve"> (parties 101/102/103 et 2xx selon besoin), </w:t>
      </w:r>
      <w:r>
        <w:rPr>
          <w:b/>
        </w:rPr>
        <w:t>présents dans la base produits de la DALI Alliance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Le candidat fournit les </w:t>
      </w:r>
      <w:r>
        <w:rPr>
          <w:b/>
        </w:rPr>
        <w:t>références de certification</w:t>
      </w:r>
      <w:r>
        <w:t xml:space="preserve"> ; exiger « certified » (et non seulement « registered » DALI v1) pour garantir l'interopérabilité vérifiée.</w:t>
      </w:r>
      <w:r/>
      <w:r/>
    </w:p>
    <w:p>
      <w:pPr>
        <w:pStyle w:val="Heading4"/>
      </w:pPr>
      <w:r>
        <w:t>6.2.5 M-Bus / wireless M-Bus (terrain — comptage)</w:t>
      </w:r>
      <w:r/>
      <w:r/>
    </w:p>
    <w:p>
      <w:pPr>
        <w:pStyle w:val="ListBullet"/>
        <w:spacing w:line="240" w:lineRule="auto"/>
        <w:ind w:left="720"/>
      </w:pPr>
      <w:r/>
      <w:r>
        <w:t xml:space="preserve">Compteurs conformes à </w:t>
      </w:r>
      <w:r>
        <w:rPr>
          <w:b/>
        </w:rPr>
        <w:t>EN 13757</w:t>
      </w:r>
      <w:r>
        <w:t xml:space="preserve"> (filaire -2/-3 et/ou sans fil -4) ; </w:t>
      </w:r>
      <w:r>
        <w:rPr>
          <w:b/>
        </w:rPr>
        <w:t>certification OMS</w:t>
      </w:r>
      <w:r>
        <w:t xml:space="preserve"> privilégiée.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Livrable</w:t>
      </w:r>
      <w:r>
        <w:t xml:space="preserve"> : documentation des télégrammes / registres (codes DIF/VIF ou identifiants </w:t>
      </w:r>
      <w:r>
        <w:rPr>
          <w:b/>
        </w:rPr>
        <w:t>OBIS</w:t>
      </w:r>
      <w:r>
        <w:t>, unités, échelles, adressage). Pour le sans-fil : bande (868 MHz) et mode précisés.</w:t>
      </w:r>
      <w:r/>
      <w:r/>
    </w:p>
    <w:p>
      <w:pPr>
        <w:pStyle w:val="Heading4"/>
      </w:pPr>
      <w:r>
        <w:t>6.2.6 LON / LonWorks (compatibilité existant)</w:t>
      </w:r>
      <w:r/>
      <w:r/>
    </w:p>
    <w:p>
      <w:pPr>
        <w:pStyle w:val="ListBullet"/>
        <w:spacing w:line="240" w:lineRule="auto"/>
        <w:ind w:left="720"/>
      </w:pPr>
      <w:r/>
      <w:r>
        <w:t xml:space="preserve">Le cas échéant, </w:t>
      </w:r>
      <w:r>
        <w:rPr>
          <w:b/>
        </w:rPr>
        <w:t>compatibilité avec l'existant LON</w:t>
      </w:r>
      <w:r>
        <w:t xml:space="preserve"> (remontée via passerelle LON ↔ BACnet/IP), conforme </w:t>
      </w:r>
      <w:r>
        <w:rPr>
          <w:b/>
        </w:rPr>
        <w:t>ISO/IEC 14908</w:t>
      </w:r>
      <w:r>
        <w:t xml:space="preserve"> et certifié </w:t>
      </w:r>
      <w:r>
        <w:rPr>
          <w:b/>
        </w:rPr>
        <w:t>LonMark</w:t>
      </w:r>
      <w:r>
        <w:t xml:space="preserve">. </w:t>
      </w:r>
      <w:r>
        <w:rPr>
          <w:b/>
        </w:rPr>
        <w:t>Non prioritaire</w:t>
      </w:r>
      <w:r>
        <w:t xml:space="preserve"> en prescription neuve.</w:t>
      </w:r>
      <w:r/>
      <w:r/>
    </w:p>
    <w:p>
      <w:pPr>
        <w:pStyle w:val="Heading3"/>
      </w:pPr>
      <w:r>
        <w:t>6.3 Synthèse des exigences par protocole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Modèle objet normalisé 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Preuve d'interopérabilité exigée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BACnet</w:t>
            </w:r>
          </w:p>
        </w:tc>
        <w:tc>
          <w:tcPr>
            <w:tcW w:type="dxa" w:w="1728"/>
          </w:tcPr>
          <w:p>
            <w:r>
              <w:t>Automation / Supervision</w:t>
            </w:r>
          </w:p>
        </w:tc>
        <w:tc>
          <w:tcPr>
            <w:tcW w:type="dxa" w:w="1728"/>
          </w:tcPr>
          <w:p>
            <w:r>
              <w:t>ISO 16484-5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 xml:space="preserve">Profil Annexe L + BIBBs + </w:t>
            </w:r>
            <w:r>
              <w:rPr>
                <w:b/>
              </w:rPr>
              <w:t>BTL Listing</w:t>
            </w:r>
            <w:r>
              <w:t xml:space="preserve"> + </w:t>
            </w:r>
            <w:r>
              <w:rPr>
                <w:b/>
              </w:rPr>
              <w:t>PICS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KNX</w:t>
            </w:r>
          </w:p>
        </w:tc>
        <w:tc>
          <w:tcPr>
            <w:tcW w:type="dxa" w:w="1728"/>
          </w:tcPr>
          <w:p>
            <w:r>
              <w:t>Terrain</w:t>
            </w:r>
          </w:p>
        </w:tc>
        <w:tc>
          <w:tcPr>
            <w:tcW w:type="dxa" w:w="1728"/>
          </w:tcPr>
          <w:p>
            <w:r>
              <w:t>ISO/IEC 14543-3 + EN 50090</w:t>
            </w:r>
          </w:p>
        </w:tc>
        <w:tc>
          <w:tcPr>
            <w:tcW w:type="dxa" w:w="1728"/>
          </w:tcPr>
          <w:p>
            <w:r>
              <w:t>Oui (DPT)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Certifié KNX</w:t>
            </w:r>
            <w:r>
              <w:t xml:space="preserve"> + projet ETS remis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Modbus</w:t>
            </w:r>
          </w:p>
        </w:tc>
        <w:tc>
          <w:tcPr>
            <w:tcW w:type="dxa" w:w="1728"/>
          </w:tcPr>
          <w:p>
            <w:r>
              <w:t>Terrain / TCP</w:t>
            </w:r>
          </w:p>
        </w:tc>
        <w:tc>
          <w:tcPr>
            <w:tcW w:type="dxa" w:w="1728"/>
          </w:tcPr>
          <w:p>
            <w:r>
              <w:t>Spéc. modbus.org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Table de registres documentée (obligatoire)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DALI</w:t>
            </w:r>
          </w:p>
        </w:tc>
        <w:tc>
          <w:tcPr>
            <w:tcW w:type="dxa" w:w="1728"/>
          </w:tcPr>
          <w:p>
            <w:r>
              <w:t>Terrain (éclairage)</w:t>
            </w:r>
          </w:p>
        </w:tc>
        <w:tc>
          <w:tcPr>
            <w:tcW w:type="dxa" w:w="1728"/>
          </w:tcPr>
          <w:p>
            <w:r>
              <w:t>IEC 62386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Certifié DALI-2 / D4i</w:t>
            </w:r>
            <w:r>
              <w:t xml:space="preserve"> + base DALI Alliance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M-Bus</w:t>
            </w:r>
          </w:p>
        </w:tc>
        <w:tc>
          <w:tcPr>
            <w:tcW w:type="dxa" w:w="1728"/>
          </w:tcPr>
          <w:p>
            <w:r>
              <w:t>Terrain (comptage)</w:t>
            </w:r>
          </w:p>
        </w:tc>
        <w:tc>
          <w:tcPr>
            <w:tcW w:type="dxa" w:w="1728"/>
          </w:tcPr>
          <w:p>
            <w:r>
              <w:t>EN 13757</w:t>
            </w:r>
          </w:p>
        </w:tc>
        <w:tc>
          <w:tcPr>
            <w:tcW w:type="dxa" w:w="1728"/>
          </w:tcPr>
          <w:p>
            <w:r>
              <w:t>Partiel (DIF/VIF, OBIS)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Certifié OMS</w:t>
            </w:r>
            <w:r>
              <w:t xml:space="preserve"> + télégrammes documentés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LON</w:t>
            </w:r>
          </w:p>
        </w:tc>
        <w:tc>
          <w:tcPr>
            <w:tcW w:type="dxa" w:w="1728"/>
          </w:tcPr>
          <w:p>
            <w:r>
              <w:t>Terrain / Automation (legacy)</w:t>
            </w:r>
          </w:p>
        </w:tc>
        <w:tc>
          <w:tcPr>
            <w:tcW w:type="dxa" w:w="1728"/>
          </w:tcPr>
          <w:p>
            <w:r>
              <w:t>ISO/IEC 14908</w:t>
            </w:r>
          </w:p>
        </w:tc>
        <w:tc>
          <w:tcPr>
            <w:tcW w:type="dxa" w:w="1728"/>
          </w:tcPr>
          <w:p>
            <w:r>
              <w:t>Oui (SNVT)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LonMark</w:t>
            </w:r>
            <w:r>
              <w:t xml:space="preserve"> (compatibilité existant)</w:t>
            </w:r>
          </w:p>
        </w:tc>
      </w:tr>
    </w:tbl>
    <w:p>
      <w:r/>
    </w:p>
    <w:p>
      <w:pPr>
        <w:pStyle w:val="Heading3"/>
      </w:pPr>
      <w:r>
        <w:t>6.4 Passerelles</w:t>
      </w:r>
      <w:r/>
    </w:p>
    <w:p>
      <w:r/>
      <w:r>
        <w:t xml:space="preserve">Toute passerelle entre protocoles est </w:t>
      </w:r>
      <w:r>
        <w:rPr>
          <w:b/>
        </w:rPr>
        <w:t>standardisée et documentée</w:t>
      </w:r>
      <w:r>
        <w:t xml:space="preserve">. Le titulaire fournit le </w:t>
      </w:r>
      <w:r>
        <w:rPr>
          <w:b/>
        </w:rPr>
        <w:t>mapping complet des points traduits</w:t>
      </w:r>
      <w:r>
        <w:t>, la documentation de configuration et les paramètres de la passerelle, dans un format réutilisable par un tiers.</w:t>
      </w:r>
      <w:r/>
    </w:p>
    <w:p>
      <w:pPr>
        <w:pStyle w:val="Heading3"/>
      </w:pPr>
      <w:r>
        <w:t>6.5 Cybersécurité</w:t>
      </w:r>
      <w:r/>
    </w:p>
    <w:p>
      <w:r/>
      <w:r>
        <w:rPr>
          <w:rFonts w:ascii="Courier" w:hAnsi="Courier"/>
        </w:rPr>
        <w:t>[À COMPLÉTER selon politique du MOA]</w:t>
      </w:r>
      <w:r>
        <w:t xml:space="preserve"> — au minimum : segmentation réseau OT/IT, comptes nominatifs, gestion des droits, mises à jour de sécurité, journalisation. Privilégier </w:t>
      </w:r>
      <w:r>
        <w:rPr>
          <w:b/>
        </w:rPr>
        <w:t>BACnet/SC</w:t>
      </w:r>
      <w:r>
        <w:t xml:space="preserve"> sur le backbone IP. Le système ne doit pas exposer de service propriétaire non maîtrisé par le MOA.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7 — EXIGENCES ANTI-VERROUILLAGE (clauses contractuelles)</w:t>
      </w:r>
      <w:r/>
      <w:r/>
    </w:p>
    <w:p>
      <w:r/>
      <w:r>
        <w:t xml:space="preserve">Ces clauses sont contractuelles et </w:t>
      </w:r>
      <w:r>
        <w:rPr>
          <w:b/>
        </w:rPr>
        <w:t>opposables</w:t>
      </w:r>
      <w:r>
        <w:t xml:space="preserve"> dès lors qu'elles figurent au marché. Sauf l'article 2.1 (reprise du Code de la commande publique pour les acheteurs publics), ce sont des </w:t>
      </w:r>
      <w:r>
        <w:rPr>
          <w:b/>
        </w:rPr>
        <w:t>exigences contractuelles</w:t>
      </w:r>
      <w:r>
        <w:t xml:space="preserve"> que le MOA impose explicitement.</w:t>
      </w:r>
      <w:r/>
      <w:r/>
    </w:p>
    <w:p>
      <w:pPr>
        <w:pStyle w:val="Heading3"/>
      </w:pPr>
      <w:r>
        <w:t>7.1 Propriété des données, de la configuration et de la programmation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Le MOA est, sans réserve ni coût supplémentaire, propriétaire de l'intégralité des données</w:t>
      </w:r>
      <w:r>
        <w:t xml:space="preserve"> produites, collectées, historisées ou calculées par la GTB (temps réel, historiques, alarmes, courbes de tendance, métadonnées), ainsi que de </w:t>
      </w:r>
      <w:r>
        <w:rPr>
          <w:b/>
        </w:rPr>
        <w:t>la configuration, du paramétrage et de la programmation</w:t>
      </w:r>
      <w:r>
        <w:t xml:space="preserve"> réalisés au titre du marché.</w:t>
      </w:r>
      <w:r/>
    </w:p>
    <w:p>
      <w:pPr>
        <w:pStyle w:val="ListNumber"/>
        <w:spacing w:line="240" w:lineRule="auto"/>
        <w:ind w:left="720"/>
      </w:pPr>
      <w:r/>
      <w:r>
        <w:t xml:space="preserve">Le titulaire </w:t>
      </w:r>
      <w:r>
        <w:rPr>
          <w:b/>
        </w:rPr>
        <w:t>cède au MOA, à titre exclusif et définitif</w:t>
      </w:r>
      <w:r>
        <w:t xml:space="preserve">, les droits patrimoniaux nécessaires à l'utilisation, la modification, la maintenance et l'évolution de la programmation et des configurations spécifiques développées pour le projet, </w:t>
      </w:r>
      <w:r>
        <w:rPr>
          <w:b/>
        </w:rPr>
        <w:t>y compris par un tiers</w:t>
      </w:r>
      <w:r>
        <w:t xml:space="preserve"> de son choix.</w:t>
      </w:r>
      <w:r/>
    </w:p>
    <w:p>
      <w:pPr>
        <w:pStyle w:val="ListNumber"/>
        <w:spacing w:line="240" w:lineRule="auto"/>
        <w:ind w:left="720"/>
      </w:pPr>
      <w:r/>
      <w:r>
        <w:t xml:space="preserve">Aucune donnée du bâtiment ne peut être hébergée, traitée ou exploitée par le titulaire ou un tiers </w:t>
      </w:r>
      <w:r>
        <w:rPr>
          <w:b/>
        </w:rPr>
        <w:t>sans que le MOA en conserve un accès complet et un droit d'export permanent</w:t>
      </w:r>
      <w:r>
        <w:t xml:space="preserve"> aux formats ouverts.</w:t>
      </w:r>
      <w:r/>
      <w:r/>
    </w:p>
    <w:p>
      <w:pPr>
        <w:pStyle w:val="Heading3"/>
      </w:pPr>
      <w:r>
        <w:t>7.2 Remise complète / dossier de réversibilité</w:t>
      </w:r>
      <w:r/>
    </w:p>
    <w:p>
      <w:r/>
      <w:r>
        <w:t xml:space="preserve">À la réception, </w:t>
      </w:r>
      <w:r>
        <w:rPr>
          <w:b/>
        </w:rPr>
        <w:t>et à chaque évolution ultérieure</w:t>
      </w:r>
      <w:r>
        <w:t xml:space="preserve">, le titulaire remet au MOA un </w:t>
      </w:r>
      <w:r>
        <w:rPr>
          <w:b/>
        </w:rPr>
        <w:t>dossier de réversibilité complet</w:t>
      </w:r>
      <w:r>
        <w:t xml:space="preserve"> comprenant au minimum : - a. les </w:t>
      </w:r>
      <w:r>
        <w:rPr>
          <w:b/>
        </w:rPr>
        <w:t>codes sources de la programmation</w:t>
      </w:r>
      <w:r>
        <w:t xml:space="preserve"> des automates et régulateurs, sous forme </w:t>
      </w:r>
      <w:r>
        <w:rPr>
          <w:b/>
        </w:rPr>
        <w:t>éditable et recompilable</w:t>
      </w:r>
      <w:r>
        <w:t xml:space="preserve"> ; - b. l'ensemble des </w:t>
      </w:r>
      <w:r>
        <w:rPr>
          <w:b/>
        </w:rPr>
        <w:t>fichiers de configuration et de paramétrage</w:t>
      </w:r>
      <w:r>
        <w:t xml:space="preserve"> du superviseur, des automates et des passerelles ; - c. les </w:t>
      </w:r>
      <w:r>
        <w:rPr>
          <w:b/>
        </w:rPr>
        <w:t>licences logicielles</w:t>
      </w:r>
      <w:r>
        <w:t xml:space="preserve"> (superviseur, outils, runtime), </w:t>
      </w:r>
      <w:r>
        <w:rPr>
          <w:b/>
        </w:rPr>
        <w:t>pérennes et nominatives au MOA</w:t>
      </w:r>
      <w:r>
        <w:t xml:space="preserve"> ; - d. </w:t>
      </w:r>
      <w:r>
        <w:rPr>
          <w:b/>
        </w:rPr>
        <w:t>l'ensemble des mots de passe et comptes administrateur de plus haut niveau</w:t>
      </w:r>
      <w:r>
        <w:t xml:space="preserve"> (superviseur, automates, passerelles, équipements réseau), avec les droits permettant la </w:t>
      </w:r>
      <w:r>
        <w:rPr>
          <w:b/>
        </w:rPr>
        <w:t>modification complète</w:t>
      </w:r>
      <w:r>
        <w:t xml:space="preserve"> du système ; - e. la </w:t>
      </w:r>
      <w:r>
        <w:rPr>
          <w:b/>
        </w:rPr>
        <w:t>documentation technique et fonctionnelle</w:t>
      </w:r>
      <w:r>
        <w:t xml:space="preserve">, les scripts d'exploitation et les supports de formation ; - f. la </w:t>
      </w:r>
      <w:r>
        <w:rPr>
          <w:b/>
        </w:rPr>
        <w:t>liste / table exhaustive des points de données</w:t>
      </w:r>
      <w:r>
        <w:t xml:space="preserve">, le </w:t>
      </w:r>
      <w:r>
        <w:rPr>
          <w:b/>
        </w:rPr>
        <w:t>plan d'adressage</w:t>
      </w:r>
      <w:r>
        <w:t xml:space="preserve">, les </w:t>
      </w:r>
      <w:r>
        <w:rPr>
          <w:b/>
        </w:rPr>
        <w:t>schémas d'architecture</w:t>
      </w:r>
      <w:r>
        <w:t xml:space="preserve"> et les </w:t>
      </w:r>
      <w:r>
        <w:rPr>
          <w:b/>
        </w:rPr>
        <w:t>synoptiques</w:t>
      </w:r>
      <w:r>
        <w:t>.</w:t>
      </w:r>
      <w:r/>
    </w:p>
    <w:p>
      <w:r/>
      <w:r>
        <w:t xml:space="preserve">Ces éléments sont fournis dans des </w:t>
      </w:r>
      <w:r>
        <w:rPr>
          <w:b/>
        </w:rPr>
        <w:t>formats documentés et exploitables en dehors des outils propres au titulaire</w:t>
      </w:r>
      <w:r>
        <w:t>, avec les interfaces techniques (API, format pivot) permettant l'accès aux données selon un schéma documenté.</w:t>
      </w:r>
      <w:r/>
    </w:p>
    <w:p>
      <w:pPr>
        <w:pStyle w:val="Heading3"/>
      </w:pPr>
      <w:r>
        <w:t>7.3 Licences</w:t>
      </w:r>
      <w:r/>
      <w:r/>
    </w:p>
    <w:p>
      <w:pPr>
        <w:pStyle w:val="ListBullet"/>
        <w:spacing w:line="240" w:lineRule="auto"/>
        <w:ind w:left="720"/>
      </w:pPr>
      <w:r/>
      <w:r>
        <w:t xml:space="preserve">Toutes les licences sont </w:t>
      </w:r>
      <w:r>
        <w:rPr>
          <w:b/>
        </w:rPr>
        <w:t>pérennes, transférables au MOA et exemptes de tout coût récurrent caché</w:t>
      </w:r>
      <w:r>
        <w:t xml:space="preserve"> (abonnement, redevance par point, réactivation). Toute licence à durée limitée, liée au matériel du titulaire, ou révocable unilatéralement, est </w:t>
      </w:r>
      <w:r>
        <w:rPr>
          <w:b/>
        </w:rPr>
        <w:t>interdite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Le </w:t>
      </w:r>
      <w:r>
        <w:rPr>
          <w:b/>
        </w:rPr>
        <w:t>nombre de points de données n'est pas limité par licence</w:t>
      </w:r>
      <w:r>
        <w:t xml:space="preserve"> au-delà du besoin du projet ; à défaut, le </w:t>
      </w:r>
      <w:r>
        <w:rPr>
          <w:b/>
        </w:rPr>
        <w:t>coût d'extension par point est figé et annexé</w:t>
      </w:r>
      <w:r>
        <w:t xml:space="preserve"> au marché.</w:t>
      </w:r>
      <w:r/>
      <w:r/>
    </w:p>
    <w:p>
      <w:pPr>
        <w:pStyle w:val="Heading3"/>
      </w:pPr>
      <w:r>
        <w:t>7.4 Outils d'ingénierie</w:t>
      </w:r>
      <w:r/>
    </w:p>
    <w:p>
      <w:r/>
      <w:r>
        <w:t xml:space="preserve">Les </w:t>
      </w:r>
      <w:r>
        <w:rPr>
          <w:b/>
        </w:rPr>
        <w:t>outils de configuration et de programmation</w:t>
      </w:r>
      <w:r>
        <w:t xml:space="preserve"> (logiciels d'ingénierie des automates et du superviseur) sont soit </w:t>
      </w:r>
      <w:r>
        <w:rPr>
          <w:b/>
        </w:rPr>
        <w:t>librement disponibles</w:t>
      </w:r>
      <w:r>
        <w:t xml:space="preserve">, soit </w:t>
      </w:r>
      <w:r>
        <w:rPr>
          <w:b/>
        </w:rPr>
        <w:t>remis au MOA</w:t>
      </w:r>
      <w:r>
        <w:t xml:space="preserve"> avec les licences correspondantes, permettant à tout intervenant qualifié de reconfigurer le système.</w:t>
      </w:r>
      <w:r/>
    </w:p>
    <w:p>
      <w:pPr>
        <w:pStyle w:val="Heading3"/>
      </w:pPr>
      <w:r>
        <w:t>7.5 Maintenabilité par un tiers</w:t>
      </w:r>
      <w:r/>
    </w:p>
    <w:p>
      <w:r/>
      <w:r>
        <w:t xml:space="preserve">Le MOA pourra </w:t>
      </w:r>
      <w:r>
        <w:rPr>
          <w:b/>
        </w:rPr>
        <w:t>confier la reprise de la maintenance et des évolutions à tout tiers de son choix</w:t>
      </w:r>
      <w:r>
        <w:t xml:space="preserve"> ; le titulaire ne pourra opposer </w:t>
      </w:r>
      <w:r>
        <w:rPr>
          <w:b/>
        </w:rPr>
        <w:t>aucune restriction technique, contractuelle ou de propriété intellectuelle</w:t>
      </w:r>
      <w:r>
        <w:t xml:space="preserve"> à cette reprise.</w:t>
      </w:r>
      <w:r/>
    </w:p>
    <w:p>
      <w:pPr>
        <w:pStyle w:val="Heading3"/>
      </w:pPr>
      <w:r>
        <w:t>7.6 Accès ouvert aux données</w:t>
      </w:r>
      <w:r/>
    </w:p>
    <w:p>
      <w:r/>
      <w:r>
        <w:t xml:space="preserve">Le superviseur expose une </w:t>
      </w:r>
      <w:r>
        <w:rPr>
          <w:b/>
        </w:rPr>
        <w:t>API documentée et ouverte</w:t>
      </w:r>
      <w:r>
        <w:t xml:space="preserve"> et permet l'</w:t>
      </w:r>
      <w:r>
        <w:rPr>
          <w:b/>
        </w:rPr>
        <w:t>export des données aux formats ouverts</w:t>
      </w:r>
      <w:r>
        <w:t xml:space="preserve"> (CSV, JSON, et formats d'échange standard), </w:t>
      </w:r>
      <w:r>
        <w:rPr>
          <w:b/>
        </w:rPr>
        <w:t>sans dépendance à un service propriétaire</w:t>
      </w:r>
      <w:r>
        <w:t xml:space="preserve"> du titulaire.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8 — LIVRABLES ET DOCUMENTS À REMETTRE</w:t>
      </w:r>
      <w:r/>
    </w:p>
    <w:p>
      <w:pPr>
        <w:pStyle w:val="Heading3"/>
      </w:pPr>
      <w:r>
        <w:t>8.1 En phase études / exécution</w:t>
      </w:r>
      <w:r/>
      <w:r/>
    </w:p>
    <w:p>
      <w:pPr>
        <w:pStyle w:val="ListBullet"/>
        <w:spacing w:line="240" w:lineRule="auto"/>
        <w:ind w:left="720"/>
      </w:pPr>
      <w:r/>
      <w:r>
        <w:t>Note d'architecture (3 niveaux, protocoles, passerelles).</w:t>
      </w:r>
      <w:r/>
    </w:p>
    <w:p>
      <w:pPr>
        <w:pStyle w:val="ListBullet"/>
        <w:spacing w:line="240" w:lineRule="auto"/>
        <w:ind w:left="720"/>
      </w:pPr>
      <w:r/>
      <w:r>
        <w:t>Tableau de conformité renseigné (Annexe A).</w:t>
      </w:r>
      <w:r/>
    </w:p>
    <w:p>
      <w:pPr>
        <w:pStyle w:val="ListBullet"/>
        <w:spacing w:line="240" w:lineRule="auto"/>
        <w:ind w:left="720"/>
      </w:pPr>
      <w:r/>
      <w:r>
        <w:t>Listes de points prévisionnelles, plans d'adressage, synoptiques.</w:t>
      </w:r>
      <w:r/>
    </w:p>
    <w:p>
      <w:pPr>
        <w:pStyle w:val="ListBullet"/>
        <w:spacing w:line="240" w:lineRule="auto"/>
        <w:ind w:left="720"/>
      </w:pPr>
      <w:r/>
      <w:r>
        <w:t>PICS BACnet, certificats KNX / DALI-2 / OMS / BTL des équipements.</w:t>
      </w:r>
      <w:r/>
      <w:r/>
    </w:p>
    <w:p>
      <w:pPr>
        <w:pStyle w:val="Heading3"/>
      </w:pPr>
      <w:r>
        <w:t>8.2 À la réception (DOE)</w:t>
      </w:r>
      <w:r/>
      <w:r/>
    </w:p>
    <w:p>
      <w:pPr>
        <w:pStyle w:val="ListBullet"/>
        <w:spacing w:line="240" w:lineRule="auto"/>
        <w:ind w:left="720"/>
      </w:pPr>
      <w:r/>
      <w:r>
        <w:t>Dossier de réversibilité complet (article 7.2) : sources, configurations, licences, mots de passe, documentation, table de points.</w:t>
      </w:r>
      <w:r/>
    </w:p>
    <w:p>
      <w:pPr>
        <w:pStyle w:val="ListBullet"/>
        <w:spacing w:line="240" w:lineRule="auto"/>
        <w:ind w:left="720"/>
      </w:pPr>
      <w:r/>
      <w:r>
        <w:t>Tables de cartographie Modbus et télégrammes M-Bus documentés (articles 6.2.3 et 6.2.5).</w:t>
      </w:r>
      <w:r/>
    </w:p>
    <w:p>
      <w:pPr>
        <w:pStyle w:val="ListBullet"/>
        <w:spacing w:line="240" w:lineRule="auto"/>
        <w:ind w:left="720"/>
      </w:pPr>
      <w:r/>
      <w:r>
        <w:t>Justification de la classe NF EN ISO 52120-1 atteinte, fonction par fonction.</w:t>
      </w:r>
      <w:r/>
    </w:p>
    <w:p>
      <w:pPr>
        <w:pStyle w:val="ListBullet"/>
        <w:spacing w:line="240" w:lineRule="auto"/>
        <w:ind w:left="720"/>
      </w:pPr>
      <w:r/>
      <w:r>
        <w:t>Procès-verbaux d'essais (article 9).</w:t>
      </w:r>
      <w:r/>
      <w:r/>
    </w:p>
    <w:p>
      <w:pPr>
        <w:pStyle w:val="Heading3"/>
      </w:pPr>
      <w:r>
        <w:t>8.3 Formation</w:t>
      </w:r>
      <w:r/>
    </w:p>
    <w:p>
      <w:r/>
      <w:r>
        <w:rPr>
          <w:rFonts w:ascii="Courier" w:hAnsi="Courier"/>
        </w:rPr>
        <w:t>[À COMPLÉTER : nombre de jours, public, supports]</w:t>
      </w:r>
      <w:r>
        <w:t xml:space="preserve"> — formation à l'exploitation, à la supervision et à la reconfiguration de base, supports remis et réutilisables.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9 — RECETTE ET VÉRIFICATIONS</w:t>
      </w:r>
      <w:r/>
    </w:p>
    <w:p>
      <w:pPr>
        <w:pStyle w:val="Heading3"/>
      </w:pPr>
      <w:r>
        <w:t>9.1 Essais fonctionnels</w:t>
      </w:r>
      <w:r/>
    </w:p>
    <w:p>
      <w:r/>
      <w:r>
        <w:t xml:space="preserve">Vérification du fonctionnement de chaque fonction de l'article 5, par lot et par zone, selon un protocole d'essais </w:t>
      </w:r>
      <w:r>
        <w:rPr>
          <w:rFonts w:ascii="Courier" w:hAnsi="Courier"/>
        </w:rPr>
        <w:t>[À COMPLÉTER / à annexer]</w:t>
      </w:r>
      <w:r>
        <w:t>.</w:t>
      </w:r>
      <w:r/>
    </w:p>
    <w:p>
      <w:pPr>
        <w:pStyle w:val="Heading3"/>
      </w:pPr>
      <w:r>
        <w:t>9.2 Vérification de l'ouverture — condition de réception</w:t>
      </w:r>
      <w:r/>
    </w:p>
    <w:p>
      <w:r/>
      <w:r>
        <w:t xml:space="preserve">La conformité aux exigences d'ouverture constitue une </w:t>
      </w:r>
      <w:r>
        <w:rPr>
          <w:b/>
        </w:rPr>
        <w:t>condition de la réception</w:t>
      </w:r>
      <w:r>
        <w:t xml:space="preserve">. Sont vérifiés : - la </w:t>
      </w:r>
      <w:r>
        <w:rPr>
          <w:b/>
        </w:rPr>
        <w:t>remise effective</w:t>
      </w:r>
      <w:r>
        <w:t xml:space="preserve"> des sources, configurations, licences pérennes et </w:t>
      </w:r>
      <w:r>
        <w:rPr>
          <w:b/>
        </w:rPr>
        <w:t>mots de passe administrateur</w:t>
      </w:r>
      <w:r>
        <w:t xml:space="preserve"> ; - la </w:t>
      </w:r>
      <w:r>
        <w:rPr>
          <w:b/>
        </w:rPr>
        <w:t>table de points</w:t>
      </w:r>
      <w:r>
        <w:t xml:space="preserve"> complète et exploitable, les </w:t>
      </w:r>
      <w:r>
        <w:rPr>
          <w:b/>
        </w:rPr>
        <w:t>mappings Modbus / M-Bus</w:t>
      </w:r>
      <w:r>
        <w:t xml:space="preserve"> documentés ; - la disponibilité de l'</w:t>
      </w:r>
      <w:r>
        <w:rPr>
          <w:b/>
        </w:rPr>
        <w:t>API</w:t>
      </w:r>
      <w:r>
        <w:t xml:space="preserve"> et de l'</w:t>
      </w:r>
      <w:r>
        <w:rPr>
          <w:b/>
        </w:rPr>
        <w:t>export aux formats ouverts</w:t>
      </w:r>
      <w:r>
        <w:t xml:space="preserve"> ; - les </w:t>
      </w:r>
      <w:r>
        <w:rPr>
          <w:b/>
        </w:rPr>
        <w:t>certifications</w:t>
      </w:r>
      <w:r>
        <w:t xml:space="preserve"> (BTL/PICS, KNX, DALI-2, OMS) des équipements.</w:t>
      </w:r>
      <w:r/>
    </w:p>
    <w:p>
      <w:r/>
      <w:r>
        <w:t xml:space="preserve">À défaut, la réception est </w:t>
      </w:r>
      <w:r>
        <w:rPr>
          <w:b/>
        </w:rPr>
        <w:t>prononcée avec réserves bloquant le solde</w:t>
      </w:r>
      <w:r>
        <w:t>.</w:t>
      </w:r>
      <w:r/>
    </w:p>
    <w:p>
      <w:pPr>
        <w:pStyle w:val="Heading3"/>
      </w:pPr>
      <w:r>
        <w:t>9.3 Vérification de la classe NF EN ISO 52120-1</w:t>
      </w:r>
      <w:r/>
    </w:p>
    <w:p>
      <w:r/>
      <w:r>
        <w:t>Contrôle de l'atteinte de la classe cible (§5.3), justifiée fonction par fonction via la grille de la norme.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10 — GARANTIE, MAINTENANCE, SAV</w:t>
      </w:r>
      <w:r/>
    </w:p>
    <w:p>
      <w:r/>
      <w:r>
        <w:rPr>
          <w:rFonts w:ascii="Courier" w:hAnsi="Courier"/>
        </w:rPr>
        <w:t>[À COMPLÉTER]</w:t>
      </w:r>
      <w:r>
        <w:t xml:space="preserve"> — durée de garantie, GTI/GTR contractuelles, télémaintenance (dans le respect de l'article 7 : aucun accès distant ne prive le MOA de la maîtrise de son système), conditions de maintenance ouvertes à un tiers.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11 — CRITÈRES D'ÉVALUATION DES OFFRES</w:t>
      </w:r>
      <w:r/>
    </w:p>
    <w:p>
      <w:r/>
      <w:r>
        <w:t xml:space="preserve">Les offres sont évaluées selon les critères objectifs et la grille de dépouillement détaillés dans le document </w:t>
      </w:r>
      <w:r>
        <w:rPr>
          <w:b/>
        </w:rPr>
        <w:t>« Grille de dépouillement GTB »</w:t>
      </w:r>
      <w:r>
        <w:t xml:space="preserve"> (fichier </w:t>
      </w:r>
      <w:r>
        <w:rPr>
          <w:rFonts w:ascii="Courier" w:hAnsi="Courier"/>
        </w:rPr>
        <w:t>grille-depouillement-GTB.md</w:t>
      </w:r>
      <w:r>
        <w:t>), qui fait partie intégrante de la consultation.</w:t>
      </w:r>
      <w:r/>
      <w:r/>
    </w:p>
    <w:p>
      <w:r/>
      <w:r>
        <w:t xml:space="preserve">🔀 OPTION MARCHÉ PUBLIC — Rappel : les critères sont </w:t>
      </w:r>
      <w:r>
        <w:rPr>
          <w:b/>
        </w:rPr>
        <w:t>pondérés (ou hiérarchisés) et publiés</w:t>
      </w:r>
      <w:r>
        <w:t xml:space="preserve"> conformément aux </w:t>
      </w:r>
      <w:r>
        <w:rPr>
          <w:b/>
        </w:rPr>
        <w:t>articles R. 2152-11 et R. 2152-12 du Code de la commande publique</w:t>
      </w:r>
      <w:r>
        <w:t xml:space="preserve"> ; les valeurs de pondération relèvent du choix du MOA.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12 — ANNEXES (cadres à remplir par le candidat)</w:t>
      </w:r>
      <w:r/>
    </w:p>
    <w:p>
      <w:pPr>
        <w:pStyle w:val="Heading3"/>
      </w:pPr>
      <w:r>
        <w:t>Annexe A — Tableau de conformité (extrait, à compléter)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§ CCTP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Exigence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Conforme (C) / Partiel (PC) / Non conforme (NC)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Renvoi pièce justificative</w:t>
            </w:r>
          </w:p>
        </w:tc>
      </w:tr>
      <w:tr>
        <w:tc>
          <w:tcPr>
            <w:tcW w:type="dxa" w:w="2160"/>
          </w:tcPr>
          <w:p>
            <w:r>
              <w:t>6.2.1</w:t>
            </w:r>
          </w:p>
        </w:tc>
        <w:tc>
          <w:tcPr>
            <w:tcW w:type="dxa" w:w="2160"/>
          </w:tcPr>
          <w:p>
            <w:r>
              <w:t>BACnet — profil + BIBBs + BTL + PICS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6.2.3</w:t>
            </w:r>
          </w:p>
        </w:tc>
        <w:tc>
          <w:tcPr>
            <w:tcW w:type="dxa" w:w="2160"/>
          </w:tcPr>
          <w:p>
            <w:r>
              <w:t>Modbus — table de registres documentée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6.2.4</w:t>
            </w:r>
          </w:p>
        </w:tc>
        <w:tc>
          <w:tcPr>
            <w:tcW w:type="dxa" w:w="2160"/>
          </w:tcPr>
          <w:p>
            <w:r>
              <w:t>DALI-2 / D4i certifiés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Dossier de réversibilité complet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Classe NF EN ISO 52120-1 atteinte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/>
    </w:p>
    <w:p>
      <w:pPr>
        <w:pStyle w:val="Heading3"/>
      </w:pPr>
      <w:r>
        <w:t>Annexe B — Modèle de liste de points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Repère</w:t>
            </w:r>
          </w:p>
        </w:tc>
        <w:tc>
          <w:tcPr>
            <w:tcW w:type="dxa" w:w="960"/>
          </w:tcPr>
          <w:p>
            <w:r>
              <w:rPr>
                <w:b/>
              </w:rPr>
              <w:t>Désignation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Lot</w:t>
            </w:r>
          </w:p>
        </w:tc>
        <w:tc>
          <w:tcPr>
            <w:tcW w:type="dxa" w:w="960"/>
          </w:tcPr>
          <w:p>
            <w:r>
              <w:rPr>
                <w:b/>
              </w:rPr>
              <w:t>Type (AI/AO/BI/BO/AV…)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Protocole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960"/>
          </w:tcPr>
          <w:p>
            <w:r>
              <w:rPr>
                <w:b/>
              </w:rPr>
              <w:t>Plage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Accès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r/>
    </w:p>
    <w:p>
      <w:pPr>
        <w:pStyle w:val="Heading3"/>
      </w:pPr>
      <w:r>
        <w:t>Annexe C — Cadre de décomposition du coût global de possession (TCO)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2880"/>
          </w:tcPr>
          <w:p>
            <w:r>
              <w:t>Investissement (CAPEX matériel + intégration + mise en service)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Maintenance annuelle × durée de référence </w:t>
            </w:r>
            <w:r>
              <w:rPr>
                <w:rFonts w:ascii="Courier" w:hAnsi="Courier"/>
              </w:rPr>
              <w:t>[À COMPLÉTER : 8–10 ans]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Licences / abonnements supervision et runtime × durée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Énergie (gain estimé selon classe 52120-1, base de calcul imposée)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Réversibilité (coût estimé de reprise par un tiers)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TCO total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ARTICLE 13 — POINTS À VÉRIFIER AVANT DIFFUSION</w:t>
      </w:r>
      <w:r/>
      <w:r/>
    </w:p>
    <w:p>
      <w:r/>
      <w:r>
        <w:t xml:space="preserve">Liste de contrôle « zéro invention » à traiter par le rédacteur </w:t>
      </w:r>
      <w:r>
        <w:rPr>
          <w:b/>
        </w:rPr>
        <w:t>avant</w:t>
      </w:r>
      <w:r>
        <w:t xml:space="preserve"> d'envoyer ce CCTP en consultation. Chaque point a été signalé par la recherche documentaire comme nécessitant une </w:t>
      </w:r>
      <w:r>
        <w:rPr>
          <w:b/>
        </w:rPr>
        <w:t>confirmation sur source primaire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Échéances décret BACS</w:t>
      </w:r>
      <w:r>
        <w:t xml:space="preserve"> (palier 70–290 kW : 2027 → </w:t>
      </w:r>
      <w:r>
        <w:rPr>
          <w:b/>
        </w:rPr>
        <w:t>2030</w:t>
      </w:r>
      <w:r>
        <w:t xml:space="preserve"> via décret n° 2025-1343 du 26/12/2025) : confirmer la rédaction en vigueur sur </w:t>
      </w:r>
      <w:r>
        <w:rPr>
          <w:b/>
        </w:rPr>
        <w:t>Légifrance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Article R. 175-3 du CCH</w:t>
      </w:r>
      <w:r>
        <w:t xml:space="preserve"> : recopier la liste exacte des fonctions depuis Légifrance (l'extrait du §5.4 est une restitution fidèle, non garantie au mot près).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« Classe B » n'est pas écrite littéralement dans le décret BACS</w:t>
      </w:r>
      <w:r>
        <w:t xml:space="preserve"> : le décret impose des </w:t>
      </w:r>
      <w:r>
        <w:rPr>
          <w:b/>
        </w:rPr>
        <w:t>fonctions</w:t>
      </w:r>
      <w:r>
        <w:t xml:space="preserve"> ; la classe A/B provient du tableau fonctionnel et du dispositif CEE (fiche BAT-TH-116). Ne pas écrire « le décret impose la classe B » sans nuance.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NF EN ISO 52120-1:2022</w:t>
      </w:r>
      <w:r>
        <w:t xml:space="preserve"> : acquérir le texte AFNOR pour un CCTP opposable (classes vérifiées via sources secondaires concordantes).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Éditions de normes</w:t>
      </w:r>
      <w:r>
        <w:t xml:space="preserve"> à figer : ISO 16484-5 (édition), liste exacte des profils BACnet Annexe L (varie selon l'édition), désignation d'annexe BACnet/SC.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Modbus</w:t>
      </w:r>
      <w:r>
        <w:t xml:space="preserve"> : libellés exacts du programme de conformité Modbus à valider sur modbus.org.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CCAG applicable</w:t>
      </w:r>
      <w:r>
        <w:t xml:space="preserve"> : trancher Travaux vs TIC ; si Travaux, porter les clauses de réversibilité (article 7) en </w:t>
      </w:r>
      <w:r>
        <w:rPr>
          <w:b/>
        </w:rPr>
        <w:t>dérogations explicites au CCAP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Décret tertiaire / OPERAT</w:t>
      </w:r>
      <w:r>
        <w:t xml:space="preserve"> : ne conserver le bloc que si le bâtiment est réellement assujetti.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Sanctions BACS</w:t>
      </w:r>
      <w:r>
        <w:t xml:space="preserve"> : ne </w:t>
      </w:r>
      <w:r>
        <w:rPr>
          <w:b/>
        </w:rPr>
        <w:t>pas</w:t>
      </w:r>
      <w:r>
        <w:t xml:space="preserve"> insérer de montant — régime de sanction propre non confirmé.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Modèle CCTP GTB multi-protocole vendor-neutral — NeoGTB. Sources réglementaires et normatives vérifiées sur Légifrance, ISO/IEC, AFNOR et organismes de certification (BACnet International/BTL, KNX Association, DALI Alliance, OMS-Group). Les dates et numéros de textes doivent être reconfirmés à la date de diffusion (article 13).</w:t>
      </w:r>
    </w:p>
    <w:p>
      <w:r>
        <w:br w:type="page"/>
      </w:r>
    </w:p>
    <w:p>
      <w:pPr>
        <w:pStyle w:val="Heading1"/>
      </w:pPr>
      <w:r>
        <w:t>GRILLE DE DÉPOUILLEMENT — Consultation GTB multi-protocole vendor-neutral</w:t>
      </w:r>
      <w:r/>
    </w:p>
    <w:p>
      <w:pPr>
        <w:pStyle w:val="Heading2"/>
      </w:pPr>
      <w:r>
        <w:t>Critères d'évaluation objectifs et méthode de notation</w:t>
      </w:r>
      <w:r/>
      <w:r/>
    </w:p>
    <w:p>
      <w:r/>
      <w:r>
        <w:rPr>
          <w:b/>
        </w:rPr>
        <w:t>Document complémentaire au CCTP</w:t>
      </w:r>
      <w:r>
        <w:t xml:space="preserve"> </w:t>
      </w:r>
      <w:r>
        <w:rPr>
          <w:rFonts w:ascii="Courier" w:hAnsi="Courier"/>
        </w:rPr>
        <w:t>CCTP-GTB-multiprotocole-vendor-neutral.md</w:t>
      </w:r>
      <w:r>
        <w:t>. Modèle réutilisable.</w:t>
      </w:r>
      <w:r/>
    </w:p>
    <w:p>
      <w:r/>
      <w:r>
        <w:rPr>
          <w:b/>
        </w:rPr>
        <w:t>Statut juridique</w:t>
      </w:r>
      <w:r>
        <w:t xml:space="preserve"> : les règles du </w:t>
      </w:r>
      <w:r>
        <w:rPr>
          <w:b/>
        </w:rPr>
        <w:t>Code de la commande publique</w:t>
      </w:r>
      <w:r>
        <w:t xml:space="preserve"> (pondération obligatoire et publiée, méthode de notation) ne s'imposent </w:t>
      </w:r>
      <w:r>
        <w:rPr>
          <w:b/>
        </w:rPr>
        <w:t>qu'aux acheteurs publics</w:t>
      </w:r>
      <w:r>
        <w:t xml:space="preserve">. En </w:t>
      </w:r>
      <w:r>
        <w:rPr>
          <w:b/>
        </w:rPr>
        <w:t>marché privé</w:t>
      </w:r>
      <w:r>
        <w:t xml:space="preserve">, elles constituent une </w:t>
      </w:r>
      <w:r>
        <w:rPr>
          <w:b/>
        </w:rPr>
        <w:t>bonne pratique recommandée, non obligatoire</w:t>
      </w:r>
      <w:r>
        <w:t xml:space="preserve">. Les pondérations ci-dessous sont un </w:t>
      </w:r>
      <w:r>
        <w:rPr>
          <w:b/>
        </w:rPr>
        <w:t>exemple, choix du MOA</w:t>
      </w:r>
      <w:r>
        <w:t xml:space="preserve"> — à ajuster.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PRINCIPE DIRECTEUR</w:t>
      </w:r>
      <w:r/>
    </w:p>
    <w:p>
      <w:r/>
      <w:r>
        <w:rPr>
          <w:b/>
        </w:rPr>
        <w:t>Tout critère est adossé à une exigence du CCTP et noté sur une preuve vérifiable</w:t>
      </w:r>
      <w:r>
        <w:t xml:space="preserve"> (document fourni, certificat, listing, BPU, planning) — </w:t>
      </w:r>
      <w:r>
        <w:rPr>
          <w:b/>
        </w:rPr>
        <w:t>jamais sur une impression</w:t>
      </w:r>
      <w:r>
        <w:t xml:space="preserve">. Le barème est annoncé </w:t>
      </w:r>
      <w:r>
        <w:rPr>
          <w:b/>
        </w:rPr>
        <w:t>avant</w:t>
      </w:r>
      <w:r>
        <w:t xml:space="preserve"> réception des offres.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CRITÈRES D'ÉVALUATION ET MESURE OBJECTIVE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 le mesurer objectivement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§ CCTP de référence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C1</w:t>
            </w:r>
          </w:p>
        </w:tc>
        <w:tc>
          <w:tcPr>
            <w:tcW w:type="dxa" w:w="2160"/>
          </w:tcPr>
          <w:p>
            <w:r>
              <w:t>Conformité fonctionnelle</w:t>
            </w:r>
          </w:p>
        </w:tc>
        <w:tc>
          <w:tcPr>
            <w:tcW w:type="dxa" w:w="2160"/>
          </w:tcPr>
          <w:p>
            <w:r>
              <w:t xml:space="preserve">Tableau de conformité point par point (C / PC / NC) avec renvoi à la pièce justificative. Note = % d'exigences « Conforme » (PC = 0,5). Exigences </w:t>
            </w:r>
            <w:r>
              <w:rPr>
                <w:b/>
              </w:rPr>
              <w:t>éliminatoires</w:t>
            </w:r>
            <w:r>
              <w:t xml:space="preserve"> = rejet si NC.</w:t>
            </w:r>
          </w:p>
        </w:tc>
        <w:tc>
          <w:tcPr>
            <w:tcW w:type="dxa" w:w="2160"/>
          </w:tcPr>
          <w:p>
            <w:r>
              <w:t>Art. 5, Annexe 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Ouverture / interopérabilité</w:t>
            </w:r>
          </w:p>
        </w:tc>
        <w:tc>
          <w:tcPr>
            <w:tcW w:type="dxa" w:w="2160"/>
          </w:tcPr>
          <w:p>
            <w:r>
              <w:t xml:space="preserve">Sous-critères comptables (voir §4) : protocoles ouverts natifs, </w:t>
            </w:r>
            <w:r>
              <w:rPr>
                <w:b/>
              </w:rPr>
              <w:t>certifications vérifiées</w:t>
            </w:r>
            <w:r>
              <w:t xml:space="preserve"> (BTL, KNX, DALI-2, OMS), réversibilité &amp; propriété des données.</w:t>
            </w:r>
          </w:p>
        </w:tc>
        <w:tc>
          <w:tcPr>
            <w:tcW w:type="dxa" w:w="2160"/>
          </w:tcPr>
          <w:p>
            <w:r>
              <w:t>Art. 2, 6, 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C3</w:t>
            </w:r>
          </w:p>
        </w:tc>
        <w:tc>
          <w:tcPr>
            <w:tcW w:type="dxa" w:w="2160"/>
          </w:tcPr>
          <w:p>
            <w:r>
              <w:t>Classe d'efficacité NF EN ISO 52120-1</w:t>
            </w:r>
          </w:p>
        </w:tc>
        <w:tc>
          <w:tcPr>
            <w:tcW w:type="dxa" w:w="2160"/>
          </w:tcPr>
          <w:p>
            <w:r>
              <w:t xml:space="preserve">Classe A/B/C </w:t>
            </w:r>
            <w:r>
              <w:rPr>
                <w:b/>
              </w:rPr>
              <w:t>justifiée fonction par fonction</w:t>
            </w:r>
            <w:r>
              <w:t xml:space="preserve"> via la grille de la norme. ¹</w:t>
            </w:r>
          </w:p>
        </w:tc>
        <w:tc>
          <w:tcPr>
            <w:tcW w:type="dxa" w:w="2160"/>
          </w:tcPr>
          <w:p>
            <w:r>
              <w:t>Art. 5.3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C4</w:t>
            </w:r>
          </w:p>
        </w:tc>
        <w:tc>
          <w:tcPr>
            <w:tcW w:type="dxa" w:w="2160"/>
          </w:tcPr>
          <w:p>
            <w:r>
              <w:t>Maintenabilité / anti lock-in</w:t>
            </w:r>
          </w:p>
        </w:tc>
        <w:tc>
          <w:tcPr>
            <w:tcW w:type="dxa" w:w="2160"/>
          </w:tcPr>
          <w:p>
            <w:r>
              <w:t>Points par « verrou levé » : outils d'ingénierie accessibles, documentation complète, mots de passe admin, pas de format propriétaire fermé, pièces/firmware hors fournisseur unique.</w:t>
            </w:r>
          </w:p>
        </w:tc>
        <w:tc>
          <w:tcPr>
            <w:tcW w:type="dxa" w:w="2160"/>
          </w:tcPr>
          <w:p>
            <w:r>
              <w:t>Art. 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C5</w:t>
            </w:r>
          </w:p>
        </w:tc>
        <w:tc>
          <w:tcPr>
            <w:tcW w:type="dxa" w:w="2160"/>
          </w:tcPr>
          <w:p>
            <w:r>
              <w:t>Références &amp; qualifications</w:t>
            </w:r>
          </w:p>
        </w:tc>
        <w:tc>
          <w:tcPr>
            <w:tcW w:type="dxa" w:w="2160"/>
          </w:tcPr>
          <w:p>
            <w:r>
              <w:t xml:space="preserve">Références </w:t>
            </w:r>
            <w:r>
              <w:rPr>
                <w:b/>
              </w:rPr>
              <w:t>comparables</w:t>
            </w:r>
            <w:r>
              <w:t xml:space="preserve"> datées + contact MOA ; qualifications </w:t>
            </w:r>
            <w:r>
              <w:rPr>
                <w:b/>
              </w:rPr>
              <w:t>vérifiables</w:t>
            </w:r>
            <w:r>
              <w:t xml:space="preserve"> . ²</w:t>
            </w:r>
          </w:p>
        </w:tc>
        <w:tc>
          <w:tcPr>
            <w:tcW w:type="dxa" w:w="2160"/>
          </w:tcPr>
          <w:p>
            <w:r>
              <w:t>Art. 8 (mémoire)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C6</w:t>
            </w:r>
          </w:p>
        </w:tc>
        <w:tc>
          <w:tcPr>
            <w:tcW w:type="dxa" w:w="2160"/>
          </w:tcPr>
          <w:p>
            <w:r>
              <w:t>Délais</w:t>
            </w:r>
          </w:p>
        </w:tc>
        <w:tc>
          <w:tcPr>
            <w:tcW w:type="dxa" w:w="2160"/>
          </w:tcPr>
          <w:p>
            <w:r>
              <w:t xml:space="preserve">Planning daté engageant → délai global (semaines). Notation proportionnelle inverse </w:t>
            </w:r>
            <w:r>
              <w:rPr>
                <w:b/>
              </w:rPr>
              <w:t>bornée</w:t>
            </w:r>
            <w:r>
              <w:t xml:space="preserve"> .</w:t>
            </w:r>
          </w:p>
        </w:tc>
        <w:tc>
          <w:tcPr>
            <w:tcW w:type="dxa" w:w="2160"/>
          </w:tcPr>
          <w:p>
            <w:r>
              <w:t>Art. 9, planning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C7</w:t>
            </w:r>
          </w:p>
        </w:tc>
        <w:tc>
          <w:tcPr>
            <w:tcW w:type="dxa" w:w="2160"/>
          </w:tcPr>
          <w:p>
            <w:r>
              <w:t>Garanties / SAV / formation</w:t>
            </w:r>
          </w:p>
        </w:tc>
        <w:tc>
          <w:tcPr>
            <w:tcW w:type="dxa" w:w="2160"/>
          </w:tcPr>
          <w:p>
            <w:r>
              <w:t>Durée garantie (mois), GTI/GTR (h), jours de formation, télémaintenance. Barème par seuils.</w:t>
            </w:r>
          </w:p>
        </w:tc>
        <w:tc>
          <w:tcPr>
            <w:tcW w:type="dxa" w:w="2160"/>
          </w:tcPr>
          <w:p>
            <w:r>
              <w:t>Art. 10, 8.3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Coût global de possession (TCO)</w:t>
            </w:r>
          </w:p>
        </w:tc>
        <w:tc>
          <w:tcPr>
            <w:tcW w:type="dxa" w:w="2160"/>
          </w:tcPr>
          <w:p>
            <w:r>
              <w:t xml:space="preserve">Somme sur durée de référence : CAPEX + maintenance + licences + énergie + réversibilité, sur </w:t>
            </w:r>
            <w:r>
              <w:rPr>
                <w:b/>
              </w:rPr>
              <w:t>cadre de décomposition imposé</w:t>
            </w:r>
            <w:r>
              <w:t xml:space="preserve"> (Annexe C).</w:t>
            </w:r>
          </w:p>
        </w:tc>
        <w:tc>
          <w:tcPr>
            <w:tcW w:type="dxa" w:w="2160"/>
          </w:tcPr>
          <w:p>
            <w:r>
              <w:t>Annexe C</w:t>
            </w:r>
          </w:p>
        </w:tc>
      </w:tr>
    </w:tbl>
    <w:p>
      <w:r/>
    </w:p>
    <w:p>
      <w:r/>
      <w:r>
        <w:t xml:space="preserve">¹ </w:t>
      </w:r>
      <w:r>
        <w:rPr>
          <w:b/>
        </w:rPr>
        <w:t>Si bâtiment assujetti au décret BACS</w:t>
      </w:r>
      <w:r>
        <w:t xml:space="preserve"> : la </w:t>
      </w:r>
      <w:r>
        <w:rPr>
          <w:b/>
        </w:rPr>
        <w:t>classe ≥ B devient une exigence minimale éliminatoire</w:t>
      </w:r>
      <w:r>
        <w:t xml:space="preserve"> (pas un simple critère pondéré) ; C3 ne note alors que le </w:t>
      </w:r>
      <w:r>
        <w:rPr>
          <w:b/>
        </w:rPr>
        <w:t>dépassement</w:t>
      </w:r>
      <w:r>
        <w:t xml:space="preserve"> (atteinte classe A). ² </w:t>
      </w:r>
      <w:r>
        <w:rPr>
          <w:b/>
        </w:rPr>
        <w:t>En marché public</w:t>
      </w:r>
      <w:r>
        <w:t xml:space="preserve"> : les références/qualifications relèvent en principe de la </w:t>
      </w:r>
      <w:r>
        <w:rPr>
          <w:b/>
        </w:rPr>
        <w:t>candidature</w:t>
      </w:r>
      <w:r>
        <w:t xml:space="preserve"> (capacités), non de l'</w:t>
      </w:r>
      <w:r>
        <w:rPr>
          <w:b/>
        </w:rPr>
        <w:t>offre</w:t>
      </w:r>
      <w:r>
        <w:t xml:space="preserve"> (jugement). Les tenir séparées pour rester régulier.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EXEMPLE DE PONDÉRATION</w:t>
      </w:r>
      <w:r/>
      <w:r/>
    </w:p>
    <w:p>
      <w:r/>
      <w:r>
        <w:t xml:space="preserve">⚠️ </w:t>
      </w:r>
      <w:r>
        <w:rPr>
          <w:b/>
        </w:rPr>
        <w:t>Choix du MOA, non réglementaire.</w:t>
      </w:r>
      <w:r>
        <w:t xml:space="preserve"> Fourchette usuelle en achat technique : </w:t>
      </w:r>
      <w:r>
        <w:rPr>
          <w:b/>
        </w:rPr>
        <w:t>valeur technique ≈ 50–70 %</w:t>
      </w:r>
      <w:r>
        <w:t xml:space="preserve">, </w:t>
      </w:r>
      <w:r>
        <w:rPr>
          <w:b/>
        </w:rPr>
        <w:t>prix/TCO ≈ 30–50 %</w:t>
      </w:r>
      <w:r>
        <w:t>. Pour une GTB où l'ouverture et l'efficacité priment, on privilégie le haut de la fourchette technique.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Pondération (exemple)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Coût global de possession (TCO)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30 %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Ouverture / interopérabilité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Conformité fonctionnelle</w:t>
            </w:r>
          </w:p>
        </w:tc>
        <w:tc>
          <w:tcPr>
            <w:tcW w:type="dxa" w:w="2880"/>
          </w:tcPr>
          <w:p>
            <w:r>
              <w:t>12 %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Classe NF EN ISO 52120-1 ¹</w:t>
            </w:r>
          </w:p>
        </w:tc>
        <w:tc>
          <w:tcPr>
            <w:tcW w:type="dxa" w:w="2880"/>
          </w:tcPr>
          <w:p>
            <w:r>
              <w:t>10 %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Maintenabilité / anti lock-in</w:t>
            </w:r>
          </w:p>
        </w:tc>
        <w:tc>
          <w:tcPr>
            <w:tcW w:type="dxa" w:w="2880"/>
          </w:tcPr>
          <w:p>
            <w:r>
              <w:t>10 %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Garanties / SAV / formation</w:t>
            </w:r>
          </w:p>
        </w:tc>
        <w:tc>
          <w:tcPr>
            <w:tcW w:type="dxa" w:w="2880"/>
          </w:tcPr>
          <w:p>
            <w:r>
              <w:t>8 %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Références &amp; qualifications ²</w:t>
            </w:r>
          </w:p>
        </w:tc>
        <w:tc>
          <w:tcPr>
            <w:tcW w:type="dxa" w:w="2880"/>
          </w:tcPr>
          <w:p>
            <w:r>
              <w:t>6 %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Délais</w:t>
            </w:r>
          </w:p>
        </w:tc>
        <w:tc>
          <w:tcPr>
            <w:tcW w:type="dxa" w:w="2880"/>
          </w:tcPr>
          <w:p>
            <w:r>
              <w:t>4 %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100 %</w:t>
            </w:r>
          </w:p>
        </w:tc>
      </w:tr>
    </w:tbl>
    <w:p>
      <w:r/>
    </w:p>
    <w:p>
      <w:r/>
      <w:r>
        <w:t xml:space="preserve">Bloc « valeur technique » (C1+C2+C3+C4+C5+C6+C7) = </w:t>
      </w:r>
      <w:r>
        <w:rPr>
          <w:b/>
        </w:rPr>
        <w:t>70 %</w:t>
      </w:r>
      <w:r>
        <w:t xml:space="preserve"> · Prix/TCO = </w:t>
      </w:r>
      <w:r>
        <w:rPr>
          <w:b/>
        </w:rPr>
        <w:t>30 %</w:t>
      </w:r>
      <w:r>
        <w:t>.</w:t>
      </w:r>
      <w:r/>
      <w:r/>
    </w:p>
    <w:p>
      <w:r/>
      <w:r>
        <w:t xml:space="preserve">🔀 OPTION MARCHÉ PUBLIC — pondérations à publier au règlement de consultation (art. R. 2152-11 / R. 2152-12 CCP) ; possibilité d'exprimer une </w:t>
      </w:r>
      <w:r>
        <w:rPr>
          <w:b/>
        </w:rPr>
        <w:t>fourchette à écart maximal approprié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DÉTAIL DU CRITÈRE C2 — OUVERTURE (cœur « vendor-neutral »)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Sous-critère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Barème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C2.1</w:t>
            </w:r>
            <w:r>
              <w:t xml:space="preserve"> Protocoles ouverts natifs</w:t>
            </w:r>
          </w:p>
        </w:tc>
        <w:tc>
          <w:tcPr>
            <w:tcW w:type="dxa" w:w="2880"/>
          </w:tcPr>
          <w:p>
            <w:r>
              <w:t>Nombre + nature (BACnet/IP, BACnet MS/TP, KNX, Modbus TCP/RTU, DALI-2, M-Bus, OPC UA…), justifiés par fiche produit</w:t>
            </w:r>
          </w:p>
        </w:tc>
        <w:tc>
          <w:tcPr>
            <w:tcW w:type="dxa" w:w="2880"/>
          </w:tcPr>
          <w:p>
            <w:r>
              <w:t xml:space="preserve">Points par protocole supporté nativement, </w:t>
            </w:r>
            <w:r>
              <w:rPr>
                <w:b/>
              </w:rPr>
              <w:t>plafonné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C2.2</w:t>
            </w:r>
            <w:r>
              <w:t xml:space="preserve"> Certifications </w:t>
            </w:r>
            <w:r>
              <w:rPr>
                <w:b/>
              </w:rPr>
              <w:t>vérifiées</w:t>
            </w:r>
          </w:p>
        </w:tc>
        <w:tc>
          <w:tcPr>
            <w:tcW w:type="dxa" w:w="2880"/>
          </w:tcPr>
          <w:p>
            <w:r>
              <w:t xml:space="preserve">BACnet → </w:t>
            </w:r>
            <w:r>
              <w:rPr>
                <w:b/>
              </w:rPr>
              <w:t>BTL Listing</w:t>
            </w:r>
            <w:r>
              <w:t xml:space="preserve"> (n° vérifiable) ; KNX → </w:t>
            </w:r>
            <w:r>
              <w:rPr>
                <w:b/>
              </w:rPr>
              <w:t>certifié KNX</w:t>
            </w:r>
            <w:r>
              <w:t xml:space="preserve"> ; éclairage → </w:t>
            </w:r>
            <w:r>
              <w:rPr>
                <w:b/>
              </w:rPr>
              <w:t>DALI-2</w:t>
            </w:r>
            <w:r>
              <w:t xml:space="preserve"> ; comptage → </w:t>
            </w:r>
            <w:r>
              <w:rPr>
                <w:b/>
              </w:rPr>
              <w:t>OMS</w:t>
            </w:r>
          </w:p>
        </w:tc>
        <w:tc>
          <w:tcPr>
            <w:tcW w:type="dxa" w:w="2880"/>
          </w:tcPr>
          <w:p>
            <w:r>
              <w:t xml:space="preserve">Points par certification </w:t>
            </w:r>
            <w:r>
              <w:rPr>
                <w:b/>
              </w:rPr>
              <w:t>vérifiée dans la base officielle</w:t>
            </w:r>
            <w:r>
              <w:t xml:space="preserve"> ; </w:t>
            </w:r>
            <w:r>
              <w:rPr>
                <w:b/>
              </w:rPr>
              <w:t>0 si seulement « compatible » déclaré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C2.3</w:t>
            </w:r>
            <w:r>
              <w:t xml:space="preserve"> Réversibilité &amp; propriété des données</w:t>
            </w:r>
          </w:p>
        </w:tc>
        <w:tc>
          <w:tcPr>
            <w:tcW w:type="dxa" w:w="2880"/>
          </w:tcPr>
          <w:p>
            <w:r>
              <w:t>(i) propriété des données au MOA, (ii) export formats ouverts + config, (iii) pas de runtime bloquant, (iv) fourniture table de points + doc d'intégration</w:t>
            </w:r>
          </w:p>
        </w:tc>
        <w:tc>
          <w:tcPr>
            <w:tcW w:type="dxa" w:w="2880"/>
          </w:tcPr>
          <w:p>
            <w:r>
              <w:t>Oui / Partiel / Non → points</w:t>
            </w:r>
          </w:p>
        </w:tc>
      </w:tr>
    </w:tbl>
    <w:p>
      <w:r/>
      <w:r/>
    </w:p>
    <w:p>
      <w:r/>
      <w:r>
        <w:rPr>
          <w:b/>
        </w:rPr>
        <w:t>Pourquoi la certification compte</w:t>
      </w:r>
      <w:r>
        <w:t xml:space="preserve"> : une certification (ex. </w:t>
      </w:r>
      <w:r>
        <w:rPr>
          <w:b/>
        </w:rPr>
        <w:t>BTL</w:t>
      </w:r>
      <w:r>
        <w:t xml:space="preserve">) atteste qu'un produit a passé les tests de conformité d'un laboratoire reconnu et garantit l'interopérabilité </w:t>
      </w:r>
      <w:r>
        <w:rPr>
          <w:b/>
        </w:rPr>
        <w:t>multi-fournisseurs</w:t>
      </w:r>
      <w:r>
        <w:t xml:space="preserve"> — preuve objective de l'ouverture, par opposition à une compatibilité </w:t>
      </w:r>
      <w:r>
        <w:rPr>
          <w:b/>
        </w:rPr>
        <w:t>auto-déclarée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MÉTHODE DE NOTATION (anti-arbitraire)</w:t>
      </w:r>
      <w:r/>
    </w:p>
    <w:p>
      <w:pPr>
        <w:pStyle w:val="Heading3"/>
      </w:pPr>
      <w:r>
        <w:t>5.1 Critères techniques</w:t>
      </w:r>
      <w:r/>
    </w:p>
    <w:p>
      <w:r/>
      <w:r>
        <w:t xml:space="preserve">Notation sur </w:t>
      </w:r>
      <w:r>
        <w:rPr>
          <w:b/>
        </w:rPr>
        <w:t>sous-critères à seuils explicites</w:t>
      </w:r>
      <w:r>
        <w:t xml:space="preserve"> (un fait observable → un nombre de points fixé d'avance). </w:t>
      </w:r>
      <w:r>
        <w:rPr>
          <w:b/>
        </w:rPr>
        <w:t>Bannir</w:t>
      </w:r>
      <w:r>
        <w:t xml:space="preserve"> les notations « impression » non justifiables.</w:t>
      </w:r>
      <w:r/>
    </w:p>
    <w:p>
      <w:pPr>
        <w:pStyle w:val="Heading3"/>
      </w:pPr>
      <w:r>
        <w:t>5.2 Critère prix / TCO</w:t>
      </w:r>
      <w:r/>
    </w:p>
    <w:p>
      <w:r/>
      <w:r>
        <w:t>Formule recommandée (</w:t>
      </w:r>
      <w:r>
        <w:rPr>
          <w:b/>
        </w:rPr>
        <w:t>pratique courante</w:t>
      </w:r>
      <w:r>
        <w:t xml:space="preserve">, identifiée par la </w:t>
      </w:r>
      <w:r>
        <w:rPr>
          <w:b/>
        </w:rPr>
        <w:t>DAJ de Bercy</w:t>
      </w:r>
      <w:r>
        <w:t xml:space="preserve"> comme régulière) :</w:t>
      </w:r>
      <w:r/>
      <w:r/>
    </w:p>
    <w:p>
      <w:r/>
      <w:r>
        <w:rPr>
          <w:b/>
        </w:rPr>
        <w:t>Note = (montant le plus bas / montant de l'offre examinée) × note maximale</w:t>
      </w:r>
      <w:r/>
      <w:r/>
      <w:r/>
    </w:p>
    <w:p>
      <w:pPr>
        <w:pStyle w:val="ListBullet"/>
        <w:spacing w:line="240" w:lineRule="auto"/>
        <w:ind w:left="720"/>
      </w:pPr>
      <w:r/>
      <w:r>
        <w:t xml:space="preserve">⚠️ La DAJ </w:t>
      </w:r>
      <w:r>
        <w:rPr>
          <w:b/>
        </w:rPr>
        <w:t>ne rend aucune méthode obligatoire</w:t>
      </w:r>
      <w:r>
        <w:t xml:space="preserve"> : « il n'existe pas de méthode unique », libre choix de l'acheteur.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Appliquer la formule au TCO</w:t>
      </w:r>
      <w:r>
        <w:t xml:space="preserve"> (coût global, Annexe C du CCTP), </w:t>
      </w:r>
      <w:r>
        <w:rPr>
          <w:b/>
        </w:rPr>
        <w:t>pas au seul prix d'achat</w:t>
      </w:r>
      <w:r>
        <w:t xml:space="preserve"> : un CAPEX faible peut cacher des licences / un lock-in coûteux. C'est ce qui sert réellement l'objectif vendor-neutral.</w:t>
      </w:r>
      <w:r/>
      <w:r/>
    </w:p>
    <w:p>
      <w:pPr>
        <w:pStyle w:val="Heading3"/>
      </w:pPr>
      <w:r>
        <w:t>5.3 Délais</w:t>
      </w:r>
      <w:r/>
    </w:p>
    <w:p>
      <w:r/>
      <w:r>
        <w:t xml:space="preserve">Même logique proportionnelle inverse, avec </w:t>
      </w:r>
      <w:r>
        <w:rPr>
          <w:b/>
        </w:rPr>
        <w:t>bornes</w:t>
      </w:r>
      <w:r>
        <w:t xml:space="preserve"> pour écarter les délais irréalistes (un délai anormalement court peut être écarté ou exiger justification).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TABLEAUX DE DÉPOUILLEMENT (prêts à remplir)</w:t>
      </w:r>
      <w:r/>
    </w:p>
    <w:p>
      <w:pPr>
        <w:pStyle w:val="Heading3"/>
      </w:pPr>
      <w:r>
        <w:t>Table 1 — Détail par critère (à dupliquer par candidat, ou colonnes côte à côte)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N°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Critère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§ CCTP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Pondération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Méthode / barème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 brute /20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Note pondérée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Justif. / pièce</w:t>
            </w:r>
          </w:p>
        </w:tc>
      </w:tr>
      <w:tr>
        <w:tc>
          <w:tcPr>
            <w:tcW w:type="dxa" w:w="1080"/>
          </w:tcPr>
          <w:p>
            <w:r>
              <w:t>C1</w:t>
            </w:r>
          </w:p>
        </w:tc>
        <w:tc>
          <w:tcPr>
            <w:tcW w:type="dxa" w:w="1080"/>
          </w:tcPr>
          <w:p>
            <w:r>
              <w:t>Conformité fonctionnelle</w:t>
            </w:r>
          </w:p>
        </w:tc>
        <w:tc>
          <w:tcPr>
            <w:tcW w:type="dxa" w:w="1080"/>
          </w:tcPr>
          <w:p>
            <w:r>
              <w:t>§5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% exigences conformes (PC=0,5) × 20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Tableau conformité p.…</w:t>
            </w:r>
          </w:p>
        </w:tc>
      </w:tr>
      <w:tr>
        <w:tc>
          <w:tcPr>
            <w:tcW w:type="dxa" w:w="1080"/>
          </w:tcPr>
          <w:p>
            <w:r>
              <w:t>C2</w:t>
            </w:r>
          </w:p>
        </w:tc>
        <w:tc>
          <w:tcPr>
            <w:tcW w:type="dxa" w:w="1080"/>
          </w:tcPr>
          <w:p>
            <w:r>
              <w:t>Ouverture / interopérabilité</w:t>
            </w:r>
          </w:p>
        </w:tc>
        <w:tc>
          <w:tcPr>
            <w:tcW w:type="dxa" w:w="1080"/>
          </w:tcPr>
          <w:p>
            <w:r>
              <w:t>§2,6,7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Barème C2.1/2.2/2.3 (Table 2)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Fiches + listings BTL/KNX/DALI-2</w:t>
            </w:r>
          </w:p>
        </w:tc>
      </w:tr>
      <w:tr>
        <w:tc>
          <w:tcPr>
            <w:tcW w:type="dxa" w:w="1080"/>
          </w:tcPr>
          <w:p>
            <w:r>
              <w:t>C3</w:t>
            </w:r>
          </w:p>
        </w:tc>
        <w:tc>
          <w:tcPr>
            <w:tcW w:type="dxa" w:w="1080"/>
          </w:tcPr>
          <w:p>
            <w:r>
              <w:t>Classe 52120-1</w:t>
            </w:r>
          </w:p>
        </w:tc>
        <w:tc>
          <w:tcPr>
            <w:tcW w:type="dxa" w:w="1080"/>
          </w:tcPr>
          <w:p>
            <w:r>
              <w:t>§5.3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A=20 / B=12 / (C,D éliminés si assujetti)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Grille fonctions 52120-1</w:t>
            </w:r>
          </w:p>
        </w:tc>
      </w:tr>
      <w:tr>
        <w:tc>
          <w:tcPr>
            <w:tcW w:type="dxa" w:w="1080"/>
          </w:tcPr>
          <w:p>
            <w:r>
              <w:t>C4</w:t>
            </w:r>
          </w:p>
        </w:tc>
        <w:tc>
          <w:tcPr>
            <w:tcW w:type="dxa" w:w="1080"/>
          </w:tcPr>
          <w:p>
            <w:r>
              <w:t>Maintenabilité / anti lock-in</w:t>
            </w:r>
          </w:p>
        </w:tc>
        <w:tc>
          <w:tcPr>
            <w:tcW w:type="dxa" w:w="1080"/>
          </w:tcPr>
          <w:p>
            <w:r>
              <w:t>§7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Σ points par verrou levé (6 items)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Engagements contractuels</w:t>
            </w:r>
          </w:p>
        </w:tc>
      </w:tr>
      <w:tr>
        <w:tc>
          <w:tcPr>
            <w:tcW w:type="dxa" w:w="1080"/>
          </w:tcPr>
          <w:p>
            <w:r>
              <w:t>C5</w:t>
            </w:r>
          </w:p>
        </w:tc>
        <w:tc>
          <w:tcPr>
            <w:tcW w:type="dxa" w:w="1080"/>
          </w:tcPr>
          <w:p>
            <w:r>
              <w:t>Références &amp; qualifications</w:t>
            </w:r>
          </w:p>
        </w:tc>
        <w:tc>
          <w:tcPr>
            <w:tcW w:type="dxa" w:w="1080"/>
          </w:tcPr>
          <w:p>
            <w:r>
              <w:t>§8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Barème par réf. recevable + qualifs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Attestations</w:t>
            </w:r>
          </w:p>
        </w:tc>
      </w:tr>
      <w:tr>
        <w:tc>
          <w:tcPr>
            <w:tcW w:type="dxa" w:w="1080"/>
          </w:tcPr>
          <w:p>
            <w:r>
              <w:t>C6</w:t>
            </w:r>
          </w:p>
        </w:tc>
        <w:tc>
          <w:tcPr>
            <w:tcW w:type="dxa" w:w="1080"/>
          </w:tcPr>
          <w:p>
            <w:r>
              <w:t>Délais</w:t>
            </w:r>
          </w:p>
        </w:tc>
        <w:tc>
          <w:tcPr>
            <w:tcW w:type="dxa" w:w="1080"/>
          </w:tcPr>
          <w:p>
            <w:r>
              <w:t>§9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(délai mini recevable / délai offre) × 20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Planning daté</w:t>
            </w:r>
          </w:p>
        </w:tc>
      </w:tr>
      <w:tr>
        <w:tc>
          <w:tcPr>
            <w:tcW w:type="dxa" w:w="1080"/>
          </w:tcPr>
          <w:p>
            <w:r>
              <w:t>C7</w:t>
            </w:r>
          </w:p>
        </w:tc>
        <w:tc>
          <w:tcPr>
            <w:tcW w:type="dxa" w:w="1080"/>
          </w:tcPr>
          <w:p>
            <w:r>
              <w:t>Garanties / SAV / formation</w:t>
            </w:r>
          </w:p>
        </w:tc>
        <w:tc>
          <w:tcPr>
            <w:tcW w:type="dxa" w:w="1080"/>
          </w:tcPr>
          <w:p>
            <w:r>
              <w:t>§10, 8.3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Barème par seuils (garantie, GTI, formation)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Mémoire + CCAP</w:t>
            </w:r>
          </w:p>
        </w:tc>
      </w:tr>
      <w:tr>
        <w:tc>
          <w:tcPr>
            <w:tcW w:type="dxa" w:w="1080"/>
          </w:tcPr>
          <w:p>
            <w:r>
              <w:t>C8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TCO</w:t>
            </w:r>
          </w:p>
        </w:tc>
        <w:tc>
          <w:tcPr>
            <w:tcW w:type="dxa" w:w="1080"/>
          </w:tcPr>
          <w:p>
            <w:r>
              <w:t>Annexe C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(TCO le plus bas / TCO offre) × 20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BPU/DPGF cadre imposé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</w:rPr>
              <w:t>100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/>
              </w:rPr>
              <w:t>/20</w:t>
            </w:r>
          </w:p>
        </w:tc>
        <w:tc>
          <w:tcPr>
            <w:tcW w:type="dxa" w:w="1080"/>
          </w:tcPr>
          <w:p/>
        </w:tc>
      </w:tr>
    </w:tbl>
    <w:p>
      <w:r/>
    </w:p>
    <w:p>
      <w:pPr>
        <w:pStyle w:val="Heading3"/>
      </w:pPr>
      <w:r>
        <w:t>Table 2 — Détail sous-critères C2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Sous-critère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Barème</w:t>
            </w:r>
          </w:p>
        </w:tc>
      </w:tr>
      <w:tr>
        <w:tc>
          <w:tcPr>
            <w:tcW w:type="dxa" w:w="2880"/>
          </w:tcPr>
          <w:p>
            <w:r>
              <w:t>C2.1 Protocoles ouverts natifs</w:t>
            </w:r>
          </w:p>
        </w:tc>
        <w:tc>
          <w:tcPr>
            <w:tcW w:type="dxa" w:w="2880"/>
          </w:tcPr>
          <w:p>
            <w:r>
              <w:t>Nombre + nature</w:t>
            </w:r>
          </w:p>
        </w:tc>
        <w:tc>
          <w:tcPr>
            <w:tcW w:type="dxa" w:w="2880"/>
          </w:tcPr>
          <w:p>
            <w:r>
              <w:t>Points/protocole, plafonné</w:t>
            </w:r>
          </w:p>
        </w:tc>
      </w:tr>
      <w:tr>
        <w:tc>
          <w:tcPr>
            <w:tcW w:type="dxa" w:w="2880"/>
          </w:tcPr>
          <w:p>
            <w:r>
              <w:t>C2.2 Certifications vérifiées</w:t>
            </w:r>
          </w:p>
        </w:tc>
        <w:tc>
          <w:tcPr>
            <w:tcW w:type="dxa" w:w="2880"/>
          </w:tcPr>
          <w:p>
            <w:r>
              <w:t>BTL / KNX certified / DALI-2 / OMS (listing à l'appui)</w:t>
            </w:r>
          </w:p>
        </w:tc>
        <w:tc>
          <w:tcPr>
            <w:tcW w:type="dxa" w:w="2880"/>
          </w:tcPr>
          <w:p>
            <w:r>
              <w:t xml:space="preserve">Points/certif </w:t>
            </w:r>
            <w:r>
              <w:rPr>
                <w:b/>
              </w:rPr>
              <w:t>vérifiée</w:t>
            </w:r>
            <w:r>
              <w:t xml:space="preserve"> ; 0 si déclarée seule</w:t>
            </w:r>
          </w:p>
        </w:tc>
      </w:tr>
      <w:tr>
        <w:tc>
          <w:tcPr>
            <w:tcW w:type="dxa" w:w="2880"/>
          </w:tcPr>
          <w:p>
            <w:r>
              <w:t>C2.3 Réversibilité &amp; propriété données</w:t>
            </w:r>
          </w:p>
        </w:tc>
        <w:tc>
          <w:tcPr>
            <w:tcW w:type="dxa" w:w="2880"/>
          </w:tcPr>
          <w:p>
            <w:r>
              <w:t>Export ouvert + pas de runtime bloquant + doc complète</w:t>
            </w:r>
          </w:p>
        </w:tc>
        <w:tc>
          <w:tcPr>
            <w:tcW w:type="dxa" w:w="2880"/>
          </w:tcPr>
          <w:p>
            <w:r>
              <w:t>Oui / Partiel / Non → points</w:t>
            </w:r>
          </w:p>
        </w:tc>
      </w:tr>
    </w:tbl>
    <w:p>
      <w:r/>
    </w:p>
    <w:p>
      <w:pPr>
        <w:pStyle w:val="Heading3"/>
      </w:pPr>
      <w:r>
        <w:t>Table 3 — Synthèse &amp; classement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Candidat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 notes pondérées /20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Offre conforme (O/N)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SOURCES (vérifiées)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Code de la commande publique</w:t>
      </w:r>
      <w:r>
        <w:t xml:space="preserve">, art. </w:t>
      </w:r>
      <w:r>
        <w:rPr>
          <w:b/>
        </w:rPr>
        <w:t>R. 2152-11</w:t>
      </w:r>
      <w:r>
        <w:t xml:space="preserve"> et </w:t>
      </w:r>
      <w:r>
        <w:rPr>
          <w:b/>
        </w:rPr>
        <w:t>R. 2152-12</w:t>
      </w:r>
      <w:r>
        <w:t xml:space="preserve"> (pondération / hiérarchisation et publication des critères) — Légifrance </w:t>
      </w:r>
      <w:r>
        <w:rPr>
          <w:i/>
        </w:rPr>
        <w:t>(confiance élevée)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Fiche DAJ — Méthodes de notation du critère prix</w:t>
      </w:r>
      <w:r>
        <w:t xml:space="preserve"> (formule du moins-disant, libre choix de l'acheteur) — DAJ Bercy / marche-public.fr </w:t>
      </w:r>
      <w:r>
        <w:rPr>
          <w:i/>
        </w:rPr>
        <w:t>(confiance élevée)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 EN ISO 52120-1:2022</w:t>
      </w:r>
      <w:r>
        <w:t xml:space="preserve"> (classes A/B/C/D, remplace NF EN 15232-1:2017) — </w:t>
      </w:r>
      <w:r>
        <w:rPr>
          <w:i/>
        </w:rPr>
        <w:t>confiance moyenne-élevée, acquérir le texte AFNOR pour usage opposable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Décret BACS</w:t>
      </w:r>
      <w:r>
        <w:t xml:space="preserve"> (2020-887 modifié 2023-259) — exigence GTB pour bâtiments assujettis — </w:t>
      </w:r>
      <w:r>
        <w:rPr>
          <w:i/>
        </w:rPr>
        <w:t>vérifier l'assujettissement réel et les seuils sur Légifrance avant d'en faire un critère éliminatoire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Certification </w:t>
      </w:r>
      <w:r>
        <w:rPr>
          <w:b/>
        </w:rPr>
        <w:t>BTL</w:t>
      </w:r>
      <w:r>
        <w:t xml:space="preserve"> (BACnet Testing Laboratories) — bacnet.org / btl.org </w:t>
      </w:r>
      <w:r>
        <w:rPr>
          <w:i/>
        </w:rPr>
        <w:t>(confiance élevée)</w:t>
      </w:r>
      <w:r>
        <w:t>. KNX certified / DALI-2 / OMS : vérifier sur les bases officielles lors de l'analyse des offres.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Grille de dépouillement GTB vendor-neutral — NeoGTB. Pondérations = exemple à valider par le MOA. Distinguer candidature/offre en marché 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