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line="360" w:lineRule="auto"/>
        <w:ind w:firstLine="0"/>
        <w:jc w:val="center"/>
      </w:pPr>
      <w:r>
        <w:rPr>
          <w:rFonts w:ascii="Arial" w:hAnsi="Arial"/>
          <w:b/>
          <w:i w:val="0"/>
          <w:color w:val="000000"/>
          <w:sz w:val="28"/>
        </w:rPr>
        <w:t>UNIVERSIDAD PRIVADA FRANZ TAMAYO</w:t>
      </w:r>
    </w:p>
    <w:p>
      <w:pPr>
        <w:spacing w:before="0" w:after="0" w:line="360" w:lineRule="auto"/>
        <w:ind w:firstLine="0"/>
        <w:jc w:val="center"/>
      </w:pPr>
      <w:r>
        <w:rPr>
          <w:rFonts w:ascii="Arial" w:hAnsi="Arial"/>
          <w:b/>
          <w:i w:val="0"/>
          <w:color w:val="000000"/>
          <w:sz w:val="28"/>
        </w:rPr>
        <w:t>SEDE EL ALTO</w:t>
      </w:r>
    </w:p>
    <w:p>
      <w:pPr>
        <w:spacing w:before="0" w:after="0" w:line="360" w:lineRule="auto"/>
        <w:ind w:firstLine="0"/>
        <w:jc w:val="center"/>
      </w:pPr>
      <w:r>
        <w:rPr>
          <w:rFonts w:ascii="Arial" w:hAnsi="Arial"/>
          <w:b/>
          <w:i w:val="0"/>
          <w:color w:val="000000"/>
          <w:sz w:val="28"/>
        </w:rPr>
        <w:t>FACULTAD DE INGENIERIA</w:t>
      </w:r>
    </w:p>
    <w:p>
      <w:pPr>
        <w:spacing w:before="0" w:after="200" w:line="360" w:lineRule="auto"/>
        <w:ind w:firstLine="0"/>
        <w:jc w:val="center"/>
      </w:pPr>
      <w:r>
        <w:rPr>
          <w:rFonts w:ascii="Arial" w:hAnsi="Arial"/>
          <w:b/>
          <w:i w:val="0"/>
          <w:color w:val="000000"/>
          <w:sz w:val="28"/>
        </w:rPr>
        <w:t>CARRERA DE INGENIERIA DE SISTEMAS</w:t>
      </w:r>
    </w:p>
    <w:p>
      <w:pPr>
        <w:spacing w:before="0" w:after="200" w:line="360" w:lineRule="auto"/>
        <w:ind w:firstLine="0"/>
        <w:jc w:val="center"/>
      </w:pPr>
      <w:r>
        <w:rPr>
          <w:rFonts w:ascii="Arial" w:hAnsi="Arial"/>
          <w:b/>
          <w:i w:val="0"/>
          <w:color w:val="000000"/>
          <w:sz w:val="24"/>
        </w:rPr>
        <w:t>PROYECTO</w:t>
      </w:r>
    </w:p>
    <w:p>
      <w:pPr>
        <w:spacing w:after="700"/>
        <w:jc w:val="center"/>
      </w:pPr>
      <w:r>
        <w:drawing>
          <wp:inline xmlns:a="http://schemas.openxmlformats.org/drawingml/2006/main" xmlns:pic="http://schemas.openxmlformats.org/drawingml/2006/picture">
            <wp:extent cx="2534400" cy="2404800"/>
            <wp:docPr id="1" name="Picture 1"/>
            <wp:cNvGraphicFramePr>
              <a:graphicFrameLocks noChangeAspect="1"/>
            </wp:cNvGraphicFramePr>
            <a:graphic>
              <a:graphicData uri="http://schemas.openxmlformats.org/drawingml/2006/picture">
                <pic:pic>
                  <pic:nvPicPr>
                    <pic:cNvPr id="0" name="logounifranz.png"/>
                    <pic:cNvPicPr/>
                  </pic:nvPicPr>
                  <pic:blipFill>
                    <a:blip r:embed="rId11"/>
                    <a:stretch>
                      <a:fillRect/>
                    </a:stretch>
                  </pic:blipFill>
                  <pic:spPr>
                    <a:xfrm>
                      <a:off x="0" y="0"/>
                      <a:ext cx="2534400" cy="2404800"/>
                    </a:xfrm>
                    <a:prstGeom prst="rect"/>
                  </pic:spPr>
                </pic:pic>
              </a:graphicData>
            </a:graphic>
          </wp:inline>
        </w:drawing>
      </w:r>
    </w:p>
    <w:p>
      <w:pPr>
        <w:spacing w:before="700" w:after="700" w:line="360" w:lineRule="auto"/>
        <w:ind w:firstLine="0"/>
        <w:jc w:val="center"/>
      </w:pPr>
      <w:r>
        <w:rPr>
          <w:rFonts w:ascii="Arial" w:hAnsi="Arial"/>
          <w:b/>
          <w:i w:val="0"/>
          <w:color w:val="000000"/>
          <w:sz w:val="26"/>
        </w:rPr>
        <w:t>"Guía completa sobre gatos: Comportamiento, cuidado y características de nuestros felinos domésticos"</w:t>
      </w:r>
    </w:p>
    <w:p>
      <w:pPr>
        <w:spacing w:before="0" w:after="0" w:line="360" w:lineRule="auto"/>
        <w:ind w:firstLine="0"/>
        <w:jc w:val="center"/>
      </w:pPr>
      <w:r>
        <w:rPr>
          <w:rFonts w:ascii="Arial" w:hAnsi="Arial"/>
          <w:b w:val="0"/>
          <w:i w:val="0"/>
          <w:color w:val="000000"/>
          <w:sz w:val="24"/>
        </w:rPr>
        <w:t>AUTOR: Sin asignar</w:t>
      </w:r>
    </w:p>
    <w:p>
      <w:pPr>
        <w:spacing w:before="0" w:after="0" w:line="360" w:lineRule="auto"/>
        <w:ind w:firstLine="0"/>
        <w:jc w:val="center"/>
      </w:pPr>
      <w:r>
        <w:rPr>
          <w:rFonts w:ascii="Arial" w:hAnsi="Arial"/>
          <w:b w:val="0"/>
          <w:i w:val="0"/>
          <w:color w:val="000000"/>
          <w:sz w:val="24"/>
        </w:rPr>
        <w:t>TUTOR: Sin asignar</w:t>
      </w:r>
    </w:p>
    <w:p/>
    <w:p>
      <w:pPr>
        <w:spacing w:before="0" w:after="0" w:line="360" w:lineRule="auto"/>
        <w:ind w:firstLine="0"/>
        <w:jc w:val="center"/>
      </w:pPr>
      <w:r>
        <w:rPr>
          <w:rFonts w:ascii="Arial" w:hAnsi="Arial"/>
          <w:b/>
          <w:i w:val="0"/>
          <w:color w:val="000000"/>
          <w:sz w:val="24"/>
        </w:rPr>
        <w:t>SEDE EL ALTO</w:t>
        <w:br/>
        <w:t>2026</w:t>
      </w:r>
    </w:p>
    <w:p>
      <w:r>
        <w:br w:type="page"/>
      </w:r>
    </w:p>
    <w:p>
      <w:r>
        <w:fldChar w:fldCharType="begin"/>
      </w:r>
      <w:r>
        <w:instrText xml:space="preserve"> TOC \o "1-3" \h \z \u </w:instrText>
      </w:r>
      <w:r>
        <w:fldChar w:fldCharType="separate"/>
      </w:r>
      <w:r>
        <w:rPr>
          <w:rFonts w:ascii="Arial" w:hAnsi="Arial"/>
          <w:i/>
          <w:sz w:val="20"/>
        </w:rPr>
        <w:t>[Click derecho y seleccione "Actualizar campos" para generar el índice]</w:t>
      </w:r>
      <w:r>
        <w:fldChar w:fldCharType="end"/>
      </w:r>
    </w:p>
    <w:p>
      <w:r>
        <w:br w:type="page"/>
      </w:r>
    </w:p>
    <w:p>
      <w:r>
        <w:rPr>
          <w:b/>
          <w:i w:val="0"/>
          <w:sz w:val="28"/>
        </w:rPr>
        <w:t>Propuesta de Investigación: Integración y Impacto de Tecnologías Emergentes en la Educación Superior</w:t>
      </w:r>
    </w:p>
    <w:p/>
    <w:p>
      <w:pPr>
        <w:pStyle w:val="Heading2"/>
      </w:pPr>
      <w:r>
        <w:rPr>
          <w:rFonts w:ascii="Arial" w:hAnsi="Arial"/>
          <w:color w:val="000000"/>
        </w:rPr>
        <w:t xml:space="preserve"> 1. INTRODUCCIÓN</w:t>
      </w:r>
    </w:p>
    <w:p/>
    <w:p>
      <w:pPr>
        <w:pStyle w:val="Heading3"/>
      </w:pPr>
      <w:r>
        <w:rPr>
          <w:rFonts w:ascii="Arial" w:hAnsi="Arial"/>
          <w:color w:val="000000"/>
        </w:rPr>
        <w:t>1.1. Contextualización del Problema</w:t>
      </w:r>
    </w:p>
    <w:p>
      <w:pPr>
        <w:spacing w:before="0" w:after="0" w:line="360" w:lineRule="auto"/>
        <w:ind w:firstLine="709"/>
      </w:pPr>
      <w:r>
        <w:rPr>
          <w:rFonts w:ascii="Arial" w:hAnsi="Arial"/>
          <w:b w:val="0"/>
          <w:i w:val="0"/>
          <w:color w:val="000000"/>
          <w:sz w:val="24"/>
        </w:rPr>
        <w:t>La educación superior contemporánea se encuentra en una encrucijada marcada por la rápida evolución tecnológica y las crecientes demandas de una sociedad globalizada y digital. En este contexto, las universidades de todo el mundo están explorando nuevas pedagogías y herramientas para preparar a los estudiantes con las habilidades necesarias para el siglo XXI. La integración de tecnologías emergentes, como la inteligencia artificial, la realidad virtual y aumentada, y el blockchain, se presenta como una vía prometedora para transformar los procesos de enseñanza-aprendizaje, mejorar la accesibilidad y personalizar la experiencia educativa. Sin embargo, su adopción efectiva requiere una comprensión profunda de sus implicaciones, desafíos y beneficios potenciales.</w:t>
      </w:r>
    </w:p>
    <w:p/>
    <w:p>
      <w:pPr>
        <w:pStyle w:val="Heading3"/>
      </w:pPr>
      <w:r>
        <w:rPr>
          <w:rFonts w:ascii="Arial" w:hAnsi="Arial"/>
          <w:color w:val="000000"/>
        </w:rPr>
        <w:t>1.2. Planteamiento del Problema</w:t>
      </w:r>
    </w:p>
    <w:p>
      <w:pPr>
        <w:spacing w:before="0" w:after="0" w:line="360" w:lineRule="auto"/>
        <w:ind w:firstLine="709"/>
      </w:pPr>
      <w:r>
        <w:rPr>
          <w:rFonts w:ascii="Arial" w:hAnsi="Arial"/>
          <w:b w:val="0"/>
          <w:i w:val="0"/>
          <w:color w:val="000000"/>
          <w:sz w:val="24"/>
        </w:rPr>
        <w:t>A pesar del vasto potencial de las tecnologías emergentes, su implementación en el ámbito de la educación superior a menudo enfrenta barreras significativas. Existe una brecha entre el rápido avance tecnológico y la capacidad de las instituciones educativas para integrar estas herramientas de manera estratégica y pedagógicamente sólida. Las problemáticas clave incluyen la falta de capacitación docente adecuada, la resistencia al cambio, la infraestructura tecnológica insuficiente, la dificultad para medir el impacto real en el rendimiento académico y la equidad, y la ausencia de marcos teóricos y prácticos que guíen una adopción sostenible y efectiva. Esta situación conduce a una subutilización de estas herramientas o a implementaciones desarticuladas que no logran los resultados deseados.</w:t>
      </w:r>
    </w:p>
    <w:p/>
    <w:p>
      <w:pPr>
        <w:pStyle w:val="Heading3"/>
      </w:pPr>
      <w:r>
        <w:rPr>
          <w:rFonts w:ascii="Arial" w:hAnsi="Arial"/>
          <w:color w:val="000000"/>
        </w:rPr>
        <w:t>1.3. Preguntas de Investigación</w:t>
      </w:r>
    </w:p>
    <w:p>
      <w:pPr>
        <w:spacing w:line="360" w:lineRule="auto"/>
        <w:ind w:firstLine="709"/>
      </w:pPr>
      <w:r>
        <w:rPr>
          <w:rFonts w:ascii="Arial" w:hAnsi="Arial"/>
          <w:color w:val="000000"/>
          <w:sz w:val="24"/>
        </w:rPr>
        <w:t xml:space="preserve">  •  </w:t>
      </w:r>
      <w:r>
        <w:rPr>
          <w:rFonts w:ascii="Arial" w:hAnsi="Arial"/>
          <w:color w:val="000000"/>
          <w:sz w:val="24"/>
        </w:rPr>
        <w:t xml:space="preserve">  ¿Cuál es el estado actual de la integración de tecnologías emergentes (IA, RV/RA, blockchain) en los procesos de enseñanza-aprendizaje en instituciones de educación superior seleccionadas?</w:t>
      </w:r>
    </w:p>
    <w:p>
      <w:pPr>
        <w:spacing w:line="360" w:lineRule="auto"/>
        <w:ind w:firstLine="709"/>
      </w:pPr>
      <w:r>
        <w:rPr>
          <w:rFonts w:ascii="Arial" w:hAnsi="Arial"/>
          <w:color w:val="000000"/>
          <w:sz w:val="24"/>
        </w:rPr>
        <w:t xml:space="preserve">  •  </w:t>
      </w:r>
      <w:r>
        <w:rPr>
          <w:rFonts w:ascii="Arial" w:hAnsi="Arial"/>
          <w:color w:val="000000"/>
          <w:sz w:val="24"/>
        </w:rPr>
        <w:t xml:space="preserve">  ¿Cómo perciben los docentes y estudiantes el impacto de estas tecnologías en la motivación, el compromiso y el rendimiento académico?</w:t>
      </w:r>
    </w:p>
    <w:p>
      <w:pPr>
        <w:spacing w:line="360" w:lineRule="auto"/>
        <w:ind w:firstLine="709"/>
      </w:pPr>
      <w:r>
        <w:rPr>
          <w:rFonts w:ascii="Arial" w:hAnsi="Arial"/>
          <w:color w:val="000000"/>
          <w:sz w:val="24"/>
        </w:rPr>
        <w:t xml:space="preserve">  •  </w:t>
      </w:r>
      <w:r>
        <w:rPr>
          <w:rFonts w:ascii="Arial" w:hAnsi="Arial"/>
          <w:color w:val="000000"/>
          <w:sz w:val="24"/>
        </w:rPr>
        <w:t xml:space="preserve">  ¿Cuáles son los principales desafíos técnicos, pedagógicos y éticos que enfrentan las instituciones de educación superior al implementar tecnologías emergentes?</w:t>
      </w:r>
    </w:p>
    <w:p>
      <w:pPr>
        <w:spacing w:line="360" w:lineRule="auto"/>
        <w:ind w:firstLine="709"/>
      </w:pPr>
      <w:r>
        <w:rPr>
          <w:rFonts w:ascii="Arial" w:hAnsi="Arial"/>
          <w:color w:val="000000"/>
          <w:sz w:val="24"/>
        </w:rPr>
        <w:t xml:space="preserve">  •  </w:t>
      </w:r>
      <w:r>
        <w:rPr>
          <w:rFonts w:ascii="Arial" w:hAnsi="Arial"/>
          <w:color w:val="000000"/>
          <w:sz w:val="24"/>
        </w:rPr>
        <w:t xml:space="preserve">  ¿Qué estrategias y buenas prácticas pueden adoptarse para fomentar una integración exitosa y sostenible de las tecnologías emergentes en el currículo universitario?</w:t>
      </w:r>
    </w:p>
    <w:p/>
    <w:p>
      <w:pPr>
        <w:pStyle w:val="Heading3"/>
      </w:pPr>
      <w:r>
        <w:rPr>
          <w:rFonts w:ascii="Arial" w:hAnsi="Arial"/>
          <w:color w:val="000000"/>
        </w:rPr>
        <w:t>1.4. Justificación</w:t>
      </w:r>
    </w:p>
    <w:p>
      <w:pPr>
        <w:spacing w:before="0" w:after="0" w:line="360" w:lineRule="auto"/>
        <w:ind w:firstLine="709"/>
      </w:pPr>
      <w:r>
        <w:rPr>
          <w:rFonts w:ascii="Arial" w:hAnsi="Arial"/>
          <w:b w:val="0"/>
          <w:i w:val="0"/>
          <w:color w:val="000000"/>
          <w:sz w:val="24"/>
        </w:rPr>
        <w:t>Esta investigación se justifica por varias razones. Teóricamente, contribuirá a enriquecer el cuerpo de conocimiento existente sobre la pedagogía digital y la innovación educativa, proporcionando un marco para entender la interacción entre tecnología, enseñanza y aprendizaje. Prácticamente, los hallazgos ofrecerán información valiosa a las instituciones de educación superior para desarrollar políticas, diseñar capacitaciones docentes y tomar decisiones informadas sobre la inversión en tecnologías. Socialmente, una mejor integración tecnológica puede conducir a una educación más equitativa, accesible y relevante para los desafíos del futuro. Metodológicamente, se explorará la aplicación de enfoques mixtos para capturar una visión integral del fenómeno.</w:t>
      </w:r>
    </w:p>
    <w:p/>
    <w:p>
      <w:pPr>
        <w:pStyle w:val="Heading3"/>
      </w:pPr>
      <w:r>
        <w:rPr>
          <w:rFonts w:ascii="Arial" w:hAnsi="Arial"/>
          <w:color w:val="000000"/>
        </w:rPr>
        <w:t>1.5. Delimitación del Estudio</w:t>
      </w:r>
    </w:p>
    <w:p>
      <w:pPr>
        <w:spacing w:before="0" w:after="0" w:line="360" w:lineRule="auto"/>
        <w:ind w:firstLine="709"/>
      </w:pPr>
      <w:r>
        <w:rPr>
          <w:rFonts w:ascii="Arial" w:hAnsi="Arial"/>
          <w:b w:val="0"/>
          <w:i w:val="0"/>
          <w:color w:val="000000"/>
          <w:sz w:val="24"/>
        </w:rPr>
        <w:t>El presente estudio se centrará en la integración de tres tipos de tecnologías emergentes: inteligencia artificial (IA), realidad virtual (RV) y realidad aumentada (RA), y tecnología blockchain, dentro de los programas de grado de universidades públicas y privadas en la región central del país, durante el periodo académico 2023-2024. Se excluirán tecnologías establecidas como los Sistemas de Gestión del Aprendizaje (LMS) y se limitará el análisis a la percepción y experiencia de docentes y estudiantes universitarios, excluyendo otros actores educativos.</w:t>
      </w:r>
    </w:p>
    <w:p/>
    <w:p>
      <w:pPr>
        <w:pStyle w:val="Heading2"/>
      </w:pPr>
      <w:r>
        <w:rPr>
          <w:rFonts w:ascii="Arial" w:hAnsi="Arial"/>
          <w:color w:val="000000"/>
        </w:rPr>
        <w:t xml:space="preserve"> 2. OBJETIVOS</w:t>
      </w:r>
    </w:p>
    <w:p/>
    <w:p>
      <w:pPr>
        <w:pStyle w:val="Heading3"/>
      </w:pPr>
      <w:r>
        <w:rPr>
          <w:rFonts w:ascii="Arial" w:hAnsi="Arial"/>
          <w:color w:val="000000"/>
        </w:rPr>
        <w:t>2.1. Objetivo General</w:t>
      </w:r>
    </w:p>
    <w:p>
      <w:pPr>
        <w:spacing w:before="0" w:after="0" w:line="360" w:lineRule="auto"/>
        <w:ind w:firstLine="709"/>
      </w:pPr>
      <w:r>
        <w:rPr>
          <w:rFonts w:ascii="Arial" w:hAnsi="Arial"/>
          <w:b w:val="0"/>
          <w:i w:val="0"/>
          <w:color w:val="000000"/>
          <w:sz w:val="24"/>
        </w:rPr>
        <w:t>Analizar la integración y el impacto de las tecnologías emergentes (inteligencia artificial, realidad virtual/aumentada y blockchain) en los procesos de enseñanza-aprendizaje de la educación superior, identificando desafíos y proponiendo estrategias para su adopción efectiva.</w:t>
      </w:r>
    </w:p>
    <w:p/>
    <w:p>
      <w:pPr>
        <w:pStyle w:val="Heading3"/>
      </w:pPr>
      <w:r>
        <w:rPr>
          <w:rFonts w:ascii="Arial" w:hAnsi="Arial"/>
          <w:color w:val="000000"/>
        </w:rPr>
        <w:t>2.2. Objetivos Específicos</w:t>
      </w:r>
    </w:p>
    <w:p>
      <w:pPr>
        <w:spacing w:line="360" w:lineRule="auto"/>
        <w:ind w:firstLine="709"/>
      </w:pPr>
      <w:r>
        <w:rPr>
          <w:rFonts w:ascii="Arial" w:hAnsi="Arial"/>
          <w:color w:val="000000"/>
          <w:sz w:val="24"/>
        </w:rPr>
        <w:t xml:space="preserve">  •  </w:t>
      </w:r>
      <w:r>
        <w:rPr>
          <w:rFonts w:ascii="Arial" w:hAnsi="Arial"/>
          <w:color w:val="000000"/>
          <w:sz w:val="24"/>
        </w:rPr>
        <w:t xml:space="preserve">  Diagnosticar el nivel de adopción y las modalidades de uso de la inteligencia artificial, la realidad virtual/aumentada y el blockchain en diversas facultades universitarias.</w:t>
      </w:r>
    </w:p>
    <w:p>
      <w:pPr>
        <w:spacing w:line="360" w:lineRule="auto"/>
        <w:ind w:firstLine="709"/>
      </w:pPr>
      <w:r>
        <w:rPr>
          <w:rFonts w:ascii="Arial" w:hAnsi="Arial"/>
          <w:color w:val="000000"/>
          <w:sz w:val="24"/>
        </w:rPr>
        <w:t xml:space="preserve">  •  </w:t>
      </w:r>
      <w:r>
        <w:rPr>
          <w:rFonts w:ascii="Arial" w:hAnsi="Arial"/>
          <w:color w:val="000000"/>
          <w:sz w:val="24"/>
        </w:rPr>
        <w:t xml:space="preserve">  Evaluar la percepción de docentes y estudiantes sobre los beneficios y limitaciones de estas tecnologías en la mejora de la experiencia educativa y los resultados de aprendizaje.</w:t>
      </w:r>
    </w:p>
    <w:p>
      <w:pPr>
        <w:spacing w:line="360" w:lineRule="auto"/>
        <w:ind w:firstLine="709"/>
      </w:pPr>
      <w:r>
        <w:rPr>
          <w:rFonts w:ascii="Arial" w:hAnsi="Arial"/>
          <w:color w:val="000000"/>
          <w:sz w:val="24"/>
        </w:rPr>
        <w:t xml:space="preserve">  •  </w:t>
      </w:r>
      <w:r>
        <w:rPr>
          <w:rFonts w:ascii="Arial" w:hAnsi="Arial"/>
          <w:color w:val="000000"/>
          <w:sz w:val="24"/>
        </w:rPr>
        <w:t xml:space="preserve">  Identificar los principales obstáculos institucionales, pedagógicos, técnicos y económicos que impiden una mayor integración de las tecnologías emergentes.</w:t>
      </w:r>
    </w:p>
    <w:p>
      <w:pPr>
        <w:spacing w:line="360" w:lineRule="auto"/>
        <w:ind w:firstLine="709"/>
      </w:pPr>
      <w:r>
        <w:rPr>
          <w:rFonts w:ascii="Arial" w:hAnsi="Arial"/>
          <w:color w:val="000000"/>
          <w:sz w:val="24"/>
        </w:rPr>
        <w:t xml:space="preserve">  •  </w:t>
      </w:r>
      <w:r>
        <w:rPr>
          <w:rFonts w:ascii="Arial" w:hAnsi="Arial"/>
          <w:color w:val="000000"/>
          <w:sz w:val="24"/>
        </w:rPr>
        <w:t xml:space="preserve">  Formular un conjunto de recomendaciones y buenas prácticas dirigidas a las autoridades universitarias para optimizar la implementación y el aprovechamiento de las tecnologías emergentes en el currículo.</w:t>
      </w:r>
    </w:p>
    <w:p/>
    <w:p>
      <w:pPr>
        <w:pStyle w:val="Heading2"/>
      </w:pPr>
      <w:r>
        <w:rPr>
          <w:rFonts w:ascii="Arial" w:hAnsi="Arial"/>
          <w:color w:val="000000"/>
        </w:rPr>
        <w:t xml:space="preserve"> 3. MARCO TEÓRICO</w:t>
      </w:r>
    </w:p>
    <w:p/>
    <w:p>
      <w:pPr>
        <w:pStyle w:val="Heading3"/>
      </w:pPr>
      <w:r>
        <w:rPr>
          <w:rFonts w:ascii="Arial" w:hAnsi="Arial"/>
          <w:color w:val="000000"/>
        </w:rPr>
        <w:t>3.1. Antecedentes de la Investigación</w:t>
      </w:r>
    </w:p>
    <w:p>
      <w:pPr>
        <w:spacing w:before="0" w:after="0" w:line="360" w:lineRule="auto"/>
        <w:ind w:firstLine="709"/>
      </w:pPr>
      <w:r>
        <w:rPr>
          <w:rFonts w:ascii="Arial" w:hAnsi="Arial"/>
          <w:b w:val="0"/>
          <w:i w:val="0"/>
          <w:color w:val="000000"/>
          <w:sz w:val="24"/>
        </w:rPr>
        <w:t>Estudios previos han explorado la integración de diversas tecnologías en la educación. Investigaciones de Chen et al. (2020) sobre la IA en entornos de aprendizaje adaptativo, y de Johnson et al. (2018) acerca de la RV en laboratorios virtuales, han demostrado potencial para mejorar la personalización y la inmersión. En el contexto latinoamericano, Tovar (2019) analizó la adopción de nuevas tecnologías en universidades chilenas, destacando la necesidad de capacitación docente. Sin embargo, la integración combinada de IA, RV/RA y blockchain, y su impacto holístico en la educación superior, aún requiere mayor exploración, especialmente en relación con los desafíos éticos y de equidad.</w:t>
      </w:r>
    </w:p>
    <w:p/>
    <w:p>
      <w:pPr>
        <w:pStyle w:val="Heading3"/>
      </w:pPr>
      <w:r>
        <w:rPr>
          <w:rFonts w:ascii="Arial" w:hAnsi="Arial"/>
          <w:color w:val="000000"/>
        </w:rPr>
        <w:t>3.2. Bases Teóricas</w:t>
      </w:r>
    </w:p>
    <w:p>
      <w:pPr>
        <w:spacing w:before="0" w:after="0" w:line="360" w:lineRule="auto"/>
        <w:ind w:firstLine="709"/>
      </w:pPr>
      <w:r>
        <w:rPr>
          <w:rFonts w:ascii="Arial" w:hAnsi="Arial"/>
          <w:b w:val="0"/>
          <w:i w:val="0"/>
          <w:color w:val="000000"/>
          <w:sz w:val="24"/>
        </w:rPr>
        <w:t xml:space="preserve">Este estudio se fundamenta en varias teorías clave. El </w:t>
      </w:r>
      <w:r>
        <w:rPr>
          <w:rFonts w:ascii="Arial" w:hAnsi="Arial"/>
          <w:b/>
          <w:i w:val="0"/>
          <w:color w:val="000000"/>
          <w:sz w:val="24"/>
        </w:rPr>
        <w:t>Constructivismo Social</w:t>
      </w:r>
      <w:r>
        <w:rPr>
          <w:rFonts w:ascii="Arial" w:hAnsi="Arial"/>
          <w:b w:val="0"/>
          <w:i w:val="0"/>
          <w:color w:val="000000"/>
          <w:sz w:val="24"/>
        </w:rPr>
        <w:t xml:space="preserve"> de Vygotsky proporciona una base para entender cómo las tecnologías pueden mediar la construcción del conocimiento a través de la interacción. La </w:t>
      </w:r>
      <w:r>
        <w:rPr>
          <w:rFonts w:ascii="Arial" w:hAnsi="Arial"/>
          <w:b/>
          <w:i w:val="0"/>
          <w:color w:val="000000"/>
          <w:sz w:val="24"/>
        </w:rPr>
        <w:t>Teoría del Conectivismo</w:t>
      </w:r>
      <w:r>
        <w:rPr>
          <w:rFonts w:ascii="Arial" w:hAnsi="Arial"/>
          <w:b w:val="0"/>
          <w:i w:val="0"/>
          <w:color w:val="000000"/>
          <w:sz w:val="24"/>
        </w:rPr>
        <w:t xml:space="preserve"> de Siemens y Downes es relevante para conceptualizar el aprendizaje en la era digital, donde las redes y la conexión de nodos de información son cruciales. Adicionalmente, el </w:t>
      </w:r>
      <w:r>
        <w:rPr>
          <w:rFonts w:ascii="Arial" w:hAnsi="Arial"/>
          <w:b/>
          <w:i w:val="0"/>
          <w:color w:val="000000"/>
          <w:sz w:val="24"/>
        </w:rPr>
        <w:t>Modelo de Aceptación Tecnológica (TAM)</w:t>
      </w:r>
      <w:r>
        <w:rPr>
          <w:rFonts w:ascii="Arial" w:hAnsi="Arial"/>
          <w:b w:val="0"/>
          <w:i w:val="0"/>
          <w:color w:val="000000"/>
          <w:sz w:val="24"/>
        </w:rPr>
        <w:t xml:space="preserve"> de Davis ofrece un marco para comprender la intención de uso y la adopción de las tecnologías por parte de docentes y estudiantes, considerando la utilidad percibida y la facilidad de uso. Finalmente, la </w:t>
      </w:r>
      <w:r>
        <w:rPr>
          <w:rFonts w:ascii="Arial" w:hAnsi="Arial"/>
          <w:b/>
          <w:i w:val="0"/>
          <w:color w:val="000000"/>
          <w:sz w:val="24"/>
        </w:rPr>
        <w:t>Teoría de la Innovación Disruptiva</w:t>
      </w:r>
      <w:r>
        <w:rPr>
          <w:rFonts w:ascii="Arial" w:hAnsi="Arial"/>
          <w:b w:val="0"/>
          <w:i w:val="0"/>
          <w:color w:val="000000"/>
          <w:sz w:val="24"/>
        </w:rPr>
        <w:t xml:space="preserve"> de Christensen ayuda a analizar cómo las tecnologías emergentes pueden transformar radicalmente los modelos educativos tradicionales.</w:t>
      </w:r>
    </w:p>
    <w:p/>
    <w:p>
      <w:pPr>
        <w:pStyle w:val="Heading3"/>
      </w:pPr>
      <w:r>
        <w:rPr>
          <w:rFonts w:ascii="Arial" w:hAnsi="Arial"/>
          <w:color w:val="000000"/>
        </w:rPr>
        <w:t>3.3. Definición de Términos Básicos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Tecnologías Emergentes:</w:t>
      </w:r>
      <w:r>
        <w:rPr>
          <w:rFonts w:ascii="Arial" w:hAnsi="Arial"/>
          <w:color w:val="000000"/>
          <w:sz w:val="24"/>
        </w:rPr>
        <w:t xml:space="preserve"> Conjunto de innovaciones tecnológicas en fase de desarrollo o adopción temprana, con el potencial de generar un impacto significativo en la sociedad. En este estudio, se incluyen la Inteligencia Artificial (IA), la Realidad Virtual (RV), la Realidad Aumentada (RA) y la tecnología Blockchain.</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Inteligencia Artificial (IA):</w:t>
      </w:r>
      <w:r>
        <w:rPr>
          <w:rFonts w:ascii="Arial" w:hAnsi="Arial"/>
          <w:color w:val="000000"/>
          <w:sz w:val="24"/>
        </w:rPr>
        <w:t xml:space="preserve"> Sistemas informáticos capaces de realizar tareas que normalmente requieren inteligencia humana, como el aprendizaje, la toma de decisiones y el reconocimiento de patrones.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Realidad Virtual (RV):</w:t>
      </w:r>
      <w:r>
        <w:rPr>
          <w:rFonts w:ascii="Arial" w:hAnsi="Arial"/>
          <w:color w:val="000000"/>
          <w:sz w:val="24"/>
        </w:rPr>
        <w:t xml:space="preserve"> Experiencia inmersiva generada por ordenador que simula un entorno tridimensional, con el que el usuario puede interactuar.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Realidad Aumentada (RA):</w:t>
      </w:r>
      <w:r>
        <w:rPr>
          <w:rFonts w:ascii="Arial" w:hAnsi="Arial"/>
          <w:color w:val="000000"/>
          <w:sz w:val="24"/>
        </w:rPr>
        <w:t xml:space="preserve"> Tecnología que superpone elementos virtuales generados por ordenador sobre una visión real del entorno físico.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Blockchain:</w:t>
      </w:r>
      <w:r>
        <w:rPr>
          <w:rFonts w:ascii="Arial" w:hAnsi="Arial"/>
          <w:color w:val="000000"/>
          <w:sz w:val="24"/>
        </w:rPr>
        <w:t xml:space="preserve"> Tecnología de registro distribuido y descentralizado que permite almacenar información de manera segura e inmutable, aplicable en la certificación de credenciales y registros académicos.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Educación Superior:</w:t>
      </w:r>
      <w:r>
        <w:rPr>
          <w:rFonts w:ascii="Arial" w:hAnsi="Arial"/>
          <w:color w:val="000000"/>
          <w:sz w:val="24"/>
        </w:rPr>
        <w:t xml:space="preserve"> Nivel de enseñanza que se imparte tras la educación secundaria, impartida en universidades, colegios universitarios y otras instituciones de formación profesional avanzada.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Procesos de Enseñanza-Aprendizaje:</w:t>
      </w:r>
      <w:r>
        <w:rPr>
          <w:rFonts w:ascii="Arial" w:hAnsi="Arial"/>
          <w:color w:val="000000"/>
          <w:sz w:val="24"/>
        </w:rPr>
        <w:t xml:space="preserve"> Conjunto de actividades y estrategias pedagógicas implementadas por docentes y estudiantes para adquirir conocimientos, habilidades y competencias.</w:t>
      </w:r>
    </w:p>
    <w:p/>
    <w:p>
      <w:pPr>
        <w:pStyle w:val="Heading3"/>
      </w:pPr>
      <w:r>
        <w:rPr>
          <w:rFonts w:ascii="Arial" w:hAnsi="Arial"/>
          <w:color w:val="000000"/>
        </w:rPr>
        <w:t>3.4. Hipótesis o Supuestos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Principal (H1):</w:t>
      </w:r>
      <w:r>
        <w:rPr>
          <w:rFonts w:ascii="Arial" w:hAnsi="Arial"/>
          <w:color w:val="000000"/>
          <w:sz w:val="24"/>
        </w:rPr>
        <w:t xml:space="preserve"> La integración estratégica y pedagógicamente informada de tecnologías emergentes (IA, RV/RA, blockchain) en la educación superior tiene un impacto positivo y significativo en el rendimiento académico, la motivación estudiantil y el desarrollo de habilidades del siglo XXI.</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Hipótesis Nula (H0):</w:t>
      </w:r>
      <w:r>
        <w:rPr>
          <w:rFonts w:ascii="Arial" w:hAnsi="Arial"/>
          <w:color w:val="000000"/>
          <w:sz w:val="24"/>
        </w:rPr>
        <w:t xml:space="preserve"> No existe un impacto significativo entre la integración de tecnologías emergentes y el rendimiento académico, la motivación estudiantil y el desarrollo de habilidades del siglo XXI en la educación superior.</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 1:</w:t>
      </w:r>
      <w:r>
        <w:rPr>
          <w:rFonts w:ascii="Arial" w:hAnsi="Arial"/>
          <w:color w:val="000000"/>
          <w:sz w:val="24"/>
        </w:rPr>
        <w:t xml:space="preserve"> La disponibilidad de infraestructura tecnológica y recursos económicos adecuados influye directamente en la viabilidad de la adopción de tecnologías emergentes.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Supuesto 2:</w:t>
      </w:r>
      <w:r>
        <w:rPr>
          <w:rFonts w:ascii="Arial" w:hAnsi="Arial"/>
          <w:color w:val="000000"/>
          <w:sz w:val="24"/>
        </w:rPr>
        <w:t xml:space="preserve"> La capacitación y el soporte técnico a los docentes son factores críticos para la integración exitosa de estas herramientas.</w:t>
      </w:r>
    </w:p>
    <w:p/>
    <w:p>
      <w:pPr>
        <w:pStyle w:val="Heading2"/>
      </w:pPr>
      <w:r>
        <w:rPr>
          <w:rFonts w:ascii="Arial" w:hAnsi="Arial"/>
          <w:color w:val="000000"/>
        </w:rPr>
        <w:t xml:space="preserve"> 4. APLICACIÓN DEL MARCO TEÓRICO</w:t>
      </w:r>
    </w:p>
    <w:p/>
    <w:p>
      <w:pPr>
        <w:pStyle w:val="Heading3"/>
      </w:pPr>
      <w:r>
        <w:rPr>
          <w:rFonts w:ascii="Arial" w:hAnsi="Arial"/>
          <w:color w:val="000000"/>
        </w:rPr>
        <w:t>4.1. Diseño y Tipo de Investigación</w:t>
      </w:r>
    </w:p>
    <w:p>
      <w:pPr>
        <w:spacing w:before="0" w:after="0" w:line="360" w:lineRule="auto"/>
        <w:ind w:firstLine="709"/>
      </w:pPr>
      <w:r>
        <w:rPr>
          <w:rFonts w:ascii="Arial" w:hAnsi="Arial"/>
          <w:b w:val="0"/>
          <w:i w:val="0"/>
          <w:color w:val="000000"/>
          <w:sz w:val="24"/>
        </w:rPr>
        <w:t>Se empleará un diseño de investigación de enfoque mixto (cuantitativo y cualitativo), de tipo descriptivo-explicativo. La fase cuantitativa permitirá describir el estado actual de la integración y medir la percepción a gran escala, mientras que la fase cualitativa profundizará en las experiencias, desafíos y perspectivas de los actores clave. La naturaleza descriptiva permitirá identificar las características del fenómeno y la explicativa buscará las razones detrás de las tendencias observadas y las relaciones entre variables.</w:t>
      </w:r>
    </w:p>
    <w:p/>
    <w:p>
      <w:pPr>
        <w:pStyle w:val="Heading3"/>
      </w:pPr>
      <w:r>
        <w:rPr>
          <w:rFonts w:ascii="Arial" w:hAnsi="Arial"/>
          <w:color w:val="000000"/>
        </w:rPr>
        <w:t>4.2. Población y Muestra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Población:</w:t>
      </w:r>
      <w:r>
        <w:rPr>
          <w:rFonts w:ascii="Arial" w:hAnsi="Arial"/>
          <w:color w:val="000000"/>
          <w:sz w:val="24"/>
        </w:rPr>
        <w:t xml:space="preserve"> Todos los docentes (n=~500) y estudiantes (n=~10,000) de programas de grado que hayan tenido alguna exposición o uso de tecnologías emergentes en tres universidades representativas de la región central.</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Muestra Cuantitativa:</w:t>
      </w:r>
      <w:r>
        <w:rPr>
          <w:rFonts w:ascii="Arial" w:hAnsi="Arial"/>
          <w:color w:val="000000"/>
          <w:sz w:val="24"/>
        </w:rPr>
        <w:t xml:space="preserve"> Se seleccionará una muestra aleatoria estratificada de 300 estudiantes y 100 docentes de diferentes facultades y disciplinas que cumplan con los criterios de exposición a las tecnologías emergentes.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Muestra Cualitativa:</w:t>
      </w:r>
      <w:r>
        <w:rPr>
          <w:rFonts w:ascii="Arial" w:hAnsi="Arial"/>
          <w:color w:val="000000"/>
          <w:sz w:val="24"/>
        </w:rPr>
        <w:t xml:space="preserve"> Se realizará una selección intencional de 20 docentes innovadores y 20 estudiantes con experiencia en el uso de estas tecnologías, así como 5 directivos académicos involucrados en la toma de decisiones tecnológicas.</w:t>
      </w:r>
    </w:p>
    <w:p/>
    <w:p>
      <w:pPr>
        <w:pStyle w:val="Heading3"/>
      </w:pPr>
      <w:r>
        <w:rPr>
          <w:rFonts w:ascii="Arial" w:hAnsi="Arial"/>
          <w:color w:val="000000"/>
        </w:rPr>
        <w:t>4.3. Técnicas 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Encuestas (Cuantitativa):</w:t>
      </w:r>
      <w:r>
        <w:rPr>
          <w:rFonts w:ascii="Arial" w:hAnsi="Arial"/>
          <w:color w:val="000000"/>
          <w:sz w:val="24"/>
        </w:rPr>
        <w:t xml:space="preserve"> Se diseñarán cuestionarios estructurados con escalas Likert para medir la percepción sobre la utilidad, facilidad de uso, impacto en el aprendizaje y desafíos de las tecnologías emergentes. Los instrumentos serán validados por expertos y sometidos a una prueba piloto.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Entrevistas Semi-estructuradas (Cualitativa):</w:t>
      </w:r>
      <w:r>
        <w:rPr>
          <w:rFonts w:ascii="Arial" w:hAnsi="Arial"/>
          <w:color w:val="000000"/>
          <w:sz w:val="24"/>
        </w:rPr>
        <w:t xml:space="preserve"> Se elaborarán guiones de entrevista para docentes, estudiantes y directivos, buscando explorar en profundidad sus experiencias, perspectivas, buenas prácticas y obstáculos en la adopción tecnológica.</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Análisis Documental:</w:t>
      </w:r>
      <w:r>
        <w:rPr>
          <w:rFonts w:ascii="Arial" w:hAnsi="Arial"/>
          <w:color w:val="000000"/>
          <w:sz w:val="24"/>
        </w:rPr>
        <w:t xml:space="preserve"> Revisión de planes de estudio, informes institucionales, políticas tecnológicas y proyectos de innovación para contextualizar la integración de las tecnologías.</w:t>
      </w:r>
    </w:p>
    <w:p/>
    <w:p>
      <w:pPr>
        <w:pStyle w:val="Heading3"/>
      </w:pPr>
      <w:r>
        <w:rPr>
          <w:rFonts w:ascii="Arial" w:hAnsi="Arial"/>
          <w:color w:val="000000"/>
        </w:rPr>
        <w:t>4.4. Procedimiento de Aplicación y Desarrollo</w:t>
      </w:r>
    </w:p>
    <w:p>
      <w:pPr>
        <w:spacing w:before="0" w:after="0" w:line="360" w:lineRule="auto"/>
        <w:ind w:firstLine="709"/>
      </w:pPr>
      <w:r>
        <w:rPr>
          <w:rFonts w:ascii="Arial" w:hAnsi="Arial"/>
          <w:b w:val="0"/>
          <w:i w:val="0"/>
          <w:color w:val="000000"/>
          <w:sz w:val="24"/>
        </w:rPr>
        <w:t xml:space="preserve">1.  </w:t>
      </w:r>
      <w:r>
        <w:rPr>
          <w:rFonts w:ascii="Arial" w:hAnsi="Arial"/>
          <w:b/>
          <w:i w:val="0"/>
          <w:color w:val="000000"/>
          <w:sz w:val="24"/>
        </w:rPr>
        <w:t>Fase Preliminar:</w:t>
      </w:r>
      <w:r>
        <w:rPr>
          <w:rFonts w:ascii="Arial" w:hAnsi="Arial"/>
          <w:b w:val="0"/>
          <w:i w:val="0"/>
          <w:color w:val="000000"/>
          <w:sz w:val="24"/>
        </w:rPr>
        <w:t xml:space="preserve"> Solicitud de permisos institucionales y aprobación de comités de ética. Diseño y validación de instrumentos.</w:t>
      </w:r>
    </w:p>
    <w:p>
      <w:pPr>
        <w:spacing w:before="0" w:after="0" w:line="360" w:lineRule="auto"/>
        <w:ind w:firstLine="709"/>
      </w:pPr>
      <w:r>
        <w:rPr>
          <w:rFonts w:ascii="Arial" w:hAnsi="Arial"/>
          <w:b w:val="0"/>
          <w:i w:val="0"/>
          <w:color w:val="000000"/>
          <w:sz w:val="24"/>
        </w:rPr>
        <w:t xml:space="preserve">2.  </w:t>
      </w:r>
      <w:r>
        <w:rPr>
          <w:rFonts w:ascii="Arial" w:hAnsi="Arial"/>
          <w:b/>
          <w:i w:val="0"/>
          <w:color w:val="000000"/>
          <w:sz w:val="24"/>
        </w:rPr>
        <w:t>Fase Cuantitativa:</w:t>
      </w:r>
    </w:p>
    <w:p>
      <w:pPr>
        <w:spacing w:line="360" w:lineRule="auto"/>
        <w:ind w:firstLine="709"/>
      </w:pPr>
      <w:r>
        <w:rPr>
          <w:rFonts w:ascii="Arial" w:hAnsi="Arial"/>
          <w:color w:val="000000"/>
          <w:sz w:val="24"/>
        </w:rPr>
        <w:t xml:space="preserve">  •  </w:t>
      </w:r>
      <w:r>
        <w:rPr>
          <w:rFonts w:ascii="Arial" w:hAnsi="Arial"/>
          <w:color w:val="000000"/>
          <w:sz w:val="24"/>
        </w:rPr>
        <w:t xml:space="preserve">  Administración de encuestas en línea a la muestra de estudiantes y docentes, garantizando el anonimato y la confidencialidad.</w:t>
      </w:r>
    </w:p>
    <w:p>
      <w:pPr>
        <w:spacing w:line="360" w:lineRule="auto"/>
        <w:ind w:firstLine="709"/>
      </w:pPr>
      <w:r>
        <w:rPr>
          <w:rFonts w:ascii="Arial" w:hAnsi="Arial"/>
          <w:color w:val="000000"/>
          <w:sz w:val="24"/>
        </w:rPr>
        <w:t xml:space="preserve">  •  </w:t>
      </w:r>
      <w:r>
        <w:rPr>
          <w:rFonts w:ascii="Arial" w:hAnsi="Arial"/>
          <w:color w:val="000000"/>
          <w:sz w:val="24"/>
        </w:rPr>
        <w:t xml:space="preserve">  Recopilación y organización de los datos.</w:t>
      </w:r>
    </w:p>
    <w:p>
      <w:pPr>
        <w:spacing w:before="0" w:after="0" w:line="360" w:lineRule="auto"/>
        <w:ind w:firstLine="709"/>
      </w:pPr>
      <w:r>
        <w:rPr>
          <w:rFonts w:ascii="Arial" w:hAnsi="Arial"/>
          <w:b w:val="0"/>
          <w:i w:val="0"/>
          <w:color w:val="000000"/>
          <w:sz w:val="24"/>
        </w:rPr>
        <w:t xml:space="preserve">3.  </w:t>
      </w:r>
      <w:r>
        <w:rPr>
          <w:rFonts w:ascii="Arial" w:hAnsi="Arial"/>
          <w:b/>
          <w:i w:val="0"/>
          <w:color w:val="000000"/>
          <w:sz w:val="24"/>
        </w:rPr>
        <w:t>Fase Cualitativa:</w:t>
      </w:r>
    </w:p>
    <w:p>
      <w:pPr>
        <w:spacing w:line="360" w:lineRule="auto"/>
        <w:ind w:firstLine="709"/>
      </w:pPr>
      <w:r>
        <w:rPr>
          <w:rFonts w:ascii="Arial" w:hAnsi="Arial"/>
          <w:color w:val="000000"/>
          <w:sz w:val="24"/>
        </w:rPr>
        <w:t xml:space="preserve">  •  </w:t>
      </w:r>
      <w:r>
        <w:rPr>
          <w:rFonts w:ascii="Arial" w:hAnsi="Arial"/>
          <w:color w:val="000000"/>
          <w:sz w:val="24"/>
        </w:rPr>
        <w:t xml:space="preserve">  Realización de entrevistas en profundidad a la muestra seleccionada de docentes, estudiantes y directivos.</w:t>
      </w:r>
    </w:p>
    <w:p>
      <w:pPr>
        <w:spacing w:line="360" w:lineRule="auto"/>
        <w:ind w:firstLine="709"/>
      </w:pPr>
      <w:r>
        <w:rPr>
          <w:rFonts w:ascii="Arial" w:hAnsi="Arial"/>
          <w:color w:val="000000"/>
          <w:sz w:val="24"/>
        </w:rPr>
        <w:t xml:space="preserve">  •  </w:t>
      </w:r>
      <w:r>
        <w:rPr>
          <w:rFonts w:ascii="Arial" w:hAnsi="Arial"/>
          <w:color w:val="000000"/>
          <w:sz w:val="24"/>
        </w:rPr>
        <w:t xml:space="preserve">  Transcripción y codificación de las entrevistas.</w:t>
      </w:r>
    </w:p>
    <w:p>
      <w:pPr>
        <w:spacing w:before="0" w:after="0" w:line="360" w:lineRule="auto"/>
        <w:ind w:firstLine="709"/>
      </w:pPr>
      <w:r>
        <w:rPr>
          <w:rFonts w:ascii="Arial" w:hAnsi="Arial"/>
          <w:b w:val="0"/>
          <w:i w:val="0"/>
          <w:color w:val="000000"/>
          <w:sz w:val="24"/>
        </w:rPr>
        <w:t xml:space="preserve">4.  </w:t>
      </w:r>
      <w:r>
        <w:rPr>
          <w:rFonts w:ascii="Arial" w:hAnsi="Arial"/>
          <w:b/>
          <w:i w:val="0"/>
          <w:color w:val="000000"/>
          <w:sz w:val="24"/>
        </w:rPr>
        <w:t>Fase de Análisis y Discusión:</w:t>
      </w:r>
    </w:p>
    <w:p>
      <w:pPr>
        <w:spacing w:line="360" w:lineRule="auto"/>
        <w:ind w:firstLine="709"/>
      </w:pPr>
      <w:r>
        <w:rPr>
          <w:rFonts w:ascii="Arial" w:hAnsi="Arial"/>
          <w:color w:val="000000"/>
          <w:sz w:val="24"/>
        </w:rPr>
        <w:t xml:space="preserve">  •  </w:t>
      </w:r>
      <w:r>
        <w:rPr>
          <w:rFonts w:ascii="Arial" w:hAnsi="Arial"/>
          <w:color w:val="000000"/>
          <w:sz w:val="24"/>
        </w:rPr>
        <w:t xml:space="preserve">  Análisis estadístico de los datos cuantitativos.</w:t>
      </w:r>
    </w:p>
    <w:p>
      <w:pPr>
        <w:spacing w:line="360" w:lineRule="auto"/>
        <w:ind w:firstLine="709"/>
      </w:pPr>
      <w:r>
        <w:rPr>
          <w:rFonts w:ascii="Arial" w:hAnsi="Arial"/>
          <w:color w:val="000000"/>
          <w:sz w:val="24"/>
        </w:rPr>
        <w:t xml:space="preserve">  •  </w:t>
      </w:r>
      <w:r>
        <w:rPr>
          <w:rFonts w:ascii="Arial" w:hAnsi="Arial"/>
          <w:color w:val="000000"/>
          <w:sz w:val="24"/>
        </w:rPr>
        <w:t xml:space="preserve">  Análisis temático de los datos cualitativos.</w:t>
      </w:r>
    </w:p>
    <w:p>
      <w:pPr>
        <w:spacing w:line="360" w:lineRule="auto"/>
        <w:ind w:firstLine="709"/>
      </w:pPr>
      <w:r>
        <w:rPr>
          <w:rFonts w:ascii="Arial" w:hAnsi="Arial"/>
          <w:color w:val="000000"/>
          <w:sz w:val="24"/>
        </w:rPr>
        <w:t xml:space="preserve">  •  </w:t>
      </w:r>
      <w:r>
        <w:rPr>
          <w:rFonts w:ascii="Arial" w:hAnsi="Arial"/>
          <w:color w:val="000000"/>
          <w:sz w:val="24"/>
        </w:rPr>
        <w:t xml:space="preserve">  Integración de los hallazgos de ambas fases para contrastar con el marco teórico y responder a las preguntas de investigación.</w:t>
      </w:r>
    </w:p>
    <w:p/>
    <w:p>
      <w:pPr>
        <w:pStyle w:val="Heading3"/>
      </w:pPr>
      <w:r>
        <w:rPr>
          <w:rFonts w:ascii="Arial" w:hAnsi="Arial"/>
          <w:color w:val="000000"/>
        </w:rPr>
        <w:t>4.5. Análisis e Interpretación de Resultados</w:t>
      </w:r>
    </w:p>
    <w:p>
      <w:pPr>
        <w:spacing w:before="0" w:after="0" w:line="360" w:lineRule="auto"/>
        <w:ind w:firstLine="709"/>
      </w:pPr>
      <w:r>
        <w:rPr>
          <w:rFonts w:ascii="Arial" w:hAnsi="Arial"/>
          <w:b w:val="0"/>
          <w:i w:val="0"/>
          <w:color w:val="000000"/>
          <w:sz w:val="24"/>
        </w:rPr>
        <w:t>Los datos cuantitativos se analizarán utilizando estadística descriptiva (frecuencias, porcentajes, medias, desviaciones estándar) e inferencial (pruebas t de Student, ANOVA, correlaciones) para identificar tendencias y relaciones significativas entre las variables. Se empleará el software SPSS o R. Los datos cualitativos se analizarán mediante un enfoque de análisis temático, identificando categorías y patrones recurrentes en las transcripciones de las entrevistas, utilizando herramientas como NVivo. La interpretación de los resultados implicará la triangulación de ambos tipos de datos, contrastando los hallazgos con las bases teóricas y antecedentes de la investigación para generar una comprensión holística del fenómeno y responder a las hipótesis planteadas. Se presentarán los resultados en tablas, gráficos y extractos textuales que ilustren las conclusiones principales.</w:t>
      </w:r>
    </w:p>
    <w:p/>
    <w:p>
      <w:pPr>
        <w:pStyle w:val="Heading2"/>
      </w:pPr>
      <w:r>
        <w:rPr>
          <w:rFonts w:ascii="Arial" w:hAnsi="Arial"/>
          <w:color w:val="000000"/>
        </w:rPr>
        <w:t xml:space="preserve"> 5. CONCLUSIONES Y RECOMENDACIONES</w:t>
      </w:r>
    </w:p>
    <w:p/>
    <w:p>
      <w:pPr>
        <w:pStyle w:val="Heading3"/>
      </w:pPr>
      <w:r>
        <w:rPr>
          <w:rFonts w:ascii="Arial" w:hAnsi="Arial"/>
          <w:color w:val="000000"/>
        </w:rPr>
        <w:t>5.1. Conclusiones</w:t>
      </w:r>
    </w:p>
    <w:p>
      <w:pPr>
        <w:spacing w:line="360" w:lineRule="auto"/>
        <w:ind w:firstLine="709"/>
      </w:pPr>
      <w:r>
        <w:rPr>
          <w:rFonts w:ascii="Arial" w:hAnsi="Arial"/>
          <w:color w:val="000000"/>
          <w:sz w:val="24"/>
        </w:rPr>
        <w:t xml:space="preserve">  •  </w:t>
      </w:r>
      <w:r>
        <w:rPr>
          <w:rFonts w:ascii="Arial" w:hAnsi="Arial"/>
          <w:color w:val="000000"/>
          <w:sz w:val="24"/>
        </w:rPr>
        <w:t xml:space="preserve">  (Conclusión 1 - Derivada del objetivo 1): Se observa una adopción incipiente pero creciente de IA en herramientas de asistencia al aprendizaje y de RV/RA en laboratorios simulados, mientras que el uso de blockchain es aún experimental.</w:t>
      </w:r>
    </w:p>
    <w:p>
      <w:pPr>
        <w:spacing w:line="360" w:lineRule="auto"/>
        <w:ind w:firstLine="709"/>
      </w:pPr>
      <w:r>
        <w:rPr>
          <w:rFonts w:ascii="Arial" w:hAnsi="Arial"/>
          <w:color w:val="000000"/>
          <w:sz w:val="24"/>
        </w:rPr>
        <w:t xml:space="preserve">  •  </w:t>
      </w:r>
      <w:r>
        <w:rPr>
          <w:rFonts w:ascii="Arial" w:hAnsi="Arial"/>
          <w:color w:val="000000"/>
          <w:sz w:val="24"/>
        </w:rPr>
        <w:t xml:space="preserve">  (Conclusión 2 - Derivada del objetivo 2): Docentes y estudiantes perciben beneficios en la motivación y el engagement, pero expresan dudas sobre el impacto directo en el rendimiento académico sin una adecuada integración pedagógica.</w:t>
      </w:r>
    </w:p>
    <w:p>
      <w:pPr>
        <w:spacing w:line="360" w:lineRule="auto"/>
        <w:ind w:firstLine="709"/>
      </w:pPr>
      <w:r>
        <w:rPr>
          <w:rFonts w:ascii="Arial" w:hAnsi="Arial"/>
          <w:color w:val="000000"/>
          <w:sz w:val="24"/>
        </w:rPr>
        <w:t xml:space="preserve">  •  </w:t>
      </w:r>
      <w:r>
        <w:rPr>
          <w:rFonts w:ascii="Arial" w:hAnsi="Arial"/>
          <w:color w:val="000000"/>
          <w:sz w:val="24"/>
        </w:rPr>
        <w:t xml:space="preserve">  (Conclusión 3 - Derivada del objetivo 3): Los principales desafíos identificados son la falta de capacitación docente, la resistencia al cambio, la limitada infraestructura y los altos costos de implementación.</w:t>
      </w:r>
    </w:p>
    <w:p>
      <w:pPr>
        <w:spacing w:line="360" w:lineRule="auto"/>
        <w:ind w:firstLine="709"/>
      </w:pPr>
      <w:r>
        <w:rPr>
          <w:rFonts w:ascii="Arial" w:hAnsi="Arial"/>
          <w:color w:val="000000"/>
          <w:sz w:val="24"/>
        </w:rPr>
        <w:t xml:space="preserve">  •  </w:t>
      </w:r>
      <w:r>
        <w:rPr>
          <w:rFonts w:ascii="Arial" w:hAnsi="Arial"/>
          <w:color w:val="000000"/>
          <w:sz w:val="24"/>
        </w:rPr>
        <w:t xml:space="preserve">  (Conclusión 4 - Derivada del objetivo 4): Las estrategias exitosas incluyen la creación de comunidades de práctica, el apoyo de equipos multidisciplinares y la alineación con objetivos curriculares claros.</w:t>
      </w:r>
    </w:p>
    <w:p>
      <w:pPr>
        <w:spacing w:line="360" w:lineRule="auto"/>
        <w:ind w:firstLine="709"/>
      </w:pPr>
      <w:r>
        <w:rPr>
          <w:rFonts w:ascii="Arial" w:hAnsi="Arial"/>
          <w:color w:val="000000"/>
          <w:sz w:val="24"/>
        </w:rPr>
        <w:t xml:space="preserve">  •  </w:t>
      </w:r>
      <w:r>
        <w:rPr>
          <w:rFonts w:ascii="Arial" w:hAnsi="Arial"/>
          <w:color w:val="000000"/>
          <w:sz w:val="24"/>
        </w:rPr>
        <w:t xml:space="preserve">  (Conclusión General): La integración de tecnologías emergentes tiene un potencial transformador en la educación superior, pero su éxito depende críticamente de una estrategia institucional sólida que aborde los desafíos pedagógicos, técnicos y humanos.</w:t>
      </w:r>
    </w:p>
    <w:p/>
    <w:p>
      <w:pPr>
        <w:pStyle w:val="Heading3"/>
      </w:pPr>
      <w:r>
        <w:rPr>
          <w:rFonts w:ascii="Arial" w:hAnsi="Arial"/>
          <w:color w:val="000000"/>
        </w:rPr>
        <w:t>5.2. Recomendaciones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las Universidades:</w:t>
      </w:r>
    </w:p>
    <w:p>
      <w:pPr>
        <w:spacing w:line="360" w:lineRule="auto"/>
        <w:ind w:firstLine="709"/>
      </w:pPr>
      <w:r>
        <w:rPr>
          <w:rFonts w:ascii="Arial" w:hAnsi="Arial"/>
          <w:color w:val="000000"/>
          <w:sz w:val="24"/>
        </w:rPr>
        <w:t xml:space="preserve">  •  </w:t>
      </w:r>
      <w:r>
        <w:rPr>
          <w:rFonts w:ascii="Arial" w:hAnsi="Arial"/>
          <w:color w:val="000000"/>
          <w:sz w:val="24"/>
        </w:rPr>
        <w:t xml:space="preserve">  Diseñar e implementar programas de capacitación docente continuos y especializados en el uso pedagógico de IA, RV/RA y blockchain, con enfoque en el diseño instruccional.</w:t>
      </w:r>
    </w:p>
    <w:p>
      <w:pPr>
        <w:spacing w:line="360" w:lineRule="auto"/>
        <w:ind w:firstLine="709"/>
      </w:pPr>
      <w:r>
        <w:rPr>
          <w:rFonts w:ascii="Arial" w:hAnsi="Arial"/>
          <w:color w:val="000000"/>
          <w:sz w:val="24"/>
        </w:rPr>
        <w:t xml:space="preserve">  •  </w:t>
      </w:r>
      <w:r>
        <w:rPr>
          <w:rFonts w:ascii="Arial" w:hAnsi="Arial"/>
          <w:color w:val="000000"/>
          <w:sz w:val="24"/>
        </w:rPr>
        <w:t xml:space="preserve">  Invertir en infraestructura tecnológica robusta y flexible que soporte la demanda de estas herramientas, priorizando la accesibilidad y la equidad.</w:t>
      </w:r>
    </w:p>
    <w:p>
      <w:pPr>
        <w:spacing w:line="360" w:lineRule="auto"/>
        <w:ind w:firstLine="709"/>
      </w:pPr>
      <w:r>
        <w:rPr>
          <w:rFonts w:ascii="Arial" w:hAnsi="Arial"/>
          <w:color w:val="000000"/>
          <w:sz w:val="24"/>
        </w:rPr>
        <w:t xml:space="preserve">  •  </w:t>
      </w:r>
      <w:r>
        <w:rPr>
          <w:rFonts w:ascii="Arial" w:hAnsi="Arial"/>
          <w:color w:val="000000"/>
          <w:sz w:val="24"/>
        </w:rPr>
        <w:t xml:space="preserve">  Establecer comités de innovación tecnológica multidisciplinares que guíen la selección, implementación y evaluación de nuevas tecnologías.</w:t>
      </w:r>
    </w:p>
    <w:p>
      <w:pPr>
        <w:spacing w:line="360" w:lineRule="auto"/>
        <w:ind w:firstLine="709"/>
      </w:pPr>
      <w:r>
        <w:rPr>
          <w:rFonts w:ascii="Arial" w:hAnsi="Arial"/>
          <w:color w:val="000000"/>
          <w:sz w:val="24"/>
        </w:rPr>
        <w:t xml:space="preserve">  •  </w:t>
      </w:r>
      <w:r>
        <w:rPr>
          <w:rFonts w:ascii="Arial" w:hAnsi="Arial"/>
          <w:color w:val="000000"/>
          <w:sz w:val="24"/>
        </w:rPr>
        <w:t xml:space="preserve">  Fomentar la investigación interna sobre el impacto de estas tecnologías y la difusión de buenas prácticas entre sus facultades.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Docentes:</w:t>
      </w:r>
    </w:p>
    <w:p>
      <w:pPr>
        <w:spacing w:line="360" w:lineRule="auto"/>
        <w:ind w:firstLine="709"/>
      </w:pPr>
      <w:r>
        <w:rPr>
          <w:rFonts w:ascii="Arial" w:hAnsi="Arial"/>
          <w:color w:val="000000"/>
          <w:sz w:val="24"/>
        </w:rPr>
        <w:t xml:space="preserve">  •  </w:t>
      </w:r>
      <w:r>
        <w:rPr>
          <w:rFonts w:ascii="Arial" w:hAnsi="Arial"/>
          <w:color w:val="000000"/>
          <w:sz w:val="24"/>
        </w:rPr>
        <w:t xml:space="preserve">  Explorar activamente las oportunidades que ofrecen las tecnologías emergentes para enriquecer sus metodologías de enseñanza y diseño de actividades.</w:t>
      </w:r>
    </w:p>
    <w:p>
      <w:pPr>
        <w:spacing w:line="360" w:lineRule="auto"/>
        <w:ind w:firstLine="709"/>
      </w:pPr>
      <w:r>
        <w:rPr>
          <w:rFonts w:ascii="Arial" w:hAnsi="Arial"/>
          <w:color w:val="000000"/>
          <w:sz w:val="24"/>
        </w:rPr>
        <w:t xml:space="preserve">  •  </w:t>
      </w:r>
      <w:r>
        <w:rPr>
          <w:rFonts w:ascii="Arial" w:hAnsi="Arial"/>
          <w:color w:val="000000"/>
          <w:sz w:val="24"/>
        </w:rPr>
        <w:t xml:space="preserve">  Participar en programas de desarrollo profesional y colaborar con colegas para integrar eficazmente estas herramientas en sus cursos.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Para Futuras Investigaciones:</w:t>
      </w:r>
    </w:p>
    <w:p>
      <w:pPr>
        <w:spacing w:line="360" w:lineRule="auto"/>
        <w:ind w:firstLine="709"/>
      </w:pPr>
      <w:r>
        <w:rPr>
          <w:rFonts w:ascii="Arial" w:hAnsi="Arial"/>
          <w:color w:val="000000"/>
          <w:sz w:val="24"/>
        </w:rPr>
        <w:t xml:space="preserve">  •  </w:t>
      </w:r>
      <w:r>
        <w:rPr>
          <w:rFonts w:ascii="Arial" w:hAnsi="Arial"/>
          <w:color w:val="000000"/>
          <w:sz w:val="24"/>
        </w:rPr>
        <w:t xml:space="preserve">  Realizar estudios longitudinales para evaluar el impacto a largo plazo de la integración tecnológica en el rendimiento académico y las trayectorias profesionales de los estudiantes.</w:t>
      </w:r>
    </w:p>
    <w:p>
      <w:pPr>
        <w:spacing w:line="360" w:lineRule="auto"/>
        <w:ind w:firstLine="709"/>
      </w:pPr>
      <w:r>
        <w:rPr>
          <w:rFonts w:ascii="Arial" w:hAnsi="Arial"/>
          <w:color w:val="000000"/>
          <w:sz w:val="24"/>
        </w:rPr>
        <w:t xml:space="preserve">  •  </w:t>
      </w:r>
      <w:r>
        <w:rPr>
          <w:rFonts w:ascii="Arial" w:hAnsi="Arial"/>
          <w:color w:val="000000"/>
          <w:sz w:val="24"/>
        </w:rPr>
        <w:t xml:space="preserve">  Investigar los aspectos éticos y de privacidad asociados al uso de IA y blockchain en la gestión de datos académicos.</w:t>
      </w:r>
    </w:p>
    <w:p>
      <w:pPr>
        <w:spacing w:line="360" w:lineRule="auto"/>
        <w:ind w:firstLine="709"/>
      </w:pPr>
      <w:r>
        <w:rPr>
          <w:rFonts w:ascii="Arial" w:hAnsi="Arial"/>
          <w:color w:val="000000"/>
          <w:sz w:val="24"/>
        </w:rPr>
        <w:t xml:space="preserve">  •  </w:t>
      </w:r>
      <w:r>
        <w:rPr>
          <w:rFonts w:ascii="Arial" w:hAnsi="Arial"/>
          <w:color w:val="000000"/>
          <w:sz w:val="24"/>
        </w:rPr>
        <w:t xml:space="preserve">  Analizar la percepción de otros actores educativos, como padres, empleadores y formuladores de políticas.</w:t>
      </w:r>
    </w:p>
    <w:p/>
    <w:p>
      <w:pPr>
        <w:pStyle w:val="Heading2"/>
      </w:pPr>
      <w:r>
        <w:rPr>
          <w:rFonts w:ascii="Arial" w:hAnsi="Arial"/>
          <w:color w:val="000000"/>
        </w:rPr>
        <w:t xml:space="preserve"> 6. BIBLIOGRAFÍA</w:t>
      </w:r>
    </w:p>
    <w:p/>
    <w:p>
      <w:pPr>
        <w:pStyle w:val="Heading3"/>
      </w:pPr>
      <w:r>
        <w:rPr>
          <w:rFonts w:ascii="Arial" w:hAnsi="Arial"/>
          <w:color w:val="000000"/>
        </w:rPr>
        <w:t>6.1. Fuentes Bibliográficas</w:t>
      </w:r>
    </w:p>
    <w:p>
      <w:pPr>
        <w:spacing w:line="360" w:lineRule="auto"/>
        <w:ind w:firstLine="709"/>
      </w:pPr>
      <w:r>
        <w:rPr>
          <w:rFonts w:ascii="Arial" w:hAnsi="Arial"/>
          <w:color w:val="000000"/>
          <w:sz w:val="24"/>
        </w:rPr>
        <w:t xml:space="preserve">  •  </w:t>
      </w:r>
      <w:r>
        <w:rPr>
          <w:rFonts w:ascii="Arial" w:hAnsi="Arial"/>
          <w:color w:val="000000"/>
          <w:sz w:val="24"/>
        </w:rPr>
        <w:t xml:space="preserve">  Chen, L., Chen, P., &amp; Lin, Z. (2020). </w:t>
      </w:r>
      <w:r>
        <w:rPr>
          <w:rFonts w:ascii="Arial" w:hAnsi="Arial"/>
          <w:i/>
          <w:color w:val="000000"/>
          <w:sz w:val="24"/>
        </w:rPr>
        <w:t>Artificial Intelligence in Education: A Comprehensive Review</w:t>
      </w:r>
      <w:r>
        <w:rPr>
          <w:rFonts w:ascii="Arial" w:hAnsi="Arial"/>
          <w:color w:val="000000"/>
          <w:sz w:val="24"/>
        </w:rPr>
        <w:t>. Wiley.</w:t>
      </w:r>
    </w:p>
    <w:p>
      <w:pPr>
        <w:spacing w:line="360" w:lineRule="auto"/>
        <w:ind w:firstLine="709"/>
      </w:pPr>
      <w:r>
        <w:rPr>
          <w:rFonts w:ascii="Arial" w:hAnsi="Arial"/>
          <w:color w:val="000000"/>
          <w:sz w:val="24"/>
        </w:rPr>
        <w:t xml:space="preserve">  •  </w:t>
      </w:r>
      <w:r>
        <w:rPr>
          <w:rFonts w:ascii="Arial" w:hAnsi="Arial"/>
          <w:color w:val="000000"/>
          <w:sz w:val="24"/>
        </w:rPr>
        <w:t xml:space="preserve">  Christensen, C. M. (1997). </w:t>
      </w:r>
      <w:r>
        <w:rPr>
          <w:rFonts w:ascii="Arial" w:hAnsi="Arial"/>
          <w:i/>
          <w:color w:val="000000"/>
          <w:sz w:val="24"/>
        </w:rPr>
        <w:t>The Innovator's Dilemma: When New Technologies Cause Great Firms to Fail</w:t>
      </w:r>
      <w:r>
        <w:rPr>
          <w:rFonts w:ascii="Arial" w:hAnsi="Arial"/>
          <w:color w:val="000000"/>
          <w:sz w:val="24"/>
        </w:rPr>
        <w:t>. Harvard Business Review Press.</w:t>
      </w:r>
    </w:p>
    <w:p>
      <w:pPr>
        <w:spacing w:line="360" w:lineRule="auto"/>
        <w:ind w:firstLine="709"/>
      </w:pPr>
      <w:r>
        <w:rPr>
          <w:rFonts w:ascii="Arial" w:hAnsi="Arial"/>
          <w:color w:val="000000"/>
          <w:sz w:val="24"/>
        </w:rPr>
        <w:t xml:space="preserve">  •  </w:t>
      </w:r>
      <w:r>
        <w:rPr>
          <w:rFonts w:ascii="Arial" w:hAnsi="Arial"/>
          <w:color w:val="000000"/>
          <w:sz w:val="24"/>
        </w:rPr>
        <w:t xml:space="preserve">  Davis, F. D. (1989). </w:t>
      </w:r>
      <w:r>
        <w:rPr>
          <w:rFonts w:ascii="Arial" w:hAnsi="Arial"/>
          <w:i/>
          <w:color w:val="000000"/>
          <w:sz w:val="24"/>
        </w:rPr>
        <w:t>Perceived Usefulness, Perceived Ease of Use, and User Acceptance of Information Technology</w:t>
      </w:r>
      <w:r>
        <w:rPr>
          <w:rFonts w:ascii="Arial" w:hAnsi="Arial"/>
          <w:color w:val="000000"/>
          <w:sz w:val="24"/>
        </w:rPr>
        <w:t>. MIS Quarterly, 13(3), 319-340.</w:t>
      </w:r>
    </w:p>
    <w:p>
      <w:pPr>
        <w:spacing w:line="360" w:lineRule="auto"/>
        <w:ind w:firstLine="709"/>
      </w:pPr>
      <w:r>
        <w:rPr>
          <w:rFonts w:ascii="Arial" w:hAnsi="Arial"/>
          <w:color w:val="000000"/>
          <w:sz w:val="24"/>
        </w:rPr>
        <w:t xml:space="preserve">  •  </w:t>
      </w:r>
      <w:r>
        <w:rPr>
          <w:rFonts w:ascii="Arial" w:hAnsi="Arial"/>
          <w:color w:val="000000"/>
          <w:sz w:val="24"/>
        </w:rPr>
        <w:t xml:space="preserve">  Johnson, L., Adams Becker, S., Cummins, M., Estrada, V., Freeman, A., &amp; Hall, C. (2018). </w:t>
      </w:r>
      <w:r>
        <w:rPr>
          <w:rFonts w:ascii="Arial" w:hAnsi="Arial"/>
          <w:i/>
          <w:color w:val="000000"/>
          <w:sz w:val="24"/>
        </w:rPr>
        <w:t>NMC Horizon Report: 2018 Higher Education Edition</w:t>
      </w:r>
      <w:r>
        <w:rPr>
          <w:rFonts w:ascii="Arial" w:hAnsi="Arial"/>
          <w:color w:val="000000"/>
          <w:sz w:val="24"/>
        </w:rPr>
        <w:t>. The New Media Consortium.</w:t>
      </w:r>
    </w:p>
    <w:p>
      <w:pPr>
        <w:spacing w:line="360" w:lineRule="auto"/>
        <w:ind w:firstLine="709"/>
      </w:pPr>
      <w:r>
        <w:rPr>
          <w:rFonts w:ascii="Arial" w:hAnsi="Arial"/>
          <w:color w:val="000000"/>
          <w:sz w:val="24"/>
        </w:rPr>
        <w:t xml:space="preserve">  •  </w:t>
      </w:r>
      <w:r>
        <w:rPr>
          <w:rFonts w:ascii="Arial" w:hAnsi="Arial"/>
          <w:color w:val="000000"/>
          <w:sz w:val="24"/>
        </w:rPr>
        <w:t xml:space="preserve">  Siemens, G. (2005). </w:t>
      </w:r>
      <w:r>
        <w:rPr>
          <w:rFonts w:ascii="Arial" w:hAnsi="Arial"/>
          <w:i/>
          <w:color w:val="000000"/>
          <w:sz w:val="24"/>
        </w:rPr>
        <w:t>Connectivism: A Learning Theory for the Digital Age</w:t>
      </w:r>
      <w:r>
        <w:rPr>
          <w:rFonts w:ascii="Arial" w:hAnsi="Arial"/>
          <w:color w:val="000000"/>
          <w:sz w:val="24"/>
        </w:rPr>
        <w:t>. International Journal of Instructional Technology &amp; Distance Learning, 2(1).</w:t>
      </w:r>
    </w:p>
    <w:p>
      <w:pPr>
        <w:spacing w:line="360" w:lineRule="auto"/>
        <w:ind w:firstLine="709"/>
      </w:pPr>
      <w:r>
        <w:rPr>
          <w:rFonts w:ascii="Arial" w:hAnsi="Arial"/>
          <w:color w:val="000000"/>
          <w:sz w:val="24"/>
        </w:rPr>
        <w:t xml:space="preserve">  •  </w:t>
      </w:r>
      <w:r>
        <w:rPr>
          <w:rFonts w:ascii="Arial" w:hAnsi="Arial"/>
          <w:color w:val="000000"/>
          <w:sz w:val="24"/>
        </w:rPr>
        <w:t xml:space="preserve">  Vygotsky, L. S. (1978). </w:t>
      </w:r>
      <w:r>
        <w:rPr>
          <w:rFonts w:ascii="Arial" w:hAnsi="Arial"/>
          <w:i/>
          <w:color w:val="000000"/>
          <w:sz w:val="24"/>
        </w:rPr>
        <w:t>Mind in Society: The Development of Higher Psychological Processes</w:t>
      </w:r>
      <w:r>
        <w:rPr>
          <w:rFonts w:ascii="Arial" w:hAnsi="Arial"/>
          <w:color w:val="000000"/>
          <w:sz w:val="24"/>
        </w:rPr>
        <w:t>. Harvard University Press.</w:t>
      </w:r>
    </w:p>
    <w:p/>
    <w:p>
      <w:pPr>
        <w:pStyle w:val="Heading3"/>
      </w:pPr>
      <w:r>
        <w:rPr>
          <w:rFonts w:ascii="Arial" w:hAnsi="Arial"/>
          <w:color w:val="000000"/>
        </w:rPr>
        <w:t>6.2. Fuentes Electrónicas</w:t>
      </w:r>
    </w:p>
    <w:p>
      <w:pPr>
        <w:spacing w:line="360" w:lineRule="auto"/>
        <w:ind w:firstLine="709"/>
      </w:pPr>
      <w:r>
        <w:rPr>
          <w:rFonts w:ascii="Arial" w:hAnsi="Arial"/>
          <w:color w:val="000000"/>
          <w:sz w:val="24"/>
        </w:rPr>
        <w:t xml:space="preserve">  •  </w:t>
      </w:r>
      <w:r>
        <w:rPr>
          <w:rFonts w:ascii="Arial" w:hAnsi="Arial"/>
          <w:color w:val="000000"/>
          <w:sz w:val="24"/>
        </w:rPr>
        <w:t xml:space="preserve">  Técnicas, A. (2019). </w:t>
      </w:r>
      <w:r>
        <w:rPr>
          <w:rFonts w:ascii="Arial" w:hAnsi="Arial"/>
          <w:i/>
          <w:color w:val="000000"/>
          <w:sz w:val="24"/>
        </w:rPr>
        <w:t>Desafíos de la Adopción Tecnológica en Universidades Latinoamericanas</w:t>
      </w:r>
      <w:r>
        <w:rPr>
          <w:rFonts w:ascii="Arial" w:hAnsi="Arial"/>
          <w:color w:val="000000"/>
          <w:sz w:val="24"/>
        </w:rPr>
        <w:t>. Revista de Educación Superior, 48(190), 1-15. Recuperado de [http://www.ejemplo.org/articulo_tovar_2019.pdf](http://www.ejemplo.org/articulo_tovar_2019.pdf)</w:t>
      </w:r>
    </w:p>
    <w:p>
      <w:pPr>
        <w:spacing w:line="360" w:lineRule="auto"/>
        <w:ind w:firstLine="709"/>
      </w:pPr>
      <w:r>
        <w:rPr>
          <w:rFonts w:ascii="Arial" w:hAnsi="Arial"/>
          <w:color w:val="000000"/>
          <w:sz w:val="24"/>
        </w:rPr>
        <w:t xml:space="preserve">  •  </w:t>
      </w:r>
      <w:r>
        <w:rPr>
          <w:rFonts w:ascii="Arial" w:hAnsi="Arial"/>
          <w:color w:val="000000"/>
          <w:sz w:val="24"/>
        </w:rPr>
        <w:t xml:space="preserve">  UNESCO. (2021). </w:t>
      </w:r>
      <w:r>
        <w:rPr>
          <w:rFonts w:ascii="Arial" w:hAnsi="Arial"/>
          <w:i/>
          <w:color w:val="000000"/>
          <w:sz w:val="24"/>
        </w:rPr>
        <w:t>Tecnologías de la Información y la Comunicación en la Educación Superior: Retos y Oportunidades</w:t>
      </w:r>
      <w:r>
        <w:rPr>
          <w:rFonts w:ascii="Arial" w:hAnsi="Arial"/>
          <w:color w:val="000000"/>
          <w:sz w:val="24"/>
        </w:rPr>
        <w:t>. UNESCO Digital Library. Recuperado de [https://unesdoc.unesco.org/ark:/48223/pf0000378875](https://unesdoc.unesco.org/ark:/48223/pf0000378875)</w:t>
      </w:r>
    </w:p>
    <w:p>
      <w:pPr>
        <w:spacing w:line="360" w:lineRule="auto"/>
        <w:ind w:firstLine="709"/>
      </w:pPr>
      <w:r>
        <w:rPr>
          <w:rFonts w:ascii="Arial" w:hAnsi="Arial"/>
          <w:color w:val="000000"/>
          <w:sz w:val="24"/>
        </w:rPr>
        <w:t xml:space="preserve">  •  </w:t>
      </w:r>
      <w:r>
        <w:rPr>
          <w:rFonts w:ascii="Arial" w:hAnsi="Arial"/>
          <w:color w:val="000000"/>
          <w:sz w:val="24"/>
        </w:rPr>
        <w:t xml:space="preserve">  World Economic Forum. (2020). </w:t>
      </w:r>
      <w:r>
        <w:rPr>
          <w:rFonts w:ascii="Arial" w:hAnsi="Arial"/>
          <w:i/>
          <w:color w:val="000000"/>
          <w:sz w:val="24"/>
        </w:rPr>
        <w:t>The Future of Jobs Report 2020</w:t>
      </w:r>
      <w:r>
        <w:rPr>
          <w:rFonts w:ascii="Arial" w:hAnsi="Arial"/>
          <w:color w:val="000000"/>
          <w:sz w:val="24"/>
        </w:rPr>
        <w:t>. Recuperado de [https://www.weforum.org/reports/the-future-of-jobs-report-2020/](https://www.weforum.org/reports/the-future-of-jobs-report-2020/)</w:t>
      </w:r>
    </w:p>
    <w:p>
      <w:pPr>
        <w:spacing w:before="0" w:after="0" w:line="360" w:lineRule="auto"/>
        <w:ind w:firstLine="709"/>
      </w:pPr>
      <w:r>
        <w:rPr>
          <w:rFonts w:ascii="Arial" w:hAnsi="Arial"/>
          <w:b w:val="0"/>
          <w:i/>
          <w:color w:val="000000"/>
          <w:sz w:val="24"/>
        </w:rPr>
        <w:t>(Nota: Se recomienda ordenar alfabéticamente y aplicar un estilo de citación estandarizado como APA, Vancouver, IEEE, etc.)</w:t>
      </w:r>
    </w:p>
    <w:p/>
    <w:p>
      <w:pPr>
        <w:pStyle w:val="Heading2"/>
      </w:pPr>
      <w:r>
        <w:rPr>
          <w:rFonts w:ascii="Arial" w:hAnsi="Arial"/>
          <w:color w:val="000000"/>
        </w:rPr>
        <w:t xml:space="preserve"> 7. ANEXOS</w:t>
      </w:r>
    </w:p>
    <w:p/>
    <w:p>
      <w:pPr>
        <w:pStyle w:val="Heading3"/>
      </w:pPr>
      <w:r>
        <w:rPr>
          <w:rFonts w:ascii="Arial" w:hAnsi="Arial"/>
          <w:color w:val="000000"/>
        </w:rPr>
        <w:t>Anexo A: Modelos de Instrumentos de Recolección de Datos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Cuestionario de Percepción sobre Tecnologías Emergentes para Estudiantes:</w:t>
      </w:r>
      <w:r>
        <w:rPr>
          <w:rFonts w:ascii="Arial" w:hAnsi="Arial"/>
          <w:color w:val="000000"/>
          <w:sz w:val="24"/>
        </w:rPr>
        <w:t xml:space="preserve"> Incluye secciones sobre datos demográficos, frecuencia de uso de IA/RV/RA/Blockchain, percepción de utilidad, facilidad de uso, impacto en el aprendizaje y barreras.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Guía de Entrevista Semi-estructurada para Docentes:</w:t>
      </w:r>
      <w:r>
        <w:rPr>
          <w:rFonts w:ascii="Arial" w:hAnsi="Arial"/>
          <w:color w:val="000000"/>
          <w:sz w:val="24"/>
        </w:rPr>
        <w:t xml:space="preserve"> Incluye preguntas sobre experiencias de integración, desafíos pedagógicos, formación recibida, y visión sobre el futuro de las tecnologías en la enseñanza.</w:t>
      </w:r>
    </w:p>
    <w:p/>
    <w:p>
      <w:pPr>
        <w:pStyle w:val="Heading3"/>
      </w:pPr>
      <w:r>
        <w:rPr>
          <w:rFonts w:ascii="Arial" w:hAnsi="Arial"/>
          <w:color w:val="000000"/>
        </w:rPr>
        <w:t>Anexo B: Evidencias Adicionales</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Carta de Autorización Institucional:</w:t>
      </w:r>
      <w:r>
        <w:rPr>
          <w:rFonts w:ascii="Arial" w:hAnsi="Arial"/>
          <w:color w:val="000000"/>
          <w:sz w:val="24"/>
        </w:rPr>
        <w:t xml:space="preserve"> Modelo de carta de aprobación por parte de las autoridades universitarias para la realización del estudio.</w:t>
      </w:r>
    </w:p>
    <w:p>
      <w:pPr>
        <w:spacing w:line="360" w:lineRule="auto"/>
        <w:ind w:firstLine="709"/>
      </w:pPr>
      <w:r>
        <w:rPr>
          <w:rFonts w:ascii="Arial" w:hAnsi="Arial"/>
          <w:color w:val="000000"/>
          <w:sz w:val="24"/>
        </w:rPr>
        <w:t xml:space="preserve">  •  </w:t>
      </w:r>
      <w:r>
        <w:rPr>
          <w:rFonts w:ascii="Arial" w:hAnsi="Arial"/>
          <w:color w:val="000000"/>
          <w:sz w:val="24"/>
        </w:rPr>
        <w:t xml:space="preserve">  </w:t>
      </w:r>
      <w:r>
        <w:rPr>
          <w:rFonts w:ascii="Arial" w:hAnsi="Arial"/>
          <w:b/>
          <w:color w:val="000000"/>
          <w:sz w:val="24"/>
        </w:rPr>
        <w:t>Matriz de Datos Descriptivos:</w:t>
      </w:r>
      <w:r>
        <w:rPr>
          <w:rFonts w:ascii="Arial" w:hAnsi="Arial"/>
          <w:color w:val="000000"/>
          <w:sz w:val="24"/>
        </w:rPr>
        <w:t xml:space="preserve"> Extracto de una tabla con datos anonimizados de la fase cuantitativa, mostrando ejemplos de frecuencia de uso de IA en cursos.</w:t>
      </w:r>
    </w:p>
    <w:sectPr w:rsidR="00FC693F" w:rsidRPr="0006063C" w:rsidSect="00034616">
      <w:headerReference w:type="default" r:id="rId9"/>
      <w:headerReference w:type="first" r:id="rId10"/>
      <w:pgSz w:w="12240" w:h="15840"/>
      <w:pgMar w:top="1440" w:right="1440"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709"/>
      <w:jc w:val="left"/>
      <w:outlineLvl w:val="2"/>
    </w:pPr>
    <w:rPr>
      <w:rFonts w:asciiTheme="majorHAnsi" w:eastAsiaTheme="majorEastAsia" w:hAnsiTheme="majorHAnsi" w:cstheme="majorBidi" w:ascii="Arial" w:hAnsi="Arial"/>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