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line="360" w:lineRule="auto"/>
        <w:ind w:firstLine="0"/>
        <w:jc w:val="center"/>
      </w:pPr>
      <w:r>
        <w:rPr>
          <w:rFonts w:ascii="Arial" w:hAnsi="Arial"/>
          <w:b/>
          <w:i w:val="0"/>
          <w:color w:val="000000"/>
          <w:sz w:val="28"/>
        </w:rPr>
        <w:t>UNIVERSIDAD</w:t>
      </w:r>
    </w:p>
    <w:p>
      <w:pPr>
        <w:spacing w:before="0" w:after="0" w:line="360" w:lineRule="auto"/>
        <w:ind w:firstLine="0"/>
        <w:jc w:val="center"/>
      </w:pPr>
      <w:r>
        <w:rPr>
          <w:rFonts w:ascii="Arial" w:hAnsi="Arial"/>
          <w:b/>
          <w:i w:val="0"/>
          <w:color w:val="000000"/>
          <w:sz w:val="28"/>
        </w:rPr>
        <w:t>SEDE</w:t>
      </w:r>
    </w:p>
    <w:p>
      <w:pPr>
        <w:spacing w:before="0" w:after="0" w:line="360" w:lineRule="auto"/>
        <w:ind w:firstLine="0"/>
        <w:jc w:val="center"/>
      </w:pPr>
      <w:r>
        <w:rPr>
          <w:rFonts w:ascii="Arial" w:hAnsi="Arial"/>
          <w:b/>
          <w:i w:val="0"/>
          <w:color w:val="000000"/>
          <w:sz w:val="28"/>
        </w:rPr>
        <w:t>FACULTAD</w:t>
      </w:r>
    </w:p>
    <w:p>
      <w:pPr>
        <w:spacing w:before="0" w:after="200" w:line="360" w:lineRule="auto"/>
        <w:ind w:firstLine="0"/>
        <w:jc w:val="center"/>
      </w:pPr>
      <w:r>
        <w:rPr>
          <w:rFonts w:ascii="Arial" w:hAnsi="Arial"/>
          <w:b/>
          <w:i w:val="0"/>
          <w:color w:val="000000"/>
          <w:sz w:val="28"/>
        </w:rPr>
        <w:t>CARRERA</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"Análisis de la serie animada de Batman"</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w:t>
        <w:br/>
        <w:t>2026</w:t>
      </w:r>
    </w:p>
    <w:p>
      <w:r>
        <w:br w:type="page"/>
      </w:r>
    </w:p>
    <w:p>
      <w:r>
        <w:fldChar w:fldCharType="begin"/>
      </w:r>
      <w:r>
        <w:instrText xml:space="preserve"> TOC \o "1-3" \h \z \u </w:instrText>
      </w:r>
      <w:r>
        <w:fldChar w:fldCharType="separate"/>
      </w:r>
      <w:r>
        <w:rPr>
          <w:rFonts w:ascii="Arial" w:hAnsi="Arial"/>
          <w:i/>
          <w:sz w:val="20"/>
        </w:rPr>
        <w:t>[Click derecho y seleccione "Actualizar campos" para generar el índice]</w:t>
      </w:r>
      <w:r>
        <w:fldChar w:fldCharType="end"/>
      </w:r>
    </w:p>
    <w:p>
      <w:r>
        <w:br w:type="page"/>
      </w:r>
    </w:p>
    <w:p>
      <w:r>
        <w:rPr>
          <w:b/>
          <w:i w:val="0"/>
          <w:sz w:val="28"/>
        </w:rPr>
        <w:t>Impacto de las Tecnologías Digitales en el Proceso de Aprendizaje Universitario: Un Análisis Multidimensional</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p>
    <w:p>
      <w:pPr>
        <w:spacing w:before="0" w:after="0" w:line="360" w:lineRule="auto"/>
        <w:ind w:firstLine="709"/>
      </w:pPr>
      <w:r>
        <w:rPr>
          <w:rFonts w:ascii="Arial" w:hAnsi="Arial"/>
          <w:b w:val="0"/>
          <w:i w:val="0"/>
          <w:color w:val="000000"/>
          <w:sz w:val="24"/>
        </w:rPr>
        <w:t>La educación superior, a nivel global, ha experimentado una profunda transformación en las últimas décadas, impulsada significativamente por la omnipresencia y constante evolución de las tecnologías digitales. La integración de herramientas y plataformas digitales en el aula y fuera de ella ha redefinido las metodologías de enseñanza, las estrategias de aprendizaje y las expectativas de los estudiantes y docentes. En este contexto, las instituciones universitarias se enfrentan al desafío de optimizar la implementación de estas tecnologías para maximizar su potencial pedagógico y asegurar una formación integral y relevante para las nuevas generaciones.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p>
    <w:p>
      <w:pPr>
        <w:spacing w:before="0" w:after="0" w:line="360" w:lineRule="auto"/>
        <w:ind w:firstLine="709"/>
      </w:pPr>
      <w:r>
        <w:rPr>
          <w:rFonts w:ascii="Arial" w:hAnsi="Arial"/>
          <w:b w:val="0"/>
          <w:i w:val="0"/>
          <w:color w:val="000000"/>
          <w:sz w:val="24"/>
        </w:rPr>
        <w:t>A pesar de la creciente adopción de tecnologías digitales en el ámbito universitario, existe una brecha significativa en la comprensión de cómo estas herramientas impactan realmente el proceso de aprendizaje de los estudiantes. Si bien se asume que la tecnología potencia el aprendizaje, la evidencia sistemática sobre la efectividad pedagógica, los factores que influyen en su éxito y las percepciones de los actores involucrados (estudiantes y profesores) es a menudo fragmentada. Específicamente, se carece de un análisis multidimensional que aborde tanto los beneficios como los desafíos asociados a su uso, así como la identificación de las mejores prácticas para su integración en diferentes contextos académicos. Esta falta de claridad puede llevar a implementaciones ineficientes y a la subutilización del vasto potencial que las tecnologías digitales ofrecen.</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¿Cuál es el impacto percibido de las tecnologías digitales en el rendimiento académico y la motivación de los estudiantes universitarios?</w:t>
      </w:r>
    </w:p>
    <w:p>
      <w:pPr>
        <w:spacing w:line="360" w:lineRule="auto"/>
        <w:ind w:firstLine="709"/>
      </w:pPr>
      <w:r>
        <w:rPr>
          <w:rFonts w:ascii="Arial" w:hAnsi="Arial"/>
          <w:color w:val="000000"/>
          <w:sz w:val="24"/>
        </w:rPr>
        <w:t xml:space="preserve">  •  </w:t>
      </w:r>
      <w:r>
        <w:rPr>
          <w:rFonts w:ascii="Arial" w:hAnsi="Arial"/>
          <w:color w:val="000000"/>
          <w:sz w:val="24"/>
        </w:rPr>
        <w:t xml:space="preserve">  ¿Cómo influye la capacitación docente en la integración efectiva de las tecnologías digitales en el currículo universitario?</w:t>
      </w:r>
    </w:p>
    <w:p>
      <w:pPr>
        <w:spacing w:line="360" w:lineRule="auto"/>
        <w:ind w:firstLine="709"/>
      </w:pPr>
      <w:r>
        <w:rPr>
          <w:rFonts w:ascii="Arial" w:hAnsi="Arial"/>
          <w:color w:val="000000"/>
          <w:sz w:val="24"/>
        </w:rPr>
        <w:t xml:space="preserve">  •  </w:t>
      </w:r>
      <w:r>
        <w:rPr>
          <w:rFonts w:ascii="Arial" w:hAnsi="Arial"/>
          <w:color w:val="000000"/>
          <w:sz w:val="24"/>
        </w:rPr>
        <w:t xml:space="preserve">  ¿Qué factores socio-demográficos y tecnológicos moderan la relación entre el uso de tecnologías digitales y la experiencia de aprendizaje en el nivel superior?</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p>
    <w:p>
      <w:pPr>
        <w:spacing w:before="0" w:after="0" w:line="360" w:lineRule="auto"/>
        <w:ind w:firstLine="709"/>
      </w:pPr>
      <w:r>
        <w:rPr>
          <w:rFonts w:ascii="Arial" w:hAnsi="Arial"/>
          <w:b w:val="0"/>
          <w:i w:val="0"/>
          <w:color w:val="000000"/>
          <w:sz w:val="24"/>
        </w:rPr>
        <w:t>La relevancia de esta investigación radica en su potencial para informar a las instituciones educativas sobre la optimización de sus estrategias de integración tecnológica. Teóricamente, contribuirá a la expansión del conocimiento en el campo de la tecnología educativa y la pedagogía digital, proporcionando un marco comprensivo para entender las dinámicas entre tecnología, enseñanza y aprendizaje. Prácticamente, los hallazgos pueden guiar la formulación de políticas institucionales, el diseño de programas de capacitación docente y el desarrollo de recursos educativos digitales más efectivos. Socialmente, el estudio busca mejorar la calidad de la educación superior, preparando a los estudiantes para un entorno profesional cada vez más digitalizado.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p>
    <w:p>
      <w:pPr>
        <w:spacing w:before="0" w:after="0" w:line="360" w:lineRule="auto"/>
        <w:ind w:firstLine="709"/>
      </w:pPr>
      <w:r>
        <w:rPr>
          <w:rFonts w:ascii="Arial" w:hAnsi="Arial"/>
          <w:b w:val="0"/>
          <w:i w:val="0"/>
          <w:color w:val="000000"/>
          <w:sz w:val="24"/>
        </w:rPr>
        <w:t>El presente estudio se centrará en estudiantes y docentes de pregrado de universidades públicas en la región metropolitana durante el año académico 2023-2024. Se abordará el impacto de las tecnologías digitales de uso común en el ámbito universitario, incluyendo plataformas de gestión del aprendizaje (LMS), herramientas de colaboración en línea, recursos multimedia y dispositivos móviles. No se considerarán las tecnologías emergentes en fase experimental ni aquellas específicas de campos técnicos muy especializados. La investigación tendrá un enfoque cuantitativo y cualitativo para capturar una visión integral del fenómeno.</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p>
    <w:p>
      <w:pPr>
        <w:spacing w:before="0" w:after="0" w:line="360" w:lineRule="auto"/>
        <w:ind w:firstLine="709"/>
      </w:pPr>
      <w:r>
        <w:rPr>
          <w:rFonts w:ascii="Arial" w:hAnsi="Arial"/>
          <w:b w:val="0"/>
          <w:i w:val="0"/>
          <w:color w:val="000000"/>
          <w:sz w:val="24"/>
        </w:rPr>
        <w:t>Analizar el impacto multidimensional de la integración de tecnologías digitales en el proceso de aprendizaje de estudiantes universitarios, desde la perspectiva de estudiantes y docentes, en el contexto de la educación superior contemporánea.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las percepciones de los estudiantes universitarios sobre la contribución de las tecnologías digitales a su rendimiento académico, motivación y autonomía en el aprendizaje.</w:t>
      </w:r>
    </w:p>
    <w:p>
      <w:pPr>
        <w:spacing w:line="360" w:lineRule="auto"/>
        <w:ind w:firstLine="709"/>
      </w:pPr>
      <w:r>
        <w:rPr>
          <w:rFonts w:ascii="Arial" w:hAnsi="Arial"/>
          <w:color w:val="000000"/>
          <w:sz w:val="24"/>
        </w:rPr>
        <w:t xml:space="preserve">  •  </w:t>
      </w:r>
      <w:r>
        <w:rPr>
          <w:rFonts w:ascii="Arial" w:hAnsi="Arial"/>
          <w:color w:val="000000"/>
          <w:sz w:val="24"/>
        </w:rPr>
        <w:t xml:space="preserve">  Evaluar el grado de preparación y las estrategias utilizadas por los docentes para integrar efectivamente las tecnologías digitales en sus prácticas pedagógicas.</w:t>
      </w:r>
    </w:p>
    <w:p>
      <w:pPr>
        <w:spacing w:line="360" w:lineRule="auto"/>
        <w:ind w:firstLine="709"/>
      </w:pPr>
      <w:r>
        <w:rPr>
          <w:rFonts w:ascii="Arial" w:hAnsi="Arial"/>
          <w:color w:val="000000"/>
          <w:sz w:val="24"/>
        </w:rPr>
        <w:t xml:space="preserve">  •  </w:t>
      </w:r>
      <w:r>
        <w:rPr>
          <w:rFonts w:ascii="Arial" w:hAnsi="Arial"/>
          <w:color w:val="000000"/>
          <w:sz w:val="24"/>
        </w:rPr>
        <w:t xml:space="preserve">  Determinar la influencia de factores socio-demográficos (edad, género, nivel socioeconómico) y tecnológicos (acceso a dispositivos, conectividad) en la experiencia de aprendizaje mediada por la tecnología.</w:t>
      </w:r>
    </w:p>
    <w:p>
      <w:pPr>
        <w:spacing w:line="360" w:lineRule="auto"/>
        <w:ind w:firstLine="709"/>
      </w:pPr>
      <w:r>
        <w:rPr>
          <w:rFonts w:ascii="Arial" w:hAnsi="Arial"/>
          <w:color w:val="000000"/>
          <w:sz w:val="24"/>
        </w:rPr>
        <w:t xml:space="preserve">  •  </w:t>
      </w:r>
      <w:r>
        <w:rPr>
          <w:rFonts w:ascii="Arial" w:hAnsi="Arial"/>
          <w:color w:val="000000"/>
          <w:sz w:val="24"/>
        </w:rPr>
        <w:t xml:space="preserve">  Proponer recomendaciones estratégicas para la mejora de la implementación de tecnologías digitales en el ámbito universitario, basadas en los hallazgos del estudio.</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p>
    <w:p>
      <w:pPr>
        <w:spacing w:before="0" w:after="0" w:line="360" w:lineRule="auto"/>
        <w:ind w:firstLine="709"/>
      </w:pPr>
      <w:r>
        <w:rPr>
          <w:rFonts w:ascii="Arial" w:hAnsi="Arial"/>
          <w:b w:val="0"/>
          <w:i w:val="0"/>
          <w:color w:val="000000"/>
          <w:sz w:val="24"/>
        </w:rPr>
        <w:t>Numerosos estudios a nivel internacional han explorado la relación entre tecnología y educación. Investigaciones previas han abordado temas como la efectividad de los ambientes virtuales de aprendizaje, el impacto de los recursos educativos abiertos (REA), y la percepción de estudiantes y docentes sobre diversas herramientas digitales. Se han encontrado resultados variados, destacando la importancia del diseño pedagógico y el soporte institucional en el éxito de la integración tecnológica. A nivel nacional, la literatura muestra un creciente interés en la digitalización de la educación superior, aunque con un enfoque predominante en la infraestructura y menos en los impactos pedagógicos profundos.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p>
    <w:p>
      <w:pPr>
        <w:spacing w:before="0" w:after="0" w:line="360" w:lineRule="auto"/>
        <w:ind w:firstLine="709"/>
      </w:pPr>
      <w:r>
        <w:rPr>
          <w:rFonts w:ascii="Arial" w:hAnsi="Arial"/>
          <w:b w:val="0"/>
          <w:i w:val="0"/>
          <w:color w:val="000000"/>
          <w:sz w:val="24"/>
        </w:rPr>
        <w:t>Este estudio se fundamenta en varias teorías clave. Se partirá de la Teoría del Aprendizaje Conectivista de Siemens y Downes, que postula cómo el conocimiento se distribuye en redes y cómo el aprendizaje es el proceso de conectar nodos o fuentes de información especializadas. Se complementará con elementos de la Teoría del Constructivismo Social de Vygotsky, adaptada al entorno digital, enfatizando la construcción colaborativa del conocimiento a través de herramientas tecnológicas. Además, se considerará la Teoría de la Aceptación Tecnológica (TAM) de Davis, para comprender los factores que influyen en la disposición de estudiantes y docentes a adoptar y utilizar las tecnologías digitales en sus procesos de enseñanza-aprendizaje. Finalmente, la teoría del capital humano servirá para contextualizar la importancia de las habilidades digitales en la formación profesional.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Tecnologías Digitales:</w:t>
      </w:r>
      <w:r>
        <w:rPr>
          <w:rFonts w:ascii="Arial" w:hAnsi="Arial"/>
          <w:color w:val="000000"/>
          <w:sz w:val="24"/>
        </w:rPr>
        <w:t xml:space="preserve"> Se refiere al conjunto de herramientas, plataformas, software y hardware electrónicos utilizados para acceder, procesar, almacenar y transmitir información en formatos digitales, aplicados al contexto educativo (e.g., LMS, aulas virtuales, recursos multimedia, herramientas de colaboración en línea).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Proceso de Aprendizaje Universitario:</w:t>
      </w:r>
      <w:r>
        <w:rPr>
          <w:rFonts w:ascii="Arial" w:hAnsi="Arial"/>
          <w:color w:val="000000"/>
          <w:sz w:val="24"/>
        </w:rPr>
        <w:t xml:space="preserve"> Conjunto de actividades y estrategias cognitivas y metacognitivas que los estudiantes de educación superior emplean para adquirir, construir y aplicar conocimientos, habilidades y competencias, incluyendo la interacción con contenidos, compañeros y docentes.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Rendimiento Académico:</w:t>
      </w:r>
      <w:r>
        <w:rPr>
          <w:rFonts w:ascii="Arial" w:hAnsi="Arial"/>
          <w:color w:val="000000"/>
          <w:sz w:val="24"/>
        </w:rPr>
        <w:t xml:space="preserve"> Medida del logro educativo de los estudiantes, generalmente evaluado a través de calificaciones, puntajes en exámenes y la consecución de objetivos de aprendizaje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Motivación en el Aprendizaje:</w:t>
      </w:r>
      <w:r>
        <w:rPr>
          <w:rFonts w:ascii="Arial" w:hAnsi="Arial"/>
          <w:color w:val="000000"/>
          <w:sz w:val="24"/>
        </w:rPr>
        <w:t xml:space="preserve"> Impulso intrínseco o extrínseco que dirige el comportamiento del estudiante hacia la consecución de metas educativas, influyendo en su persistencia, esfuerzo y nivel de compromiso.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 (Si aplica):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General:</w:t>
      </w:r>
      <w:r>
        <w:rPr>
          <w:rFonts w:ascii="Arial" w:hAnsi="Arial"/>
          <w:color w:val="000000"/>
          <w:sz w:val="24"/>
        </w:rPr>
        <w:t xml:space="preserve"> La integración efectiva de tecnologías digitales en el ámbito universitario mejora significativamente el rendimiento académico y la motivación de los estudiantes, siempre y cuando esté acompañada de una adecuada capacitación docente y soporte institucional.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Específica 1:</w:t>
      </w:r>
      <w:r>
        <w:rPr>
          <w:rFonts w:ascii="Arial" w:hAnsi="Arial"/>
          <w:color w:val="000000"/>
          <w:sz w:val="24"/>
        </w:rPr>
        <w:t xml:space="preserve"> Existe una correlación positiva entre la frecuencia de uso de plataformas de gestión del aprendizaje y la percepción de los estudiantes sobre su autonomía en el estudio.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Específica 2:</w:t>
      </w:r>
      <w:r>
        <w:rPr>
          <w:rFonts w:ascii="Arial" w:hAnsi="Arial"/>
          <w:color w:val="000000"/>
          <w:sz w:val="24"/>
        </w:rPr>
        <w:t xml:space="preserve"> Los docentes que reciben capacitación continua en herramientas digitales y metodologías pedagógicas innovadoras demuestran una mayor integración de la tecnología en sus clases, percibiendo un impacto positivo en el compromiso estudiantil.</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p>
    <w:p>
      <w:pPr>
        <w:spacing w:before="0" w:after="0" w:line="360" w:lineRule="auto"/>
        <w:ind w:firstLine="709"/>
      </w:pPr>
      <w:r>
        <w:rPr>
          <w:rFonts w:ascii="Arial" w:hAnsi="Arial"/>
          <w:b w:val="0"/>
          <w:i w:val="0"/>
          <w:color w:val="000000"/>
          <w:sz w:val="24"/>
        </w:rPr>
        <w:t>La investigación adoptará un enfoque mixto (cuantitativo y cualitativo), de diseño no experimental y transaccional. El componente cuantitativo será de alcance correlacional y descriptivo, buscando identificar relaciones entre variables y caracterizar el fenómeno. El componente cualitativo será de alcance exploratorio e interpretativo, profundizando en las percepciones y experiencias de los participantes.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p>
    <w:p>
      <w:pPr>
        <w:spacing w:before="0" w:after="0" w:line="360" w:lineRule="auto"/>
        <w:ind w:firstLine="709"/>
      </w:pPr>
      <w:r>
        <w:rPr>
          <w:rFonts w:ascii="Arial" w:hAnsi="Arial"/>
          <w:b w:val="0"/>
          <w:i w:val="0"/>
          <w:color w:val="000000"/>
          <w:sz w:val="24"/>
        </w:rPr>
        <w:t>La población de estudio estará compuesta por estudiantes de pregrado (N=aprox. 15,000) y docentes (N=aprox. 1,500) de tres universidades públicas en la región metropolitana. La muestra cuantitativa se seleccionará mediante muestreo aleatorio estratificado, con una asignación proporcional por universidad y carrera, buscando un tamaño de muestra representativo de aproximadamente 400 estudiantes y 100 docentes. La muestra cualitativa se seleccionará mediante muestreo por conveniencia o bola de nieve entre los participantes que expresen interés, buscando un total de 15-20 estudiantes y 10-12 docentes.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Componente Cuantitativo:</w:t>
      </w:r>
      <w:r>
        <w:rPr>
          <w:rFonts w:ascii="Arial" w:hAnsi="Arial"/>
          <w:color w:val="000000"/>
          <w:sz w:val="24"/>
        </w:rPr>
        <w:t xml:space="preserve"> Se diseñarán dos cuestionarios estructurados: uno para estudiantes y otro para docentes. Los cuestionarios incluirán escalas tipo Likert para medir percepciones sobre el impacto de la tecnología, motivación, autonomía, uso de herramientas, así como preguntas demográficas y de antecedentes tecnológicos. Los instrumentos serán validados por expertos y sometidos a una prueba piloto para asegurar su fiabilidad y validez.</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Componente Cualitativo:</w:t>
      </w:r>
      <w:r>
        <w:rPr>
          <w:rFonts w:ascii="Arial" w:hAnsi="Arial"/>
          <w:color w:val="000000"/>
          <w:sz w:val="24"/>
        </w:rPr>
        <w:t xml:space="preserve"> Se realizarán entrevistas semiestructuradas individuales con un subgrupo de estudiantes y docentes seleccionados. Las guías de entrevista explorarán en profundidad las experiencias personales, desafíos, éxitos y recomendaciones relacionadas con el uso de tecnologías digitales en el aprendizaje y la enseñanza.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Fase 1: Diseño Preliminar.</w:t>
      </w:r>
      <w:r>
        <w:rPr>
          <w:rFonts w:ascii="Arial" w:hAnsi="Arial"/>
          <w:b w:val="0"/>
          <w:i w:val="0"/>
          <w:color w:val="000000"/>
          <w:sz w:val="24"/>
        </w:rPr>
        <w:t xml:space="preserve"> Revisión de la literatura, definición de variables e indicadores, y elaboración de los primeros borradores de los instrumentos.</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Fase 2: Validación de Instrumentos.</w:t>
      </w:r>
      <w:r>
        <w:rPr>
          <w:rFonts w:ascii="Arial" w:hAnsi="Arial"/>
          <w:b w:val="0"/>
          <w:i w:val="0"/>
          <w:color w:val="000000"/>
          <w:sz w:val="24"/>
        </w:rPr>
        <w:t xml:space="preserve"> Expertos académicos en tecnología educativa y metodología de investigación revisarán los cuestionarios y guías de entrevista. Se realizará una prueba piloto con un grupo reducido de participantes para ajustar la redacción y asegurar la claridad de las preguntas.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Fase 3: Recolección Cuantitativa.</w:t>
      </w:r>
      <w:r>
        <w:rPr>
          <w:rFonts w:ascii="Arial" w:hAnsi="Arial"/>
          <w:b w:val="0"/>
          <w:i w:val="0"/>
          <w:color w:val="000000"/>
          <w:sz w:val="24"/>
        </w:rPr>
        <w:t xml:space="preserve"> Aplicación de los cuestionarios en línea a la muestra seleccionada de estudiantes y docentes. Se enviarán invitaciones por correo electrónico institucional y se hará seguimiento para asegurar una tasa de respuesta adecuada.</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Fase 4: Recolección Cualitativa.</w:t>
      </w:r>
      <w:r>
        <w:rPr>
          <w:rFonts w:ascii="Arial" w:hAnsi="Arial"/>
          <w:b w:val="0"/>
          <w:i w:val="0"/>
          <w:color w:val="000000"/>
          <w:sz w:val="24"/>
        </w:rPr>
        <w:t xml:space="preserve"> Realización de las entrevistas semiestructuradas, previa cita y consentimiento informado, las cuales serán grabadas en audio (con permiso) y transcritas.</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Fase 5: Análisis de Datos.</w:t>
      </w:r>
      <w:r>
        <w:rPr>
          <w:rFonts w:ascii="Arial" w:hAnsi="Arial"/>
          <w:b w:val="0"/>
          <w:i w:val="0"/>
          <w:color w:val="000000"/>
          <w:sz w:val="24"/>
        </w:rPr>
        <w:t xml:space="preserve"> Los datos cuantitativos se procesarán utilizando software estadístico (e.g., SPSS), aplicando análisis descriptivos (frecuencias, medias, desviaciones estándar), correlacionales (coeficiente de Pearson) y pruebas de diferencia de medias (ANOVA, t-student). Los datos cualitativos se analizarán mediante análisis temático y codificación, buscando patrones, categorías y emergentes en las transcripciones.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p>
    <w:p>
      <w:pPr>
        <w:spacing w:before="0" w:after="0" w:line="360" w:lineRule="auto"/>
        <w:ind w:firstLine="709"/>
      </w:pPr>
      <w:r>
        <w:rPr>
          <w:rFonts w:ascii="Arial" w:hAnsi="Arial"/>
          <w:b w:val="0"/>
          <w:i w:val="0"/>
          <w:color w:val="000000"/>
          <w:sz w:val="24"/>
        </w:rPr>
        <w:t>Los datos cuantitativos se presentarán en tablas y gráficos, interpretando las estadísticas descriptivas para caracterizar el uso y la percepción de las tecnologías. Los análisis correlacionales permitirán identificar asociaciones significativas entre las variables, como el uso de LMS y el rendimiento académico percibido. Las pruebas de diferencia de medias revelarán si existen variaciones en las percepciones según factores demográficos (e.g., edad del estudiante).</w:t>
      </w:r>
    </w:p>
    <w:p/>
    <w:p>
      <w:pPr>
        <w:spacing w:before="0" w:after="0" w:line="360" w:lineRule="auto"/>
        <w:ind w:firstLine="709"/>
      </w:pPr>
      <w:r>
        <w:rPr>
          <w:rFonts w:ascii="Arial" w:hAnsi="Arial"/>
          <w:b w:val="0"/>
          <w:i w:val="0"/>
          <w:color w:val="000000"/>
          <w:sz w:val="24"/>
        </w:rPr>
        <w:t>Los hallazgos cualitativos, por su parte, se presentarán a través de la descripción de los temas recurrentes y las citas directas de los participantes, lo que permitirá comprender la profundidad de sus experiencias y percepciones. La contrastación de los resultados cuantitativos con los cualitativos, y ambos con las teorías del marco teórico (conectivismo, constructivismo social digital, TAM), permitirá triangular la información y generar una interpretación integral del impacto multidimensional de las tecnologías digitales en el aprendizaje universitario. Se buscará explicar cómo los patrones identificados en los datos empíricos se alinean o difieren de las proposiciones teóricas iniciales.</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before="0" w:after="0" w:line="360" w:lineRule="auto"/>
        <w:ind w:firstLine="709"/>
      </w:pPr>
      <w:r>
        <w:rPr>
          <w:rFonts w:ascii="Arial" w:hAnsi="Arial"/>
          <w:b w:val="0"/>
          <w:i w:val="0"/>
          <w:color w:val="000000"/>
          <w:sz w:val="24"/>
        </w:rPr>
        <w:t>Con base en los objetivos específicos, se espera concluir que:</w:t>
      </w:r>
    </w:p>
    <w:p>
      <w:pPr>
        <w:spacing w:line="360" w:lineRule="auto"/>
        <w:ind w:firstLine="709"/>
      </w:pPr>
      <w:r>
        <w:rPr>
          <w:rFonts w:ascii="Arial" w:hAnsi="Arial"/>
          <w:color w:val="000000"/>
          <w:sz w:val="24"/>
        </w:rPr>
        <w:t xml:space="preserve">  •  </w:t>
      </w:r>
      <w:r>
        <w:rPr>
          <w:rFonts w:ascii="Arial" w:hAnsi="Arial"/>
          <w:color w:val="000000"/>
          <w:sz w:val="24"/>
        </w:rPr>
        <w:t xml:space="preserve">  Las tecnologías digitales tienen un impacto positivo y significativo en la motivación y autonomía de los estudiantes, aunque su efecto en el rendimiento académico puede variar dependiendo del diseño pedagógico y la disciplina.</w:t>
      </w:r>
    </w:p>
    <w:p>
      <w:pPr>
        <w:spacing w:line="360" w:lineRule="auto"/>
        <w:ind w:firstLine="709"/>
      </w:pPr>
      <w:r>
        <w:rPr>
          <w:rFonts w:ascii="Arial" w:hAnsi="Arial"/>
          <w:color w:val="000000"/>
          <w:sz w:val="24"/>
        </w:rPr>
        <w:t xml:space="preserve">  •  </w:t>
      </w:r>
      <w:r>
        <w:rPr>
          <w:rFonts w:ascii="Arial" w:hAnsi="Arial"/>
          <w:color w:val="000000"/>
          <w:sz w:val="24"/>
        </w:rPr>
        <w:t xml:space="preserve">  La capacitación docente es un factor crítico; los profesores con formación especializada en herramientas y metodologías digitales integran la tecnología de manera más efectiva, lo que se traduce en una mejor experiencia de aprendizaje para los estudiantes.</w:t>
      </w:r>
    </w:p>
    <w:p>
      <w:pPr>
        <w:spacing w:line="360" w:lineRule="auto"/>
        <w:ind w:firstLine="709"/>
      </w:pPr>
      <w:r>
        <w:rPr>
          <w:rFonts w:ascii="Arial" w:hAnsi="Arial"/>
          <w:color w:val="000000"/>
          <w:sz w:val="24"/>
        </w:rPr>
        <w:t xml:space="preserve">  •  </w:t>
      </w:r>
      <w:r>
        <w:rPr>
          <w:rFonts w:ascii="Arial" w:hAnsi="Arial"/>
          <w:color w:val="000000"/>
          <w:sz w:val="24"/>
        </w:rPr>
        <w:t xml:space="preserve">  Factores como el acceso a dispositivos y una conectividad robusta, junto con la edad del estudiante, influyen en la forma en que las tecnologías digitales son percibidas y utilizadas, creando posibles brechas de acceso y competencia.</w:t>
      </w:r>
    </w:p>
    <w:p>
      <w:pPr>
        <w:spacing w:line="360" w:lineRule="auto"/>
        <w:ind w:firstLine="709"/>
      </w:pPr>
      <w:r>
        <w:rPr>
          <w:rFonts w:ascii="Arial" w:hAnsi="Arial"/>
          <w:color w:val="000000"/>
          <w:sz w:val="24"/>
        </w:rPr>
        <w:t xml:space="preserve">  •  </w:t>
      </w:r>
      <w:r>
        <w:rPr>
          <w:rFonts w:ascii="Arial" w:hAnsi="Arial"/>
          <w:color w:val="000000"/>
          <w:sz w:val="24"/>
        </w:rPr>
        <w:t xml:space="preserve">  El análisis reveló que una implementación exitosa requiere un enfoque holístico que combine infraestructura adecuada, desarrollo de competencias digitales en estudiantes y docentes, y un diseño curricular que aproveche el potencial de las herramientas.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Instituciones Universitarias:</w:t>
      </w:r>
      <w:r>
        <w:rPr>
          <w:rFonts w:ascii="Arial" w:hAnsi="Arial"/>
          <w:color w:val="000000"/>
          <w:sz w:val="24"/>
        </w:rPr>
        <w:t xml:space="preserve"> Invertir en infraestructura tecnológica robusta y en programas de capacitación docente continuos y obligatorios, enfocados en metodologías pedagógicas innovadoras mediadas por la tecnología.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Docentes:</w:t>
      </w:r>
      <w:r>
        <w:rPr>
          <w:rFonts w:ascii="Arial" w:hAnsi="Arial"/>
          <w:color w:val="000000"/>
          <w:sz w:val="24"/>
        </w:rPr>
        <w:t xml:space="preserve"> Adoptar un rol de facilitadores del aprendizaje, promoviendo el uso crítico y creativo de las tecnologías digitales, y fomentando la colaboración y la construcción conjunta del conocimiento.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Estudiantes:</w:t>
      </w:r>
      <w:r>
        <w:rPr>
          <w:rFonts w:ascii="Arial" w:hAnsi="Arial"/>
          <w:color w:val="000000"/>
          <w:sz w:val="24"/>
        </w:rPr>
        <w:t xml:space="preserve"> Desarrollar habilidades de autoaprendizaje y gestión del tiempo en entornos digitales, aprovechando las herramientas tecnológicas para personalizar su proceso educativo.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Futuras Investigaciones:</w:t>
      </w:r>
      <w:r>
        <w:rPr>
          <w:rFonts w:ascii="Arial" w:hAnsi="Arial"/>
          <w:color w:val="000000"/>
          <w:sz w:val="24"/>
        </w:rPr>
        <w:t xml:space="preserve"> Ampliar el estudio a diferentes contextos geográficos o tipos de instituciones, explorar el impacto de tecnologías emergentes (e.g., IA en educación) y realizar estudios longitudinales para observar los efectos a largo plazo de la integración tecnológica.</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Smith, J. (Año). </w:t>
      </w:r>
      <w:r>
        <w:rPr>
          <w:rFonts w:ascii="Arial" w:hAnsi="Arial"/>
          <w:i/>
          <w:color w:val="000000"/>
          <w:sz w:val="24"/>
        </w:rPr>
        <w:t>Título del Libro de Consulta</w:t>
      </w:r>
      <w:r>
        <w:rPr>
          <w:rFonts w:ascii="Arial" w:hAnsi="Arial"/>
          <w:color w:val="000000"/>
          <w:sz w:val="24"/>
        </w:rPr>
        <w:t>. Editorial.</w:t>
      </w:r>
    </w:p>
    <w:p>
      <w:pPr>
        <w:spacing w:line="360" w:lineRule="auto"/>
        <w:ind w:firstLine="709"/>
      </w:pPr>
      <w:r>
        <w:rPr>
          <w:rFonts w:ascii="Arial" w:hAnsi="Arial"/>
          <w:color w:val="000000"/>
          <w:sz w:val="24"/>
        </w:rPr>
        <w:t xml:space="preserve">  •  </w:t>
      </w:r>
      <w:r>
        <w:rPr>
          <w:rFonts w:ascii="Arial" w:hAnsi="Arial"/>
          <w:color w:val="000000"/>
          <w:sz w:val="24"/>
        </w:rPr>
        <w:t xml:space="preserve">  Brown, A. (Año). </w:t>
      </w:r>
      <w:r>
        <w:rPr>
          <w:rFonts w:ascii="Arial" w:hAnsi="Arial"/>
          <w:i/>
          <w:color w:val="000000"/>
          <w:sz w:val="24"/>
        </w:rPr>
        <w:t>Otro Título de Libro Relevante</w:t>
      </w:r>
      <w:r>
        <w:rPr>
          <w:rFonts w:ascii="Arial" w:hAnsi="Arial"/>
          <w:color w:val="000000"/>
          <w:sz w:val="24"/>
        </w:rPr>
        <w:t>. Editorial.</w:t>
      </w:r>
    </w:p>
    <w:p>
      <w:pPr>
        <w:spacing w:line="360" w:lineRule="auto"/>
        <w:ind w:firstLine="709"/>
      </w:pPr>
      <w:r>
        <w:rPr>
          <w:rFonts w:ascii="Arial" w:hAnsi="Arial"/>
          <w:color w:val="000000"/>
          <w:sz w:val="24"/>
        </w:rPr>
        <w:t xml:space="preserve">  •  </w:t>
      </w:r>
      <w:r>
        <w:rPr>
          <w:rFonts w:ascii="Arial" w:hAnsi="Arial"/>
          <w:color w:val="000000"/>
          <w:sz w:val="24"/>
        </w:rPr>
        <w:t xml:space="preserve">  García, M. (Año). </w:t>
      </w:r>
      <w:r>
        <w:rPr>
          <w:rFonts w:ascii="Arial" w:hAnsi="Arial"/>
          <w:i/>
          <w:color w:val="000000"/>
          <w:sz w:val="24"/>
        </w:rPr>
        <w:t>Manual de Metodología de la Investigación</w:t>
      </w:r>
      <w:r>
        <w:rPr>
          <w:rFonts w:ascii="Arial" w:hAnsi="Arial"/>
          <w:color w:val="000000"/>
          <w:sz w:val="24"/>
        </w:rPr>
        <w:t>. Editorial.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Johnson, L. (Año). </w:t>
      </w:r>
      <w:r>
        <w:rPr>
          <w:rFonts w:ascii="Arial" w:hAnsi="Arial"/>
          <w:i/>
          <w:color w:val="000000"/>
          <w:sz w:val="24"/>
        </w:rPr>
        <w:t>Artículo de Revista Científica sobre Tecnología Educativa</w:t>
      </w:r>
      <w:r>
        <w:rPr>
          <w:rFonts w:ascii="Arial" w:hAnsi="Arial"/>
          <w:color w:val="000000"/>
          <w:sz w:val="24"/>
        </w:rPr>
        <w:t>. Journal of Digital Learning, Vol(Número), pp-pp. DOI: xxx.</w:t>
      </w:r>
    </w:p>
    <w:p>
      <w:pPr>
        <w:spacing w:line="360" w:lineRule="auto"/>
        <w:ind w:firstLine="709"/>
      </w:pPr>
      <w:r>
        <w:rPr>
          <w:rFonts w:ascii="Arial" w:hAnsi="Arial"/>
          <w:color w:val="000000"/>
          <w:sz w:val="24"/>
        </w:rPr>
        <w:t xml:space="preserve">  •  </w:t>
      </w:r>
      <w:r>
        <w:rPr>
          <w:rFonts w:ascii="Arial" w:hAnsi="Arial"/>
          <w:color w:val="000000"/>
          <w:sz w:val="24"/>
        </w:rPr>
        <w:t xml:space="preserve">  Pérez, C. (Año). </w:t>
      </w:r>
      <w:r>
        <w:rPr>
          <w:rFonts w:ascii="Arial" w:hAnsi="Arial"/>
          <w:i/>
          <w:color w:val="000000"/>
          <w:sz w:val="24"/>
        </w:rPr>
        <w:t>Tesis Doctoral sobre Impacto de las TICs en Educación</w:t>
      </w:r>
      <w:r>
        <w:rPr>
          <w:rFonts w:ascii="Arial" w:hAnsi="Arial"/>
          <w:color w:val="000000"/>
          <w:sz w:val="24"/>
        </w:rPr>
        <w:t>. Repositorio Digital de [Nombre de la Universidad]. URL: www.ejemplo.com/tesis.</w:t>
      </w:r>
    </w:p>
    <w:p>
      <w:pPr>
        <w:spacing w:line="360" w:lineRule="auto"/>
        <w:ind w:firstLine="709"/>
      </w:pPr>
      <w:r>
        <w:rPr>
          <w:rFonts w:ascii="Arial" w:hAnsi="Arial"/>
          <w:color w:val="000000"/>
          <w:sz w:val="24"/>
        </w:rPr>
        <w:t xml:space="preserve">  •  </w:t>
      </w:r>
      <w:r>
        <w:rPr>
          <w:rFonts w:ascii="Arial" w:hAnsi="Arial"/>
          <w:color w:val="000000"/>
          <w:sz w:val="24"/>
        </w:rPr>
        <w:t xml:space="preserve">  Sitio Web Institucional (Año de publicación/última actualización). </w:t>
      </w:r>
      <w:r>
        <w:rPr>
          <w:rFonts w:ascii="Arial" w:hAnsi="Arial"/>
          <w:i/>
          <w:color w:val="000000"/>
          <w:sz w:val="24"/>
        </w:rPr>
        <w:t>Reporte Anual de Innovación Educativa</w:t>
      </w:r>
      <w:r>
        <w:rPr>
          <w:rFonts w:ascii="Arial" w:hAnsi="Arial"/>
          <w:color w:val="000000"/>
          <w:sz w:val="24"/>
        </w:rPr>
        <w:t>. Nombre de la Institución. URL: www.ejemplo.org/reporte.</w:t>
      </w:r>
    </w:p>
    <w:p/>
    <w:p>
      <w:pPr>
        <w:pStyle w:val="Heading2"/>
      </w:pPr>
      <w:r>
        <w:rPr>
          <w:rFonts w:ascii="Arial" w:hAnsi="Arial"/>
          <w:color w:val="000000"/>
        </w:rPr>
        <w:t xml:space="preserve"> 7. ANEXOS (Opcional)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A:</w:t>
      </w:r>
      <w:r>
        <w:rPr>
          <w:rFonts w:ascii="Arial" w:hAnsi="Arial"/>
          <w:color w:val="000000"/>
          <w:sz w:val="24"/>
        </w:rPr>
        <w:t xml:space="preserve"> Modelos de instrumentos de recolección de datos (Guía de Cuestionario para Estudiantes; Guía de Cuestionario para Docentes; Guía de Entrevista Semiestructurada para Estudiantes; Guía de Entrevista Semiestructurada para Docentes).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B:</w:t>
      </w:r>
      <w:r>
        <w:rPr>
          <w:rFonts w:ascii="Arial" w:hAnsi="Arial"/>
          <w:color w:val="000000"/>
          <w:sz w:val="24"/>
        </w:rPr>
        <w:t xml:space="preserve"> Evidencias adicionales (Cartas de autorización institucional; Tablas de datos descriptivos de la muestra; Extractos seleccionados de transcripciones de entrevistas).</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