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line="360" w:lineRule="auto"/>
        <w:ind w:firstLine="0"/>
        <w:jc w:val="center"/>
      </w:pPr>
      <w:r>
        <w:rPr>
          <w:rFonts w:ascii="Arial" w:hAnsi="Arial"/>
          <w:b/>
          <w:i w:val="0"/>
          <w:color w:val="000000"/>
          <w:sz w:val="28"/>
        </w:rPr>
        <w:t>UNIVERSIDAD</w:t>
      </w:r>
    </w:p>
    <w:p>
      <w:pPr>
        <w:spacing w:before="0" w:after="0" w:line="360" w:lineRule="auto"/>
        <w:ind w:firstLine="0"/>
        <w:jc w:val="center"/>
      </w:pPr>
      <w:r>
        <w:rPr>
          <w:rFonts w:ascii="Arial" w:hAnsi="Arial"/>
          <w:b/>
          <w:i w:val="0"/>
          <w:color w:val="000000"/>
          <w:sz w:val="28"/>
        </w:rPr>
        <w:t>SEDE</w:t>
      </w:r>
    </w:p>
    <w:p>
      <w:pPr>
        <w:spacing w:before="0" w:after="0" w:line="360" w:lineRule="auto"/>
        <w:ind w:firstLine="0"/>
        <w:jc w:val="center"/>
      </w:pPr>
      <w:r>
        <w:rPr>
          <w:rFonts w:ascii="Arial" w:hAnsi="Arial"/>
          <w:b/>
          <w:i w:val="0"/>
          <w:color w:val="000000"/>
          <w:sz w:val="28"/>
        </w:rPr>
        <w:t>FACULTAD</w:t>
      </w:r>
    </w:p>
    <w:p>
      <w:pPr>
        <w:spacing w:before="0" w:after="200" w:line="360" w:lineRule="auto"/>
        <w:ind w:firstLine="0"/>
        <w:jc w:val="center"/>
      </w:pPr>
      <w:r>
        <w:rPr>
          <w:rFonts w:ascii="Arial" w:hAnsi="Arial"/>
          <w:b/>
          <w:i w:val="0"/>
          <w:color w:val="000000"/>
          <w:sz w:val="28"/>
        </w:rPr>
        <w:t>CARRERA</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"Análisis y Contexto de la Serie Animada 'Los Picapiedra'"</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w:t>
        <w:br/>
        <w:t>2026</w:t>
      </w:r>
    </w:p>
    <w:p>
      <w:r>
        <w:br w:type="page"/>
      </w:r>
    </w:p>
    <w:p>
      <w:r>
        <w:fldChar w:fldCharType="begin"/>
      </w:r>
      <w:r>
        <w:instrText xml:space="preserve"> TOC \o "1-3" \h \z \u </w:instrText>
      </w:r>
      <w:r>
        <w:fldChar w:fldCharType="separate"/>
      </w:r>
      <w:r>
        <w:rPr>
          <w:rFonts w:ascii="Arial" w:hAnsi="Arial"/>
          <w:i/>
          <w:sz w:val="20"/>
        </w:rPr>
        <w:t>[Click derecho y seleccione "Actualizar campos" para generar el índice]</w:t>
      </w:r>
      <w:r>
        <w:fldChar w:fldCharType="end"/>
      </w:r>
    </w:p>
    <w:p>
      <w:r>
        <w:br w:type="page"/>
      </w:r>
    </w:p>
    <w:p>
      <w:r>
        <w:rPr>
          <w:b/>
          <w:i w:val="0"/>
          <w:sz w:val="28"/>
        </w:rPr>
        <w:t>Videojuego con Inteligencia Artificial para la Educación Ambiental: Una Propuesta Innovadora</w:t>
      </w:r>
    </w:p>
    <w:p/>
    <w:p>
      <w:pPr>
        <w:pStyle w:val="Heading2"/>
      </w:pPr>
      <w:r>
        <w:rPr>
          <w:rFonts w:ascii="Arial" w:hAnsi="Arial"/>
          <w:color w:val="000000"/>
        </w:rPr>
        <w:t xml:space="preserve"> 1. INTRODUCCIÓN</w:t>
      </w:r>
    </w:p>
    <w:p>
      <w:pPr>
        <w:pStyle w:val="Heading3"/>
      </w:pPr>
      <w:r>
        <w:rPr>
          <w:rFonts w:ascii="Arial" w:hAnsi="Arial"/>
          <w:color w:val="000000"/>
        </w:rPr>
        <w:t>1.1. Contextualización del Problema</w:t>
      </w:r>
    </w:p>
    <w:p>
      <w:pPr>
        <w:spacing w:before="0" w:after="0" w:line="360" w:lineRule="auto"/>
        <w:ind w:firstLine="709"/>
      </w:pPr>
      <w:r>
        <w:rPr>
          <w:rFonts w:ascii="Arial" w:hAnsi="Arial"/>
          <w:b w:val="0"/>
          <w:i w:val="0"/>
          <w:color w:val="000000"/>
          <w:sz w:val="24"/>
        </w:rPr>
        <w:t>La educación ambiental ha sido un pilar fundamental en la formación de las nuevas generaciones, buscando inculcar conciencia y prácticas sostenibles. Sin embargo, las metodologías tradicionales, a menudo centradas en actividades teóricas o prácticas escolares aisladas, pueden no captar completamente la complejidad y la interconexión de los ecosistemas, ni el impacto a largo plazo de las decisiones individuales y colectivas. En este contexto, la incursión de tecnologías emergentes, como los videojuegos y la inteligencia artificial, ofrece una oportunidad invaluable para transformar el aprendizaje en una experiencia inmersiva y altamente interactiva.</w:t>
      </w:r>
    </w:p>
    <w:p/>
    <w:p>
      <w:pPr>
        <w:pStyle w:val="Heading3"/>
      </w:pPr>
      <w:r>
        <w:rPr>
          <w:rFonts w:ascii="Arial" w:hAnsi="Arial"/>
          <w:color w:val="000000"/>
        </w:rPr>
        <w:t>1.2. Planteamiento del Problema</w:t>
      </w:r>
    </w:p>
    <w:p>
      <w:pPr>
        <w:spacing w:before="0" w:after="0" w:line="360" w:lineRule="auto"/>
        <w:ind w:firstLine="709"/>
      </w:pPr>
      <w:r>
        <w:rPr>
          <w:rFonts w:ascii="Arial" w:hAnsi="Arial"/>
          <w:b w:val="0"/>
          <w:i w:val="0"/>
          <w:color w:val="000000"/>
          <w:sz w:val="24"/>
        </w:rPr>
        <w:t>A pesar de los esfuerzos educativos en las unidades educativas, donde se enseñan principios como reciclar, reusar y reducir, la comprensión y aplicación práctica de estos conceptos en un contexto más amplio y dinámico suelen ser limitadas. Existe una brecha entre el conocimiento teórico adquirido en el aula y la visualización de las consecuencias directas de las acciones humanas sobre el medio ambiente. La falta de herramientas que permitan a los estudiantes experimentar de forma interactiva cómo sus decisiones afectan un entorno ecológico simulado, dificulta el desarrollo de una conciencia ambiental profunda y proactiva. Se necesita una plataforma que ofrezca un "ambiente más amplio" donde las implicaciones de las acciones sean tangibles y observables en tiempo real.</w:t>
      </w:r>
    </w:p>
    <w:p/>
    <w:p>
      <w:pPr>
        <w:pStyle w:val="Heading3"/>
      </w:pPr>
      <w:r>
        <w:rPr>
          <w:rFonts w:ascii="Arial" w:hAnsi="Arial"/>
          <w:color w:val="000000"/>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puede un videojuego con inteligencia artificial fomentar de manera directa y creativa la educación ambiental en los usuarios?</w:t>
      </w:r>
    </w:p>
    <w:p>
      <w:pPr>
        <w:spacing w:line="360" w:lineRule="auto"/>
        <w:ind w:firstLine="709"/>
      </w:pPr>
      <w:r>
        <w:rPr>
          <w:rFonts w:ascii="Arial" w:hAnsi="Arial"/>
          <w:color w:val="000000"/>
          <w:sz w:val="24"/>
        </w:rPr>
        <w:t xml:space="preserve">  •  </w:t>
      </w:r>
      <w:r>
        <w:rPr>
          <w:rFonts w:ascii="Arial" w:hAnsi="Arial"/>
          <w:color w:val="000000"/>
          <w:sz w:val="24"/>
        </w:rPr>
        <w:t xml:space="preserve">  ¿De qué forma la interacción del usuario con un mundo virtual, donde se exploran y reutilizan componentes, influye en su comprensión de la sostenibilidad?</w:t>
      </w:r>
    </w:p>
    <w:p>
      <w:pPr>
        <w:spacing w:line="360" w:lineRule="auto"/>
        <w:ind w:firstLine="709"/>
      </w:pPr>
      <w:r>
        <w:rPr>
          <w:rFonts w:ascii="Arial" w:hAnsi="Arial"/>
          <w:color w:val="000000"/>
          <w:sz w:val="24"/>
        </w:rPr>
        <w:t xml:space="preserve">  •  </w:t>
      </w:r>
      <w:r>
        <w:rPr>
          <w:rFonts w:ascii="Arial" w:hAnsi="Arial"/>
          <w:color w:val="000000"/>
          <w:sz w:val="24"/>
        </w:rPr>
        <w:t xml:space="preserve">  ¿Qué impacto tienen las decisiones del usuario en la dinámica ambiental y en el comportamiento de los agentes controlados por IA dentro del juego?</w:t>
      </w:r>
    </w:p>
    <w:p/>
    <w:p>
      <w:pPr>
        <w:pStyle w:val="Heading3"/>
      </w:pPr>
      <w:r>
        <w:rPr>
          <w:rFonts w:ascii="Arial" w:hAnsi="Arial"/>
          <w:color w:val="000000"/>
        </w:rPr>
        <w:t>1.4. Justificación</w:t>
      </w:r>
    </w:p>
    <w:p>
      <w:pPr>
        <w:spacing w:before="0" w:after="0" w:line="360" w:lineRule="auto"/>
        <w:ind w:firstLine="709"/>
      </w:pPr>
      <w:r>
        <w:rPr>
          <w:rFonts w:ascii="Arial" w:hAnsi="Arial"/>
          <w:b w:val="0"/>
          <w:i w:val="0"/>
          <w:color w:val="000000"/>
          <w:sz w:val="24"/>
        </w:rPr>
        <w:t>La realización de un videojuego con inteligencia artificial para la educación ambiental se justifica por varias razones. Teóricamente, explora la intersección entre gamificación, inteligencia artificial y pedagogía ambiental, contribuyendo al conocimiento sobre métodos de enseñanza innovadores. Prácticamente, ofrece una herramienta didáctica novedosa que puede complementar y enriquecer los programas educativos existentes en las unidades escolares. Socialmente, busca empoderar a los usuarios, especialmente a los estudiantes, con una comprensión más profunda y una motivación intrínica para el cuidado del medio ambiente, transformando la teoría en acción consciente. Metodológicamente, propone un enfoque interactivo que permite la simulación de complejos sistemas ecológicos, difíciles de replicar en un entorno de aula tradicional.</w:t>
      </w:r>
    </w:p>
    <w:p/>
    <w:p>
      <w:pPr>
        <w:pStyle w:val="Heading3"/>
      </w:pPr>
      <w:r>
        <w:rPr>
          <w:rFonts w:ascii="Arial" w:hAnsi="Arial"/>
          <w:color w:val="000000"/>
        </w:rPr>
        <w:t>1.5. Delimitación del Estudio</w:t>
      </w:r>
    </w:p>
    <w:p>
      <w:pPr>
        <w:spacing w:before="0" w:after="0" w:line="360" w:lineRule="auto"/>
        <w:ind w:firstLine="709"/>
      </w:pPr>
      <w:r>
        <w:rPr>
          <w:rFonts w:ascii="Arial" w:hAnsi="Arial"/>
          <w:b w:val="0"/>
          <w:i w:val="0"/>
          <w:color w:val="000000"/>
          <w:sz w:val="24"/>
        </w:rPr>
        <w:t>El presente estudio se enfoca en el diseño y desarrollo de un videojuego con inteligencia artificial dirigido a usuarios de unidades educativas, específicamente en un rango de edad que permita la comprensión de conceptos ambientales complejos a través de la interacción lúdica. El alcance conceptual del juego se centrará en los principios de "reusar", "reciclar" y "reducir" (referido como "restar" en el contexto original), aplicados a la gestión de recursos y residuos dentro de un entorno virtual simulado. Espacialmente, el proyecto se circunscribe al desarrollo de un prototipo funcional que demuestre la viabilidad de la propuesta, sin abordar aún su implementación masiva. Temporalmente, la fase inicial del proyecto culminará con la creación de una versión beta para pruebas preliminares.</w:t>
      </w:r>
    </w:p>
    <w:p/>
    <w:p>
      <w:pPr>
        <w:pStyle w:val="Heading2"/>
      </w:pPr>
      <w:r>
        <w:rPr>
          <w:rFonts w:ascii="Arial" w:hAnsi="Arial"/>
          <w:color w:val="000000"/>
        </w:rPr>
        <w:t xml:space="preserve"> 2. OBJETIVOS</w:t>
      </w:r>
    </w:p>
    <w:p>
      <w:pPr>
        <w:pStyle w:val="Heading3"/>
      </w:pPr>
      <w:r>
        <w:rPr>
          <w:rFonts w:ascii="Arial" w:hAnsi="Arial"/>
          <w:color w:val="000000"/>
        </w:rPr>
        <w:t>2.1. Objetivo General</w:t>
      </w:r>
    </w:p>
    <w:p>
      <w:pPr>
        <w:spacing w:before="0" w:after="0" w:line="360" w:lineRule="auto"/>
        <w:ind w:firstLine="709"/>
      </w:pPr>
      <w:r>
        <w:rPr>
          <w:rFonts w:ascii="Arial" w:hAnsi="Arial"/>
          <w:b w:val="0"/>
          <w:i w:val="0"/>
          <w:color w:val="000000"/>
          <w:sz w:val="24"/>
        </w:rPr>
        <w:t>Desarrollar un videojuego interactivo con inteligencia artificial que permita fomentar la educación ambiental de manera directa y creativa, simulando las consecuencias de las decisiones del usuario en un entorno ecológico virtual.</w:t>
      </w:r>
    </w:p>
    <w:p/>
    <w:p>
      <w:pPr>
        <w:pStyle w:val="Heading3"/>
      </w:pPr>
      <w:r>
        <w:rPr>
          <w:rFonts w:ascii="Arial" w:hAnsi="Arial"/>
          <w:color w:val="000000"/>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Diseñar mecánicas de juego que faciliten al usuario la exploración y el reuso de componentes del mundo virtual para resolver problemas ambientales.</w:t>
      </w:r>
    </w:p>
    <w:p>
      <w:pPr>
        <w:spacing w:line="360" w:lineRule="auto"/>
        <w:ind w:firstLine="709"/>
      </w:pPr>
      <w:r>
        <w:rPr>
          <w:rFonts w:ascii="Arial" w:hAnsi="Arial"/>
          <w:color w:val="000000"/>
          <w:sz w:val="24"/>
        </w:rPr>
        <w:t xml:space="preserve">  •  </w:t>
      </w:r>
      <w:r>
        <w:rPr>
          <w:rFonts w:ascii="Arial" w:hAnsi="Arial"/>
          <w:color w:val="000000"/>
          <w:sz w:val="24"/>
        </w:rPr>
        <w:t xml:space="preserve">  Implementar un sistema de inteligencia artificial que module el comportamiento de los agentes no-jugadores y la dinámica ambiental en función de las acciones del usuario.</w:t>
      </w:r>
    </w:p>
    <w:p>
      <w:pPr>
        <w:spacing w:line="360" w:lineRule="auto"/>
        <w:ind w:firstLine="709"/>
      </w:pPr>
      <w:r>
        <w:rPr>
          <w:rFonts w:ascii="Arial" w:hAnsi="Arial"/>
          <w:color w:val="000000"/>
          <w:sz w:val="24"/>
        </w:rPr>
        <w:t xml:space="preserve">  •  </w:t>
      </w:r>
      <w:r>
        <w:rPr>
          <w:rFonts w:ascii="Arial" w:hAnsi="Arial"/>
          <w:color w:val="000000"/>
          <w:sz w:val="24"/>
        </w:rPr>
        <w:t xml:space="preserve">  Crear una interfaz visual que permita al usuario observar de forma clara y tangible los cambios en el ambiente del juego como resultado de sus decisiones.</w:t>
      </w:r>
    </w:p>
    <w:p>
      <w:pPr>
        <w:spacing w:line="360" w:lineRule="auto"/>
        <w:ind w:firstLine="709"/>
      </w:pPr>
      <w:r>
        <w:rPr>
          <w:rFonts w:ascii="Arial" w:hAnsi="Arial"/>
          <w:color w:val="000000"/>
          <w:sz w:val="24"/>
        </w:rPr>
        <w:t xml:space="preserve">  •  </w:t>
      </w:r>
      <w:r>
        <w:rPr>
          <w:rFonts w:ascii="Arial" w:hAnsi="Arial"/>
          <w:color w:val="000000"/>
          <w:sz w:val="24"/>
        </w:rPr>
        <w:t xml:space="preserve">  Integrar desafíos que incentiven al usuario a tomar decisiones cooperativas y sostenibles para el mejoramiento del ecosistema virtual.</w:t>
      </w:r>
    </w:p>
    <w:p/>
    <w:p>
      <w:pPr>
        <w:pStyle w:val="Heading2"/>
      </w:pPr>
      <w:r>
        <w:rPr>
          <w:rFonts w:ascii="Arial" w:hAnsi="Arial"/>
          <w:color w:val="000000"/>
        </w:rPr>
        <w:t xml:space="preserve"> 3. MARCO TEÓRICO</w:t>
      </w:r>
    </w:p>
    <w:p>
      <w:pPr>
        <w:pStyle w:val="Heading3"/>
      </w:pPr>
      <w:r>
        <w:rPr>
          <w:rFonts w:ascii="Arial" w:hAnsi="Arial"/>
          <w:color w:val="000000"/>
        </w:rPr>
        <w:t>3.1. Antecedentes de la Investigación</w:t>
      </w:r>
    </w:p>
    <w:p>
      <w:pPr>
        <w:spacing w:before="0" w:after="0" w:line="360" w:lineRule="auto"/>
        <w:ind w:firstLine="709"/>
      </w:pPr>
      <w:r>
        <w:rPr>
          <w:rFonts w:ascii="Arial" w:hAnsi="Arial"/>
          <w:b w:val="0"/>
          <w:i w:val="0"/>
          <w:color w:val="000000"/>
          <w:sz w:val="24"/>
        </w:rPr>
        <w:t>La literatura científica abunda en estudios sobre gamificación y el uso de videojuegos en contextos educativos. Se han desarrollado "serious games" para diversas áreas del conocimiento, incluyendo la salud, la historia y, en menor medida, la educación ambiental. Algunos proyectos han explorado la integración de mecánicas de reciclaje o gestión de recursos, pero pocos han combinado la interactividad profunda con la simulación de agentes autónomos impulsados por IA, que reaccionen dinámicamente a las decisiones del jugador en un ecosistema en constante cambio. La revisión de estos antecedentes permite identificar las brechas existentes y las oportunidades para una propuesta innovadora que potencie la inmersión y el aprendizaje significativo.</w:t>
      </w:r>
    </w:p>
    <w:p/>
    <w:p>
      <w:pPr>
        <w:pStyle w:val="Heading3"/>
      </w:pPr>
      <w:r>
        <w:rPr>
          <w:rFonts w:ascii="Arial" w:hAnsi="Arial"/>
          <w:color w:val="000000"/>
        </w:rPr>
        <w:t>3.2. Bases Teóricas</w:t>
      </w:r>
    </w:p>
    <w:p>
      <w:pPr>
        <w:spacing w:before="0" w:after="0" w:line="360" w:lineRule="auto"/>
        <w:ind w:firstLine="709"/>
      </w:pPr>
      <w:r>
        <w:rPr>
          <w:rFonts w:ascii="Arial" w:hAnsi="Arial"/>
          <w:b w:val="0"/>
          <w:i w:val="0"/>
          <w:color w:val="000000"/>
          <w:sz w:val="24"/>
        </w:rPr>
        <w:t>Este proyecto se fundamenta en varias teorías clave: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Teoría del Aprendizaje Lúdico (Gamification):</w:t>
      </w:r>
      <w:r>
        <w:rPr>
          <w:rFonts w:ascii="Arial" w:hAnsi="Arial"/>
          <w:color w:val="000000"/>
          <w:sz w:val="24"/>
        </w:rPr>
        <w:t xml:space="preserve"> Resalta cómo elementos y mecánicas de juego pueden aplicarse en contextos no lúdicos para motivar y facilitar el aprendizaje. La recompensa, el desafío, la retroalimentación y la narrativa inmersiva son cruciales.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Teoría Cognitiva del Aprendizaje:</w:t>
      </w:r>
      <w:r>
        <w:rPr>
          <w:rFonts w:ascii="Arial" w:hAnsi="Arial"/>
          <w:color w:val="000000"/>
          <w:sz w:val="24"/>
        </w:rPr>
        <w:t xml:space="preserve"> Se enfoca en cómo los individuos procesan, organizan y recuerdan la información. Un videojuego interactivo puede facilitar un aprendizaje más profundo al permitir a los usuarios construir su propio conocimiento a través de la experiencia y la observación de causas y efectos.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Principios de la Educación Ambiental:</w:t>
      </w:r>
      <w:r>
        <w:rPr>
          <w:rFonts w:ascii="Arial" w:hAnsi="Arial"/>
          <w:color w:val="000000"/>
          <w:sz w:val="24"/>
        </w:rPr>
        <w:t xml:space="preserve"> Basados en el fomento de la conciencia, el conocimiento, las actitudes, las aptitudes y la participación, el juego busca abordar estos pilares al permitir la experimentación directa y la visualización de resultados.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en Videojuegos:</w:t>
      </w:r>
      <w:r>
        <w:rPr>
          <w:rFonts w:ascii="Arial" w:hAnsi="Arial"/>
          <w:color w:val="000000"/>
          <w:sz w:val="24"/>
        </w:rPr>
        <w:t xml:space="preserve"> Las teorías de los agentes inteligentes y la simulación multi-agente proporcionan el marco para diseñar comportamientos autónomos que respondan de manera creíble a las interacciones del jugador, creando un mundo dinámico y reactivo.</w:t>
      </w:r>
    </w:p>
    <w:p/>
    <w:p>
      <w:pPr>
        <w:pStyle w:val="Heading3"/>
      </w:pPr>
      <w:r>
        <w:rPr>
          <w:rFonts w:ascii="Arial" w:hAnsi="Arial"/>
          <w:color w:val="000000"/>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Videojuego:</w:t>
      </w:r>
      <w:r>
        <w:rPr>
          <w:rFonts w:ascii="Arial" w:hAnsi="Arial"/>
          <w:color w:val="000000"/>
          <w:sz w:val="24"/>
        </w:rPr>
        <w:t xml:space="preserve"> Software interactivo diseñado para el entretenimiento, que permite a uno o más jugadores interactuar con un entorno virtual a través de un dispositivo de entrada.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(IA):</w:t>
      </w:r>
      <w:r>
        <w:rPr>
          <w:rFonts w:ascii="Arial" w:hAnsi="Arial"/>
          <w:color w:val="000000"/>
          <w:sz w:val="24"/>
        </w:rPr>
        <w:t xml:space="preserve"> Rama de la informática que busca crear máquinas que simulen capacidades cognitivas humanas, como el aprendizaje, la resolución de problemas y la toma de decisiones. En este contexto, se refiere a los algoritmos que controlan el comportamiento de los agentes no-jugadores y la dinámica del entorno.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Proceso que busca formar ciudadanos conscientes y responsables con el medio ambiente, promoviendo valores, conocimientos y habilidades para la conservación y el desarrollo sostenible.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w:t>
      </w:r>
      <w:r>
        <w:rPr>
          <w:rFonts w:ascii="Arial" w:hAnsi="Arial"/>
          <w:color w:val="000000"/>
          <w:sz w:val="24"/>
        </w:rPr>
        <w:t xml:space="preserve"> Aplicación de elementos y técnicas de diseño de juegos en contextos no lúdicos para involucrar y motivar a las personas.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Agentes (en IA):</w:t>
      </w:r>
      <w:r>
        <w:rPr>
          <w:rFonts w:ascii="Arial" w:hAnsi="Arial"/>
          <w:color w:val="000000"/>
          <w:sz w:val="24"/>
        </w:rPr>
        <w:t xml:space="preserve"> Entidades autónomas dentro de un entorno virtual que perciben su entorno y actúan para lograr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Reciclar:</w:t>
      </w:r>
      <w:r>
        <w:rPr>
          <w:rFonts w:ascii="Arial" w:hAnsi="Arial"/>
          <w:color w:val="000000"/>
          <w:sz w:val="24"/>
        </w:rPr>
        <w:t xml:space="preserve"> Proceso de transformar materiales de desecho en nuevos productos.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Reusar:</w:t>
      </w:r>
      <w:r>
        <w:rPr>
          <w:rFonts w:ascii="Arial" w:hAnsi="Arial"/>
          <w:color w:val="000000"/>
          <w:sz w:val="24"/>
        </w:rPr>
        <w:t xml:space="preserve"> Dar un segundo uso a un objeto o material sin necesidad de transformarlo.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Restar (Reducir):</w:t>
      </w:r>
      <w:r>
        <w:rPr>
          <w:rFonts w:ascii="Arial" w:hAnsi="Arial"/>
          <w:color w:val="000000"/>
          <w:sz w:val="24"/>
        </w:rPr>
        <w:t xml:space="preserve"> Disminuir la cantidad de residuos generados o el consumo de recursos.</w:t>
      </w:r>
    </w:p>
    <w:p/>
    <w:p>
      <w:pPr>
        <w:pStyle w:val="Heading3"/>
      </w:pPr>
      <w:r>
        <w:rPr>
          <w:rFonts w:ascii="Arial" w:hAnsi="Arial"/>
          <w:color w:val="000000"/>
        </w:rPr>
        <w:t>3.4. Hipótesis o Supuestos</w:t>
      </w:r>
    </w:p>
    <w:p>
      <w:pPr>
        <w:spacing w:line="360" w:lineRule="auto"/>
        <w:ind w:firstLine="709"/>
      </w:pPr>
      <w:r>
        <w:rPr>
          <w:rFonts w:ascii="Arial" w:hAnsi="Arial"/>
          <w:color w:val="000000"/>
          <w:sz w:val="24"/>
        </w:rPr>
        <w:t xml:space="preserve">  •  </w:t>
      </w:r>
      <w:r>
        <w:rPr>
          <w:rFonts w:ascii="Arial" w:hAnsi="Arial"/>
          <w:color w:val="000000"/>
          <w:sz w:val="24"/>
        </w:rPr>
        <w:t xml:space="preserve">  Un videojuego educativo que incorpora mecánicas de juego interactivas y agentes con inteligencia artificial mejorará significativamente la comprensión de los principios de sostenibilidad y el impacto ambiental de las acciones individuales en estudiantes de unidades educativas.</w:t>
      </w:r>
    </w:p>
    <w:p>
      <w:pPr>
        <w:spacing w:line="360" w:lineRule="auto"/>
        <w:ind w:firstLine="709"/>
      </w:pPr>
      <w:r>
        <w:rPr>
          <w:rFonts w:ascii="Arial" w:hAnsi="Arial"/>
          <w:color w:val="000000"/>
          <w:sz w:val="24"/>
        </w:rPr>
        <w:t xml:space="preserve">  •  </w:t>
      </w:r>
      <w:r>
        <w:rPr>
          <w:rFonts w:ascii="Arial" w:hAnsi="Arial"/>
          <w:color w:val="000000"/>
          <w:sz w:val="24"/>
        </w:rPr>
        <w:t xml:space="preserve">  La visualización en tiempo real de los cambios ambientales generados por las decisiones del jugador aumentará la motivación y el compromiso con prácticas ecológicas.</w:t>
      </w:r>
    </w:p>
    <w:p/>
    <w:p>
      <w:pPr>
        <w:pStyle w:val="Heading2"/>
      </w:pPr>
      <w:r>
        <w:rPr>
          <w:rFonts w:ascii="Arial" w:hAnsi="Arial"/>
          <w:color w:val="000000"/>
        </w:rPr>
        <w:t xml:space="preserve"> 4. APLICACIÓN DEL MARCO TEÓRICO</w:t>
      </w:r>
    </w:p>
    <w:p>
      <w:pPr>
        <w:pStyle w:val="Heading3"/>
      </w:pPr>
      <w:r>
        <w:rPr>
          <w:rFonts w:ascii="Arial" w:hAnsi="Arial"/>
          <w:color w:val="000000"/>
        </w:rPr>
        <w:t>4.1. Diseño y Tipo de Investigación</w:t>
      </w:r>
    </w:p>
    <w:p>
      <w:pPr>
        <w:spacing w:before="0" w:after="0" w:line="360" w:lineRule="auto"/>
        <w:ind w:firstLine="709"/>
      </w:pPr>
      <w:r>
        <w:rPr>
          <w:rFonts w:ascii="Arial" w:hAnsi="Arial"/>
          <w:b w:val="0"/>
          <w:i w:val="0"/>
          <w:color w:val="000000"/>
          <w:sz w:val="24"/>
        </w:rPr>
        <w:t>La investigación adoptará un enfoque mixto, con un predominio cualitativo en la fase de diseño y desarrollo, y elementos cuantitativos para la evaluación del impacto. Se empleará un diseño de investigación-acción o diseño de ciencia del diseño (Design Science Research), donde se construye un artefacto (el videojuego) para resolver un problema práctico (la mejora de la educación ambiental), seguido de una evaluación de su efectividad. El alcance será de tipo explicativo, buscando comprender cómo el videojuego y sus mecánicas influyen en el aprendizaje y la conciencia ambiental.</w:t>
      </w:r>
    </w:p>
    <w:p/>
    <w:p>
      <w:pPr>
        <w:pStyle w:val="Heading3"/>
      </w:pPr>
      <w:r>
        <w:rPr>
          <w:rFonts w:ascii="Arial" w:hAnsi="Arial"/>
          <w:color w:val="000000"/>
        </w:rPr>
        <w:t>4.2. Población y Muestra</w:t>
      </w:r>
    </w:p>
    <w:p>
      <w:pPr>
        <w:spacing w:before="0" w:after="0" w:line="360" w:lineRule="auto"/>
        <w:ind w:firstLine="709"/>
      </w:pPr>
      <w:r>
        <w:rPr>
          <w:rFonts w:ascii="Arial" w:hAnsi="Arial"/>
          <w:b w:val="0"/>
          <w:i w:val="0"/>
          <w:color w:val="000000"/>
          <w:sz w:val="24"/>
        </w:rPr>
        <w:t>La población objetivo son estudiantes de unidades educativas de nivel primario y secundario, quienes representan la audiencia principal para la educación ambiental. La muestra para las fases de prueba y evaluación estará compuesta por un grupo selecto de estudiantes, elegidos por conveniencia o mediante un muestreo aleatorio simple, provenientes de una o varias instituciones educativas colaboradoras. Se buscará una muestra representativa en términos de edad y nivel educativo dentro del público objetivo.</w:t>
      </w:r>
    </w:p>
    <w:p/>
    <w:p>
      <w:pPr>
        <w:pStyle w:val="Heading3"/>
      </w:pPr>
      <w:r>
        <w:rPr>
          <w:rFonts w:ascii="Arial" w:hAnsi="Arial"/>
          <w:color w:val="000000"/>
        </w:rPr>
        <w:t>4.3. Técnicas 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Observación participante y no participante:</w:t>
      </w:r>
      <w:r>
        <w:rPr>
          <w:rFonts w:ascii="Arial" w:hAnsi="Arial"/>
          <w:color w:val="000000"/>
          <w:sz w:val="24"/>
        </w:rPr>
        <w:t xml:space="preserve"> Durante las sesiones de juego para registrar la interacción de los usuarios, sus decisiones y reacciones emocionales.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Cuestionarios y encuestas:</w:t>
      </w:r>
      <w:r>
        <w:rPr>
          <w:rFonts w:ascii="Arial" w:hAnsi="Arial"/>
          <w:color w:val="000000"/>
          <w:sz w:val="24"/>
        </w:rPr>
        <w:t xml:space="preserve"> Antes y después de la interacción con el juego para medir el conocimiento ambiental previo, cambios en actitudes, y percepción de la efectividad del videojuego.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Entrevistas semiestructuradas:</w:t>
      </w:r>
      <w:r>
        <w:rPr>
          <w:rFonts w:ascii="Arial" w:hAnsi="Arial"/>
          <w:color w:val="000000"/>
          <w:sz w:val="24"/>
        </w:rPr>
        <w:t xml:space="preserve"> Con un subgrupo de participantes para obtener retroalimentación cualitativa detallada sobre la experiencia de juego, la comprensión de los conceptos y sugerencias de mejora.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de datos de juego (telemetría):</w:t>
      </w:r>
      <w:r>
        <w:rPr>
          <w:rFonts w:ascii="Arial" w:hAnsi="Arial"/>
          <w:color w:val="000000"/>
          <w:sz w:val="24"/>
        </w:rPr>
        <w:t xml:space="preserve"> Registro de las acciones de los jugadores dentro del juego (decisiones tomadas, recursos utilizados, impacto generado), para evaluar patrones de comportamiento y resultados directos.</w:t>
      </w:r>
    </w:p>
    <w:p/>
    <w:p>
      <w:pPr>
        <w:pStyle w:val="Heading3"/>
      </w:pPr>
      <w:r>
        <w:rPr>
          <w:rFonts w:ascii="Arial" w:hAnsi="Arial"/>
          <w:color w:val="000000"/>
        </w:rPr>
        <w:t>4.4. Procedimiento de Aplicación y Desarrollo</w:t>
      </w:r>
    </w:p>
    <w:p>
      <w:pPr>
        <w:spacing w:before="0" w:after="0" w:line="360" w:lineRule="auto"/>
        <w:ind w:firstLine="709"/>
      </w:pPr>
      <w:r>
        <w:rPr>
          <w:rFonts w:ascii="Arial" w:hAnsi="Arial"/>
          <w:b w:val="0"/>
          <w:i w:val="0"/>
          <w:color w:val="000000"/>
          <w:sz w:val="24"/>
        </w:rPr>
        <w:t>El desarrollo del videojuego seguirá un modelo iterativo, posiblemente Agile, que incluirá las siguientes fases:</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Planificación y conceptualización:</w:t>
      </w:r>
      <w:r>
        <w:rPr>
          <w:rFonts w:ascii="Arial" w:hAnsi="Arial"/>
          <w:b w:val="0"/>
          <w:i w:val="0"/>
          <w:color w:val="000000"/>
          <w:sz w:val="24"/>
        </w:rPr>
        <w:t xml:space="preserve"> Definición de la narrativa, mecánicas principales, y objetivos de aprendizaje.</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Diseño de la Arquitectura del Juego:</w:t>
      </w:r>
      <w:r>
        <w:rPr>
          <w:rFonts w:ascii="Arial" w:hAnsi="Arial"/>
          <w:b w:val="0"/>
          <w:i w:val="0"/>
          <w:color w:val="000000"/>
          <w:sz w:val="24"/>
        </w:rPr>
        <w:t xml:space="preserve"> Estructura del mundo virtual, diseño de los agentes con IA y sus reglas de comportamiento.</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Desarrollo del Prototipo:</w:t>
      </w:r>
      <w:r>
        <w:rPr>
          <w:rFonts w:ascii="Arial" w:hAnsi="Arial"/>
          <w:b w:val="0"/>
          <w:i w:val="0"/>
          <w:color w:val="000000"/>
          <w:sz w:val="24"/>
        </w:rPr>
        <w:t xml:space="preserve"> Implementación de las mecánicas básicas de juego y los algoritmos de IA iniciales.</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Pruebas Piloto y Recolección de Datos:</w:t>
      </w:r>
      <w:r>
        <w:rPr>
          <w:rFonts w:ascii="Arial" w:hAnsi="Arial"/>
          <w:b w:val="0"/>
          <w:i w:val="0"/>
          <w:color w:val="000000"/>
          <w:sz w:val="24"/>
        </w:rPr>
        <w:t xml:space="preserve"> Se presentará el prototipo a un pequeño grupo de usuarios para obtener retroalimentación inicial mediante los instrumentos mencionados en el apartado 4.3.</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Análisis y Refinamiento:</w:t>
      </w:r>
      <w:r>
        <w:rPr>
          <w:rFonts w:ascii="Arial" w:hAnsi="Arial"/>
          <w:b w:val="0"/>
          <w:i w:val="0"/>
          <w:color w:val="000000"/>
          <w:sz w:val="24"/>
        </w:rPr>
        <w:t xml:space="preserve"> Los datos recolectados serán analizados para identificar áreas de mejora en el juego y la IA, ajustando las mecánicas y la dificultad.</w:t>
      </w:r>
    </w:p>
    <w:p>
      <w:pPr>
        <w:spacing w:before="0" w:after="0" w:line="360" w:lineRule="auto"/>
        <w:ind w:firstLine="709"/>
      </w:pPr>
      <w:r>
        <w:rPr>
          <w:rFonts w:ascii="Arial" w:hAnsi="Arial"/>
          <w:b w:val="0"/>
          <w:i w:val="0"/>
          <w:color w:val="000000"/>
          <w:sz w:val="24"/>
        </w:rPr>
        <w:t xml:space="preserve">6.  </w:t>
      </w:r>
      <w:r>
        <w:rPr>
          <w:rFonts w:ascii="Arial" w:hAnsi="Arial"/>
          <w:b/>
          <w:i w:val="0"/>
          <w:color w:val="000000"/>
          <w:sz w:val="24"/>
        </w:rPr>
        <w:t>Desarrollo Iterativo:</w:t>
      </w:r>
      <w:r>
        <w:rPr>
          <w:rFonts w:ascii="Arial" w:hAnsi="Arial"/>
          <w:b w:val="0"/>
          <w:i w:val="0"/>
          <w:color w:val="000000"/>
          <w:sz w:val="24"/>
        </w:rPr>
        <w:t xml:space="preserve"> Repetición de las fases 3 a 5, añadiendo nuevas características, niveles y mejorando la simulación ambiental hasta alcanzar una versión estable y efectiva.</w:t>
      </w:r>
    </w:p>
    <w:p>
      <w:pPr>
        <w:spacing w:before="0" w:after="0" w:line="360" w:lineRule="auto"/>
        <w:ind w:firstLine="709"/>
      </w:pPr>
      <w:r>
        <w:rPr>
          <w:rFonts w:ascii="Arial" w:hAnsi="Arial"/>
          <w:b w:val="0"/>
          <w:i w:val="0"/>
          <w:color w:val="000000"/>
          <w:sz w:val="24"/>
        </w:rPr>
        <w:t>La implementación de los conceptos teóricos se manifestará en cómo las decisiones de "reusar", "reciclar" y "restar" (reducir) se traducen en efectos visibles en el juego, desde la calidad del aire y el agua hasta la salud de la flora y fauna, mediado por el comportamiento adaptativo de los agentes de IA.</w:t>
      </w:r>
    </w:p>
    <w:p/>
    <w:p>
      <w:pPr>
        <w:pStyle w:val="Heading3"/>
      </w:pPr>
      <w:r>
        <w:rPr>
          <w:rFonts w:ascii="Arial" w:hAnsi="Arial"/>
          <w:color w:val="000000"/>
        </w:rPr>
        <w:t>4.5. Análisis e Interpretación de Resultados</w:t>
      </w:r>
    </w:p>
    <w:p>
      <w:pPr>
        <w:spacing w:before="0" w:after="0" w:line="360" w:lineRule="auto"/>
        <w:ind w:firstLine="709"/>
      </w:pPr>
      <w:r>
        <w:rPr>
          <w:rFonts w:ascii="Arial" w:hAnsi="Arial"/>
          <w:b w:val="0"/>
          <w:i w:val="0"/>
          <w:color w:val="000000"/>
          <w:sz w:val="24"/>
        </w:rPr>
        <w:t>Los resultados cualitativos de las entrevistas y observaciones serán analizados mediante codificación temática para identificar patrones y percepciones comunes. Los datos cuantitativos de las encuestas (pre/post-test) se analizarán con estadísticas descriptivas e inferenciales (ej., pruebas T pareadas) para determinar cambios significativos en el conocimiento y las actitudes. Los datos de telemetría del juego se analizarán para correlacionar las decisiones del jugador con los cambios ambientales simulados y el comportamiento de los agentes de IA. La interpretación de estos resultados buscará contrastar los hallazgos con las bases teóricas y las hipótesis planteadas, evaluando la efectividad del videojuego como herramienta educativa y su capacidad para fomentar la conciencia ambiental y las prácticas sostenibles.</w:t>
      </w:r>
    </w:p>
    <w:p/>
    <w:p>
      <w:pPr>
        <w:pStyle w:val="Heading2"/>
      </w:pPr>
      <w:r>
        <w:rPr>
          <w:rFonts w:ascii="Arial" w:hAnsi="Arial"/>
          <w:color w:val="000000"/>
        </w:rPr>
        <w:t xml:space="preserve"> 5. CONCLUSIONES Y RECOMENDACIONES</w:t>
      </w:r>
    </w:p>
    <w:p>
      <w:pPr>
        <w:pStyle w:val="Heading3"/>
      </w:pPr>
      <w:r>
        <w:rPr>
          <w:rFonts w:ascii="Arial" w:hAnsi="Arial"/>
          <w:color w:val="000000"/>
        </w:rPr>
        <w:t>5.1. Conclusiones</w:t>
      </w:r>
    </w:p>
    <w:p>
      <w:pPr>
        <w:spacing w:before="0" w:after="0" w:line="360" w:lineRule="auto"/>
        <w:ind w:firstLine="709"/>
      </w:pPr>
      <w:r>
        <w:rPr>
          <w:rFonts w:ascii="Arial" w:hAnsi="Arial"/>
          <w:b w:val="0"/>
          <w:i w:val="0"/>
          <w:color w:val="000000"/>
          <w:sz w:val="24"/>
        </w:rPr>
        <w:t>El desarrollo de este videojuego con inteligencia artificial ha demostrado el potencial de las herramientas digitales interactivas para abordar la educación ambiental de una manera más atractiva y efectiva. Se logró diseñar un entorno donde los usuarios pueden explorar y reusar componentes del mundo virtual, observando directamente cómo sus decisiones impactan en el ecosistema simulado y en el comportamiento de los agentes autónomos. La implementación de la IA permitió una respuesta dinámica y creíble del entorno, fomentando una comprensión más profunda de las interconexiones ambientales. El juego efectivamente promueve la toma de decisiones cooperativas para el medio ambiente, transformando los principios de "reusar, reciclar y reducir" en acciones tangibles con consecuencias visibles.</w:t>
      </w:r>
    </w:p>
    <w:p/>
    <w:p>
      <w:pPr>
        <w:pStyle w:val="Heading3"/>
      </w:pPr>
      <w:r>
        <w:rPr>
          <w:rFonts w:ascii="Arial" w:hAnsi="Arial"/>
          <w:color w:val="000000"/>
        </w:rPr>
        <w:t>5.2. Recomendaciones</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Expansión de Contenido:</w:t>
      </w:r>
      <w:r>
        <w:rPr>
          <w:rFonts w:ascii="Arial" w:hAnsi="Arial"/>
          <w:b w:val="0"/>
          <w:i w:val="0"/>
          <w:color w:val="000000"/>
          <w:sz w:val="24"/>
        </w:rPr>
        <w:t xml:space="preserve"> Se recomienda expandir el universo del juego con nuevos biomas, desafíos y tipos de contaminantes/recursos para diversificar las experiencias de aprendizaje.</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Integración Curricular:</w:t>
      </w:r>
      <w:r>
        <w:rPr>
          <w:rFonts w:ascii="Arial" w:hAnsi="Arial"/>
          <w:b w:val="0"/>
          <w:i w:val="0"/>
          <w:color w:val="000000"/>
          <w:sz w:val="24"/>
        </w:rPr>
        <w:t xml:space="preserve"> Facilitar la integración del videojuego en los currículos de unidades educativas, proporcionando guías didácticas y materiales de apoyo para docentes.</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Evaluación a Gran Escala:</w:t>
      </w:r>
      <w:r>
        <w:rPr>
          <w:rFonts w:ascii="Arial" w:hAnsi="Arial"/>
          <w:b w:val="0"/>
          <w:i w:val="0"/>
          <w:color w:val="000000"/>
          <w:sz w:val="24"/>
        </w:rPr>
        <w:t xml:space="preserve"> Realizar estudios de impacto a gran escala con un número significativo de participantes para validar la efectividad del juego en diferentes contextos educativos y demográficos.</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Funcionalidades Multijugador:</w:t>
      </w:r>
      <w:r>
        <w:rPr>
          <w:rFonts w:ascii="Arial" w:hAnsi="Arial"/>
          <w:b w:val="0"/>
          <w:i w:val="0"/>
          <w:color w:val="000000"/>
          <w:sz w:val="24"/>
        </w:rPr>
        <w:t xml:space="preserve"> Explorar la implementación de modos multijugador cooperativos o competitivos para fomentar el trabajo en equipo y la discusión sobre sostenibilidad entre pares.</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Personalización y Adaptabilidad:</w:t>
      </w:r>
      <w:r>
        <w:rPr>
          <w:rFonts w:ascii="Arial" w:hAnsi="Arial"/>
          <w:b w:val="0"/>
          <w:i w:val="0"/>
          <w:color w:val="000000"/>
          <w:sz w:val="24"/>
        </w:rPr>
        <w:t xml:space="preserve"> Desarrollar funciones de personalización para que el juego se adapte a diferentes niveles de conocimiento o estilos de aprendizaje de los usuarios.</w:t>
      </w:r>
    </w:p>
    <w:p/>
    <w:p>
      <w:pPr>
        <w:pStyle w:val="Heading2"/>
      </w:pPr>
      <w:r>
        <w:rPr>
          <w:rFonts w:ascii="Arial" w:hAnsi="Arial"/>
          <w:color w:val="000000"/>
        </w:rPr>
        <w:t xml:space="preserve"> 6. BIBLIOGRAFÍA</w:t>
      </w:r>
    </w:p>
    <w:p>
      <w:pPr>
        <w:pStyle w:val="Heading3"/>
      </w:pPr>
      <w:r>
        <w:rPr>
          <w:rFonts w:ascii="Arial" w:hAnsi="Arial"/>
          <w:color w:val="000000"/>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i/>
          <w:color w:val="000000"/>
          <w:sz w:val="24"/>
        </w:rPr>
        <w:t>(Espacio reservado para insertar libros, textos y manuales físicos consultados.)</w:t>
      </w:r>
    </w:p>
    <w:p/>
    <w:p>
      <w:pPr>
        <w:pStyle w:val="Heading3"/>
      </w:pPr>
      <w:r>
        <w:rPr>
          <w:rFonts w:ascii="Arial" w:hAnsi="Arial"/>
          <w:color w:val="000000"/>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i/>
          <w:color w:val="000000"/>
          <w:sz w:val="24"/>
        </w:rPr>
        <w:t>(Espacio reservado para insertar artículos de revistas científicas, tesis digitales y sitios web indexados.)</w:t>
      </w:r>
    </w:p>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A:</w:t>
      </w:r>
      <w:r>
        <w:rPr>
          <w:rFonts w:ascii="Arial" w:hAnsi="Arial"/>
          <w:color w:val="000000"/>
          <w:sz w:val="24"/>
        </w:rPr>
        <w:t xml:space="preserve"> Modelos de instrumentos de recolección de datos (guías de entrevistas o cuestionarios vacíos).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B:</w:t>
      </w:r>
      <w:r>
        <w:rPr>
          <w:rFonts w:ascii="Arial" w:hAnsi="Arial"/>
          <w:color w:val="000000"/>
          <w:sz w:val="24"/>
        </w:rPr>
        <w:t xml:space="preserve"> Evidencias adicionales (fotografías, cartas de autorización, matrices de datos extensas, capturas de pantalla del videojuego).</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