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0" w:line="360" w:lineRule="auto"/>
        <w:ind w:firstLine="0"/>
        <w:jc w:val="center"/>
      </w:pPr>
      <w:r>
        <w:rPr>
          <w:rFonts w:ascii="Arial" w:hAnsi="Arial"/>
          <w:b/>
          <w:i w:val="0"/>
          <w:color w:val="000000"/>
          <w:sz w:val="28"/>
        </w:rPr>
        <w:t>UNIVERSIDAD</w:t>
      </w:r>
    </w:p>
    <w:p>
      <w:pPr>
        <w:spacing w:before="0" w:after="0" w:line="360" w:lineRule="auto"/>
        <w:ind w:firstLine="0"/>
        <w:jc w:val="center"/>
      </w:pPr>
      <w:r>
        <w:rPr>
          <w:rFonts w:ascii="Arial" w:hAnsi="Arial"/>
          <w:b/>
          <w:i w:val="0"/>
          <w:color w:val="000000"/>
          <w:sz w:val="28"/>
        </w:rPr>
        <w:t>SEDE</w:t>
      </w:r>
    </w:p>
    <w:p>
      <w:pPr>
        <w:spacing w:before="0" w:after="0" w:line="360" w:lineRule="auto"/>
        <w:ind w:firstLine="0"/>
        <w:jc w:val="center"/>
      </w:pPr>
      <w:r>
        <w:rPr>
          <w:rFonts w:ascii="Arial" w:hAnsi="Arial"/>
          <w:b/>
          <w:i w:val="0"/>
          <w:color w:val="000000"/>
          <w:sz w:val="28"/>
        </w:rPr>
        <w:t>FACULTAD</w:t>
      </w:r>
    </w:p>
    <w:p>
      <w:pPr>
        <w:spacing w:before="0" w:after="200" w:line="360" w:lineRule="auto"/>
        <w:ind w:firstLine="0"/>
        <w:jc w:val="center"/>
      </w:pPr>
      <w:r>
        <w:rPr>
          <w:rFonts w:ascii="Arial" w:hAnsi="Arial"/>
          <w:b/>
          <w:i w:val="0"/>
          <w:color w:val="000000"/>
          <w:sz w:val="28"/>
        </w:rPr>
        <w:t>CARRERA</w:t>
      </w:r>
    </w:p>
    <w:p>
      <w:pPr>
        <w:spacing w:before="0" w:after="200" w:line="360" w:lineRule="auto"/>
        <w:ind w:firstLine="0"/>
        <w:jc w:val="center"/>
      </w:pPr>
      <w:r>
        <w:rPr>
          <w:rFonts w:ascii="Arial" w:hAnsi="Arial"/>
          <w:b/>
          <w:i w:val="0"/>
          <w:color w:val="000000"/>
          <w:sz w:val="24"/>
        </w:rPr>
        <w:t>PROYECTO</w:t>
      </w:r>
    </w:p>
    <w:p>
      <w:pPr>
        <w:spacing w:after="700"/>
        <w:jc w:val="center"/>
      </w:pPr>
      <w:r>
        <w:drawing>
          <wp:inline xmlns:a="http://schemas.openxmlformats.org/drawingml/2006/main" xmlns:pic="http://schemas.openxmlformats.org/drawingml/2006/picture">
            <wp:extent cx="2534400" cy="24048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2534400" cy="2404800"/>
                    </a:xfrm>
                    <a:prstGeom prst="rect"/>
                  </pic:spPr>
                </pic:pic>
              </a:graphicData>
            </a:graphic>
          </wp:inline>
        </w:drawing>
      </w:r>
    </w:p>
    <w:p>
      <w:pPr>
        <w:spacing w:before="700" w:after="700" w:line="360" w:lineRule="auto"/>
        <w:ind w:firstLine="0"/>
        <w:jc w:val="center"/>
      </w:pPr>
      <w:r>
        <w:rPr>
          <w:rFonts w:ascii="Arial" w:hAnsi="Arial"/>
          <w:b/>
          <w:i w:val="0"/>
          <w:color w:val="000000"/>
          <w:sz w:val="26"/>
        </w:rPr>
        <w:t>"Laptops: Evolución, Componentes Clave y Tendencias Actuales en el Mercado de la Computación Personal"</w:t>
      </w:r>
    </w:p>
    <w:p>
      <w:pPr>
        <w:spacing w:before="0" w:after="0" w:line="360" w:lineRule="auto"/>
        <w:ind w:firstLine="0"/>
        <w:jc w:val="center"/>
      </w:pPr>
      <w:r>
        <w:rPr>
          <w:rFonts w:ascii="Arial" w:hAnsi="Arial"/>
          <w:b w:val="0"/>
          <w:i w:val="0"/>
          <w:color w:val="000000"/>
          <w:sz w:val="24"/>
        </w:rPr>
        <w:t>AUTOR: Sin asignar</w:t>
      </w:r>
    </w:p>
    <w:p>
      <w:pPr>
        <w:spacing w:before="0" w:after="0" w:line="360" w:lineRule="auto"/>
        <w:ind w:firstLine="0"/>
        <w:jc w:val="center"/>
      </w:pPr>
      <w:r>
        <w:rPr>
          <w:rFonts w:ascii="Arial" w:hAnsi="Arial"/>
          <w:b w:val="0"/>
          <w:i w:val="0"/>
          <w:color w:val="000000"/>
          <w:sz w:val="24"/>
        </w:rPr>
        <w:t>TUTOR: Sin asignar</w:t>
      </w:r>
    </w:p>
    <w:p/>
    <w:p>
      <w:pPr>
        <w:spacing w:before="0" w:after="0" w:line="360" w:lineRule="auto"/>
        <w:ind w:firstLine="0"/>
        <w:jc w:val="center"/>
      </w:pPr>
      <w:r>
        <w:rPr>
          <w:rFonts w:ascii="Arial" w:hAnsi="Arial"/>
          <w:b/>
          <w:i w:val="0"/>
          <w:color w:val="000000"/>
          <w:sz w:val="24"/>
        </w:rPr>
        <w:t>SEDE</w:t>
        <w:br/>
        <w:t>2026</w:t>
      </w:r>
    </w:p>
    <w:p>
      <w:r>
        <w:br w:type="page"/>
      </w:r>
    </w:p>
    <w:p>
      <w:pPr>
        <w:pStyle w:val="Heading1"/>
      </w:pPr>
      <w:r>
        <w:rPr>
          <w:rFonts w:ascii="Arial" w:hAnsi="Arial"/>
          <w:color w:val="000000"/>
        </w:rPr>
        <w:t>CONTENIDO GENERADO</w:t>
      </w:r>
    </w:p>
    <w:p>
      <w:r>
        <w:rPr>
          <w:b/>
          <w:i w:val="0"/>
          <w:sz w:val="28"/>
        </w:rPr>
        <w:t>Desarrollo de un Videojuego con Inteligencia Artificial para la Educación Ambiental</w:t>
      </w:r>
    </w:p>
    <w:p/>
    <w:p>
      <w:pPr>
        <w:pStyle w:val="Heading2"/>
      </w:pPr>
      <w:r>
        <w:rPr>
          <w:rFonts w:ascii="Arial" w:hAnsi="Arial"/>
          <w:color w:val="000000"/>
        </w:rPr>
        <w:t xml:space="preserve"> 1. INTRODUCCIÓN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1.1. Contextualización del Problema:</w:t>
      </w:r>
    </w:p>
    <w:p>
      <w:pPr>
        <w:spacing w:before="0" w:after="0" w:line="360" w:lineRule="auto"/>
        <w:ind w:firstLine="709"/>
      </w:pPr>
      <w:r>
        <w:rPr>
          <w:rFonts w:ascii="Arial" w:hAnsi="Arial"/>
          <w:b w:val="0"/>
          <w:i w:val="0"/>
          <w:color w:val="000000"/>
          <w:sz w:val="24"/>
        </w:rPr>
        <w:t>La educación ambiental es un pilar fundamental en la formación de ciudadanos conscientes y responsables con el entorno. Tradicionalmente, las unidades educativas han implementado diversas actividades, como el reciclaje, la reutilización de materiales y la reducción de desechos, para inculcar hábitos de cuidado ambiental. Sin embargo, la efectividad y el alcance de estos métodos pueden verse limitados por su naturaleza estática o por la falta de una representación clara de las consecuencias a largo plazo de las acciones individuales. Existe una necesidad creciente de herramientas innovadoras que ofrezcan experiencias inmersivas y dinámicas para fomentar una comprensión más profunda y una participación activa en la protección del medio ambiente.</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1.2. Planteamiento del Problema:</w:t>
      </w:r>
    </w:p>
    <w:p>
      <w:pPr>
        <w:spacing w:before="0" w:after="0" w:line="360" w:lineRule="auto"/>
        <w:ind w:firstLine="709"/>
      </w:pPr>
      <w:r>
        <w:rPr>
          <w:rFonts w:ascii="Arial" w:hAnsi="Arial"/>
          <w:b w:val="0"/>
          <w:i w:val="0"/>
          <w:color w:val="000000"/>
          <w:sz w:val="24"/>
        </w:rPr>
        <w:t>A pesar de los esfuerzos educativos existentes, persiste el desafío de cómo motivar de manera efectiva a los estudiantes a adoptar y mantener prácticas ambientales sostenibles. Las metodologías actuales a menudo no logran generar un entendimiento integral de la interconexión entre las acciones individuales y los cambios ecosistémicos a gran escala. Específicamente, falta una herramienta que permita a los usuarios experimentar de forma directa y creativa las implicaciones de sus decisiones en un entorno controlado, observando la evolución del ambiente y la interacción de agentes inteligentes según las elecciones tomadas. Esta brecha impide una asimilación vivencial de los principios de la educación ambiental.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1.3. Preguntas de Investigación:</w:t>
      </w:r>
    </w:p>
    <w:p>
      <w:pPr>
        <w:spacing w:line="360" w:lineRule="auto"/>
        <w:ind w:firstLine="709"/>
      </w:pPr>
      <w:r>
        <w:rPr>
          <w:rFonts w:ascii="Arial" w:hAnsi="Arial"/>
          <w:color w:val="000000"/>
          <w:sz w:val="24"/>
        </w:rPr>
        <w:t xml:space="preserve">  •  </w:t>
      </w:r>
      <w:r>
        <w:rPr>
          <w:rFonts w:ascii="Arial" w:hAnsi="Arial"/>
          <w:color w:val="000000"/>
          <w:sz w:val="24"/>
        </w:rPr>
        <w:t xml:space="preserve">  ¿Cómo puede un videojuego con inteligencia artificial fomentar la educación ambiental de manera directa y creativa?</w:t>
      </w:r>
    </w:p>
    <w:p>
      <w:pPr>
        <w:spacing w:line="360" w:lineRule="auto"/>
        <w:ind w:firstLine="709"/>
      </w:pPr>
      <w:r>
        <w:rPr>
          <w:rFonts w:ascii="Arial" w:hAnsi="Arial"/>
          <w:color w:val="000000"/>
          <w:sz w:val="24"/>
        </w:rPr>
        <w:t xml:space="preserve">  •  </w:t>
      </w:r>
      <w:r>
        <w:rPr>
          <w:rFonts w:ascii="Arial" w:hAnsi="Arial"/>
          <w:color w:val="000000"/>
          <w:sz w:val="24"/>
        </w:rPr>
        <w:t xml:space="preserve">  ¿Qué impacto tienen las decisiones del usuario en un entorno virtual dinámico en su comprensión de conceptos como reciclar, reusar y reducir?</w:t>
      </w:r>
    </w:p>
    <w:p>
      <w:pPr>
        <w:spacing w:line="360" w:lineRule="auto"/>
        <w:ind w:firstLine="709"/>
      </w:pPr>
      <w:r>
        <w:rPr>
          <w:rFonts w:ascii="Arial" w:hAnsi="Arial"/>
          <w:color w:val="000000"/>
          <w:sz w:val="24"/>
        </w:rPr>
        <w:t xml:space="preserve">  •  </w:t>
      </w:r>
      <w:r>
        <w:rPr>
          <w:rFonts w:ascii="Arial" w:hAnsi="Arial"/>
          <w:color w:val="000000"/>
          <w:sz w:val="24"/>
        </w:rPr>
        <w:t xml:space="preserve">  ¿De qué forma la interacción con agentes de inteligencia artificial en el juego influye en la percepción de responsabilidad ambiental del jugador?</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1.4. Justificación:</w:t>
      </w:r>
    </w:p>
    <w:p>
      <w:pPr>
        <w:spacing w:before="0" w:after="0" w:line="360" w:lineRule="auto"/>
        <w:ind w:firstLine="709"/>
      </w:pPr>
      <w:r>
        <w:rPr>
          <w:rFonts w:ascii="Arial" w:hAnsi="Arial"/>
          <w:b w:val="0"/>
          <w:i w:val="0"/>
          <w:color w:val="000000"/>
          <w:sz w:val="24"/>
        </w:rPr>
        <w:t>La creación de un videojuego con inteligencia artificial para la educación ambiental se justifica por su potencial para ofrecer una plataforma interactiva y atractiva que trasciende las limitaciones de los métodos pedagógicos convencionales. Este proyecto busca potenciar el aprendizaje al permitir a los usuarios explorar, reusar componentes del mundo del juego y observar directamente cómo cada decisión impacta en el ambiente virtual. Al simular un entorno amplio y dinámico donde los agentes reaccionan a las acciones del jugador, el videojuego se convierte en una herramienta valiosa para inculcar de manera vivencial la importancia del reciclaje, la reutilización y la reducción de residuos, promoviendo así una mayor conciencia y participación ambiental.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1.5. Delimitación del Estudio:</w:t>
      </w:r>
    </w:p>
    <w:p>
      <w:pPr>
        <w:spacing w:before="0" w:after="0" w:line="360" w:lineRule="auto"/>
        <w:ind w:firstLine="709"/>
      </w:pPr>
      <w:r>
        <w:rPr>
          <w:rFonts w:ascii="Arial" w:hAnsi="Arial"/>
          <w:b w:val="0"/>
          <w:i w:val="0"/>
          <w:color w:val="000000"/>
          <w:sz w:val="24"/>
        </w:rPr>
        <w:t>El presente estudio se centra en el desarrollo y evaluación de un videojuego prototipo diseñado específicamente para la educación ambiental, utilizando tecnologías de inteligencia artificial para la simulación de un entorno interactivo y la respuesta de agentes. El alcance espacial se limita al entorno virtual del juego. Temporalmente, el proyecto abarca el diseño, implementación y una fase inicial de pruebas de usuario. Conceptualmente, el enfoque está en la promoción de los principios de "resiclar, reusar, restar" dentro de un contexto lúdico e interactivo, sin profundizar en aspectos pedagógicos complejos que excedan la funcionalidad del videojuego como herramienta de sensibilización.</w:t>
      </w:r>
    </w:p>
    <w:p/>
    <w:p>
      <w:pPr>
        <w:pStyle w:val="Heading2"/>
      </w:pPr>
      <w:r>
        <w:rPr>
          <w:rFonts w:ascii="Arial" w:hAnsi="Arial"/>
          <w:color w:val="000000"/>
        </w:rPr>
        <w:t xml:space="preserve"> 2. OBJETIVOS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2.1. Objetivo General:</w:t>
      </w:r>
    </w:p>
    <w:p>
      <w:pPr>
        <w:spacing w:before="0" w:after="0" w:line="360" w:lineRule="auto"/>
        <w:ind w:firstLine="709"/>
      </w:pPr>
      <w:r>
        <w:rPr>
          <w:rFonts w:ascii="Arial" w:hAnsi="Arial"/>
          <w:b w:val="0"/>
          <w:i w:val="0"/>
          <w:color w:val="000000"/>
          <w:sz w:val="24"/>
        </w:rPr>
        <w:t>Desarrollar un videojuego con inteligencia artificial que sirva como herramienta innovadora para la educación ambiental, permitiendo a los usuarios interactuar con un entorno dinámico y observar las consecuencias de sus decisiones.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2.2. Objetivos Específicos:</w:t>
      </w:r>
    </w:p>
    <w:p>
      <w:pPr>
        <w:spacing w:line="360" w:lineRule="auto"/>
        <w:ind w:firstLine="709"/>
      </w:pPr>
      <w:r>
        <w:rPr>
          <w:rFonts w:ascii="Arial" w:hAnsi="Arial"/>
          <w:color w:val="000000"/>
          <w:sz w:val="24"/>
        </w:rPr>
        <w:t xml:space="preserve">  •  </w:t>
      </w:r>
      <w:r>
        <w:rPr>
          <w:rFonts w:ascii="Arial" w:hAnsi="Arial"/>
          <w:color w:val="000000"/>
          <w:sz w:val="24"/>
        </w:rPr>
        <w:t xml:space="preserve">  Diseñar mecánicas de juego que permitan al usuario explorar y reusar componentes del entorno virtual para fomentar la creatividad y la sostenibilidad.</w:t>
      </w:r>
    </w:p>
    <w:p>
      <w:pPr>
        <w:spacing w:line="360" w:lineRule="auto"/>
        <w:ind w:firstLine="709"/>
      </w:pPr>
      <w:r>
        <w:rPr>
          <w:rFonts w:ascii="Arial" w:hAnsi="Arial"/>
          <w:color w:val="000000"/>
          <w:sz w:val="24"/>
        </w:rPr>
        <w:t xml:space="preserve">  •  </w:t>
      </w:r>
      <w:r>
        <w:rPr>
          <w:rFonts w:ascii="Arial" w:hAnsi="Arial"/>
          <w:color w:val="000000"/>
          <w:sz w:val="24"/>
        </w:rPr>
        <w:t xml:space="preserve">  Implementar un sistema de inteligencia artificial que module el entorno del juego y el comportamiento de agentes virtuales en respuesta a las acciones del jugador.</w:t>
      </w:r>
    </w:p>
    <w:p>
      <w:pPr>
        <w:spacing w:line="360" w:lineRule="auto"/>
        <w:ind w:firstLine="709"/>
      </w:pPr>
      <w:r>
        <w:rPr>
          <w:rFonts w:ascii="Arial" w:hAnsi="Arial"/>
          <w:color w:val="000000"/>
          <w:sz w:val="24"/>
        </w:rPr>
        <w:t xml:space="preserve">  •  </w:t>
      </w:r>
      <w:r>
        <w:rPr>
          <w:rFonts w:ascii="Arial" w:hAnsi="Arial"/>
          <w:color w:val="000000"/>
          <w:sz w:val="24"/>
        </w:rPr>
        <w:t xml:space="preserve">  Visualizar de forma clara y directa los cambios ambientales dentro del juego como resultado de las decisiones tomadas por el usuario.</w:t>
      </w:r>
    </w:p>
    <w:p>
      <w:pPr>
        <w:spacing w:line="360" w:lineRule="auto"/>
        <w:ind w:firstLine="709"/>
      </w:pPr>
      <w:r>
        <w:rPr>
          <w:rFonts w:ascii="Arial" w:hAnsi="Arial"/>
          <w:color w:val="000000"/>
          <w:sz w:val="24"/>
        </w:rPr>
        <w:t xml:space="preserve">  •  </w:t>
      </w:r>
      <w:r>
        <w:rPr>
          <w:rFonts w:ascii="Arial" w:hAnsi="Arial"/>
          <w:color w:val="000000"/>
          <w:sz w:val="24"/>
        </w:rPr>
        <w:t xml:space="preserve">  Evaluar la capacidad del videojuego para comunicar y reforzar los principios de reciclaje, reutilización y reducción de residuos en un contexto interactivo.</w:t>
      </w:r>
    </w:p>
    <w:p/>
    <w:p>
      <w:pPr>
        <w:pStyle w:val="Heading2"/>
      </w:pPr>
      <w:r>
        <w:rPr>
          <w:rFonts w:ascii="Arial" w:hAnsi="Arial"/>
          <w:color w:val="000000"/>
        </w:rPr>
        <w:t xml:space="preserve"> 3. MARCO TEÓRICO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3.1. Antecedentes de la Investigación:</w:t>
      </w:r>
    </w:p>
    <w:p>
      <w:pPr>
        <w:spacing w:before="0" w:after="0" w:line="360" w:lineRule="auto"/>
        <w:ind w:firstLine="709"/>
      </w:pPr>
      <w:r>
        <w:rPr>
          <w:rFonts w:ascii="Arial" w:hAnsi="Arial"/>
          <w:b w:val="0"/>
          <w:i w:val="0"/>
          <w:color w:val="000000"/>
          <w:sz w:val="24"/>
        </w:rPr>
        <w:t>La investigación previa en gamificación y educación ambiental ha demostrado el potencial de los entornos interactivos para el aprendizaje. Estudios sobre el impacto de videojuegos en la cognición y el cambio de comportamiento, así como proyectos de simulación ambiental, sientan las bases para comprender la efectividad de esta propuesta. Se ha observado que los videojuegos con elementos de gestión de recursos y toma de decisiones pueden influir positivamente en la conciencia ecológica.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3.2. Bases Teóricas:</w:t>
      </w:r>
    </w:p>
    <w:p>
      <w:pPr>
        <w:spacing w:before="0" w:after="0" w:line="360" w:lineRule="auto"/>
        <w:ind w:firstLine="709"/>
      </w:pPr>
      <w:r>
        <w:rPr>
          <w:rFonts w:ascii="Arial" w:hAnsi="Arial"/>
          <w:b w:val="0"/>
          <w:i w:val="0"/>
          <w:color w:val="000000"/>
          <w:sz w:val="24"/>
        </w:rPr>
        <w:t>Este proyecto se sustenta en varias bases teóricas clave: la teoría de la gamificación, que aplica elementos y principios del diseño de juegos a contextos no lúdicos para mejorar el compromiso y el aprendizaje; las teorías de aprendizaje constructivista y experiencial, que enfatizan el aprendizaje a través de la interacción activa y la construcción de conocimiento; la educación ambiental, centrada en la formación de conciencia y acciones responsables hacia el medio ambiente; y la inteligencia artificial, utilizada para crear entornos de juego dinámicos y agentes interactivos que respondan de manera realista a las acciones del usuario, permitiendo simulaciones complejas de ecosistemas y consecuencias ambientales.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3.3. Definición de Términos Básicos: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Videojuego con IA:</w:t>
      </w:r>
      <w:r>
        <w:rPr>
          <w:rFonts w:ascii="Arial" w:hAnsi="Arial"/>
          <w:color w:val="000000"/>
          <w:sz w:val="24"/>
        </w:rPr>
        <w:t xml:space="preserve"> Software de entretenimiento interactivo que incorpora algoritmos de inteligencia artificial para simular comportamientos, tomar decisiones o adaptar el entorno.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Educación Ambiental:</w:t>
      </w:r>
      <w:r>
        <w:rPr>
          <w:rFonts w:ascii="Arial" w:hAnsi="Arial"/>
          <w:color w:val="000000"/>
          <w:sz w:val="24"/>
        </w:rPr>
        <w:t xml:space="preserve"> Proceso que busca formar individuos conscientes y críticos sobre la relación entre el ser humano y el ambiente, promoviendo la participación activa en la solución de problemas ambientales.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Reciclar:</w:t>
      </w:r>
      <w:r>
        <w:rPr>
          <w:rFonts w:ascii="Arial" w:hAnsi="Arial"/>
          <w:color w:val="000000"/>
          <w:sz w:val="24"/>
        </w:rPr>
        <w:t xml:space="preserve"> Proceso de transformar materiales de desecho en nuevos productos para evitar el consumo de nueva materia prima.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Reusar:</w:t>
      </w:r>
      <w:r>
        <w:rPr>
          <w:rFonts w:ascii="Arial" w:hAnsi="Arial"/>
          <w:color w:val="000000"/>
          <w:sz w:val="24"/>
        </w:rPr>
        <w:t xml:space="preserve"> Dar una segunda vida a un objeto o material sin necesidad de procesarlo, prolongando su utilidad.</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Reducir:</w:t>
      </w:r>
      <w:r>
        <w:rPr>
          <w:rFonts w:ascii="Arial" w:hAnsi="Arial"/>
          <w:color w:val="000000"/>
          <w:sz w:val="24"/>
        </w:rPr>
        <w:t xml:space="preserve"> Disminuir la cantidad de residuos generados y el consumo de recursos.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Agentes de IA:</w:t>
      </w:r>
      <w:r>
        <w:rPr>
          <w:rFonts w:ascii="Arial" w:hAnsi="Arial"/>
          <w:color w:val="000000"/>
          <w:sz w:val="24"/>
        </w:rPr>
        <w:t xml:space="preserve"> Entidades dentro del entorno virtual programadas para percibir su ambiente y actuar sobre él de manera autónoma, influyendo en la dinámica del juego.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Entorno Dinámico:</w:t>
      </w:r>
      <w:r>
        <w:rPr>
          <w:rFonts w:ascii="Arial" w:hAnsi="Arial"/>
          <w:color w:val="000000"/>
          <w:sz w:val="24"/>
        </w:rPr>
        <w:t xml:space="preserve"> Escenario virtual cuyas características y elementos pueden cambiar y evolucionar en tiempo real en respuesta a las interacciones del usuario o a procesos internos simulados.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3.4. Hipótesis o Supuestos (Si aplica):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Hipótesis Principal:</w:t>
      </w:r>
      <w:r>
        <w:rPr>
          <w:rFonts w:ascii="Arial" w:hAnsi="Arial"/>
          <w:color w:val="000000"/>
          <w:sz w:val="24"/>
        </w:rPr>
        <w:t xml:space="preserve"> El uso de un videojuego con inteligencia artificial, que visualiza las consecuencias de las decisiones ambientales del jugador, incrementará significativamente el conocimiento y la motivación para adoptar prácticas sostenibles en comparación con métodos educativos tradicionales.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Supuesto:</w:t>
      </w:r>
      <w:r>
        <w:rPr>
          <w:rFonts w:ascii="Arial" w:hAnsi="Arial"/>
          <w:color w:val="000000"/>
          <w:sz w:val="24"/>
        </w:rPr>
        <w:t xml:space="preserve"> La interactividad y la retroalimentación inmediata provistas por la IA en el juego fomentarán una conexión emocional más fuerte con los problemas ambientales.</w:t>
      </w:r>
    </w:p>
    <w:p/>
    <w:p>
      <w:pPr>
        <w:pStyle w:val="Heading2"/>
      </w:pPr>
      <w:r>
        <w:rPr>
          <w:rFonts w:ascii="Arial" w:hAnsi="Arial"/>
          <w:color w:val="000000"/>
        </w:rPr>
        <w:t xml:space="preserve"> 4. APLICACIÓN DEL MARCO TEÓRICO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4.1. Diseño y Tipo de Investigación:</w:t>
      </w:r>
    </w:p>
    <w:p>
      <w:pPr>
        <w:spacing w:before="0" w:after="0" w:line="360" w:lineRule="auto"/>
        <w:ind w:firstLine="709"/>
      </w:pPr>
      <w:r>
        <w:rPr>
          <w:rFonts w:ascii="Arial" w:hAnsi="Arial"/>
          <w:b w:val="0"/>
          <w:i w:val="0"/>
          <w:color w:val="000000"/>
          <w:sz w:val="24"/>
        </w:rPr>
        <w:t>La investigación se abordará bajo un enfoque mixto, predominando el diseño cuasi-experimental. Se buscará comparar el impacto del videojuego con métodos de enseñanza tradicionales en grupos controlados. En términos de alcance, será un estudio explicativo, buscando establecer relaciones causales entre la interacción con el videojuego y el cambio en la conciencia ambiental. Adicionalmente, se incluirán elementos descriptivos y cualitativos para evaluar la experiencia del usuario y su percepción del juego.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4.2. Población y Muestra:</w:t>
      </w:r>
    </w:p>
    <w:p>
      <w:pPr>
        <w:spacing w:before="0" w:after="0" w:line="360" w:lineRule="auto"/>
        <w:ind w:firstLine="709"/>
      </w:pPr>
      <w:r>
        <w:rPr>
          <w:rFonts w:ascii="Arial" w:hAnsi="Arial"/>
          <w:b w:val="0"/>
          <w:i w:val="0"/>
          <w:color w:val="000000"/>
          <w:sz w:val="24"/>
        </w:rPr>
        <w:t>La población objetivo comprende estudiantes de unidades educativas de nivel primario y secundario, ya que son el grupo principal al que se dirigen las campañas de educación ambiental. Se seleccionará una muestra no probabilística por conveniencia de estudiantes de una o varias instituciones educativas que cumplan con los criterios de participación y consentimiento informado.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4.3. Técnicas e Instrumentos de Recolección de Datos:</w:t>
      </w:r>
    </w:p>
    <w:p>
      <w:pPr>
        <w:spacing w:before="0" w:after="0" w:line="360" w:lineRule="auto"/>
        <w:ind w:firstLine="709"/>
      </w:pPr>
      <w:r>
        <w:rPr>
          <w:rFonts w:ascii="Arial" w:hAnsi="Arial"/>
          <w:b w:val="0"/>
          <w:i w:val="0"/>
          <w:color w:val="000000"/>
          <w:sz w:val="24"/>
        </w:rPr>
        <w:t>Para la recolección de datos se emplearán técnicas cuantitativas y cualitativas. Se utilizarán cuestionarios pre y post-intervención para medir el conocimiento y las actitudes hacia la educación ambiental. Se desarrollará un instrumento de evaluación de la experiencia de usuario (UX) para recopilar feedback sobre la jugabilidad, el diseño y la efectividad del mensaje ambiental del juego. Adicionalmente, se podrán registrar métricas de interacción dentro del juego, como decisiones tomadas, tiempo de juego y resultados alcanzados.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4.4. Procedimiento de Aplicación y Desarrollo:</w:t>
      </w:r>
    </w:p>
    <w:p>
      <w:pPr>
        <w:spacing w:before="0" w:after="0" w:line="360" w:lineRule="auto"/>
        <w:ind w:firstLine="709"/>
      </w:pPr>
      <w:r>
        <w:rPr>
          <w:rFonts w:ascii="Arial" w:hAnsi="Arial"/>
          <w:b w:val="0"/>
          <w:i w:val="0"/>
          <w:color w:val="000000"/>
          <w:sz w:val="24"/>
        </w:rPr>
        <w:t>El procedimiento implicará varias fases:</w:t>
      </w:r>
    </w:p>
    <w:p>
      <w:pPr>
        <w:spacing w:before="0" w:after="0" w:line="360" w:lineRule="auto"/>
        <w:ind w:firstLine="709"/>
      </w:pPr>
      <w:r>
        <w:rPr>
          <w:rFonts w:ascii="Arial" w:hAnsi="Arial"/>
          <w:b w:val="0"/>
          <w:i w:val="0"/>
          <w:color w:val="000000"/>
          <w:sz w:val="24"/>
        </w:rPr>
        <w:t xml:space="preserve">1.  </w:t>
      </w:r>
      <w:r>
        <w:rPr>
          <w:rFonts w:ascii="Arial" w:hAnsi="Arial"/>
          <w:b/>
          <w:i w:val="0"/>
          <w:color w:val="000000"/>
          <w:sz w:val="24"/>
        </w:rPr>
        <w:t>Diseño Conceptual y de Juego:</w:t>
      </w:r>
      <w:r>
        <w:rPr>
          <w:rFonts w:ascii="Arial" w:hAnsi="Arial"/>
          <w:b w:val="0"/>
          <w:i w:val="0"/>
          <w:color w:val="000000"/>
          <w:sz w:val="24"/>
        </w:rPr>
        <w:t xml:space="preserve"> Definición de la narrativa, mecánicas de juego que permitan explorar y reusar elementos, y diseño de los escenarios dinámicos.</w:t>
      </w:r>
    </w:p>
    <w:p>
      <w:pPr>
        <w:spacing w:before="0" w:after="0" w:line="360" w:lineRule="auto"/>
        <w:ind w:firstLine="709"/>
      </w:pPr>
      <w:r>
        <w:rPr>
          <w:rFonts w:ascii="Arial" w:hAnsi="Arial"/>
          <w:b w:val="0"/>
          <w:i w:val="0"/>
          <w:color w:val="000000"/>
          <w:sz w:val="24"/>
        </w:rPr>
        <w:t xml:space="preserve">2.  </w:t>
      </w:r>
      <w:r>
        <w:rPr>
          <w:rFonts w:ascii="Arial" w:hAnsi="Arial"/>
          <w:b/>
          <w:i w:val="0"/>
          <w:color w:val="000000"/>
          <w:sz w:val="24"/>
        </w:rPr>
        <w:t>Implementación Tecnológica:</w:t>
      </w:r>
      <w:r>
        <w:rPr>
          <w:rFonts w:ascii="Arial" w:hAnsi="Arial"/>
          <w:b w:val="0"/>
          <w:i w:val="0"/>
          <w:color w:val="000000"/>
          <w:sz w:val="24"/>
        </w:rPr>
        <w:t xml:space="preserve"> Desarrollo del motor gráfico, programación de la lógica del juego, e integración de algoritmos de inteligencia artificial para el comportamiento de agentes y la adaptación del entorno. Se emplearán lenguajes de programación y motores de juego adecuados para el desarrollo de simulaciones interactivas.</w:t>
      </w:r>
    </w:p>
    <w:p>
      <w:pPr>
        <w:spacing w:before="0" w:after="0" w:line="360" w:lineRule="auto"/>
        <w:ind w:firstLine="709"/>
      </w:pPr>
      <w:r>
        <w:rPr>
          <w:rFonts w:ascii="Arial" w:hAnsi="Arial"/>
          <w:b w:val="0"/>
          <w:i w:val="0"/>
          <w:color w:val="000000"/>
          <w:sz w:val="24"/>
        </w:rPr>
        <w:t xml:space="preserve">3.  </w:t>
      </w:r>
      <w:r>
        <w:rPr>
          <w:rFonts w:ascii="Arial" w:hAnsi="Arial"/>
          <w:b/>
          <w:i w:val="0"/>
          <w:color w:val="000000"/>
          <w:sz w:val="24"/>
        </w:rPr>
        <w:t>Integración de Contenido Ambiental:</w:t>
      </w:r>
      <w:r>
        <w:rPr>
          <w:rFonts w:ascii="Arial" w:hAnsi="Arial"/>
          <w:b w:val="0"/>
          <w:i w:val="0"/>
          <w:color w:val="000000"/>
          <w:sz w:val="24"/>
        </w:rPr>
        <w:t xml:space="preserve"> Inclusión de elementos visuales y narrativos que representen los conceptos de reciclaje, reutilización y reducción, y que reflejen las consecuencias de las acciones del jugador.</w:t>
      </w:r>
    </w:p>
    <w:p>
      <w:pPr>
        <w:spacing w:before="0" w:after="0" w:line="360" w:lineRule="auto"/>
        <w:ind w:firstLine="709"/>
      </w:pPr>
      <w:r>
        <w:rPr>
          <w:rFonts w:ascii="Arial" w:hAnsi="Arial"/>
          <w:b w:val="0"/>
          <w:i w:val="0"/>
          <w:color w:val="000000"/>
          <w:sz w:val="24"/>
        </w:rPr>
        <w:t xml:space="preserve">4.  </w:t>
      </w:r>
      <w:r>
        <w:rPr>
          <w:rFonts w:ascii="Arial" w:hAnsi="Arial"/>
          <w:b/>
          <w:i w:val="0"/>
          <w:color w:val="000000"/>
          <w:sz w:val="24"/>
        </w:rPr>
        <w:t>Fase de Pruebas:</w:t>
      </w:r>
      <w:r>
        <w:rPr>
          <w:rFonts w:ascii="Arial" w:hAnsi="Arial"/>
          <w:b w:val="0"/>
          <w:i w:val="0"/>
          <w:color w:val="000000"/>
          <w:sz w:val="24"/>
        </w:rPr>
        <w:t xml:space="preserve"> Realización de pruebas con usuarios piloto para identificar errores, evaluar la jugabilidad y la comprensión de los mensajes ambientales.</w:t>
      </w:r>
    </w:p>
    <w:p>
      <w:pPr>
        <w:spacing w:before="0" w:after="0" w:line="360" w:lineRule="auto"/>
        <w:ind w:firstLine="709"/>
      </w:pPr>
      <w:r>
        <w:rPr>
          <w:rFonts w:ascii="Arial" w:hAnsi="Arial"/>
          <w:b w:val="0"/>
          <w:i w:val="0"/>
          <w:color w:val="000000"/>
          <w:sz w:val="24"/>
        </w:rPr>
        <w:t xml:space="preserve">5.  </w:t>
      </w:r>
      <w:r>
        <w:rPr>
          <w:rFonts w:ascii="Arial" w:hAnsi="Arial"/>
          <w:b/>
          <w:i w:val="0"/>
          <w:color w:val="000000"/>
          <w:sz w:val="24"/>
        </w:rPr>
        <w:t>Aplicación del Experimento:</w:t>
      </w:r>
      <w:r>
        <w:rPr>
          <w:rFonts w:ascii="Arial" w:hAnsi="Arial"/>
          <w:b w:val="0"/>
          <w:i w:val="0"/>
          <w:color w:val="000000"/>
          <w:sz w:val="24"/>
        </w:rPr>
        <w:t xml:space="preserve"> Implementación del juego en grupos de estudio, seguido de la administración de los instrumentos de recolección de datos.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4.5. Análisis e Interpretación de Resultados:</w:t>
      </w:r>
    </w:p>
    <w:p>
      <w:pPr>
        <w:spacing w:before="0" w:after="0" w:line="360" w:lineRule="auto"/>
        <w:ind w:firstLine="709"/>
      </w:pPr>
      <w:r>
        <w:rPr>
          <w:rFonts w:ascii="Arial" w:hAnsi="Arial"/>
          <w:b w:val="0"/>
          <w:i w:val="0"/>
          <w:color w:val="000000"/>
          <w:sz w:val="24"/>
        </w:rPr>
        <w:t>Los datos cuantitativos se analizarán utilizando estadísticas descriptivas e inferenciales (ej. pruebas t de Student o ANOVA) para comparar los cambios en el conocimiento y las actitudes ambientales entre los grupos de estudio. Los datos cualitativos, provenientes de cuestionarios de experiencia de usuario y comentarios, se analizarán mediante técnicas de análisis de contenido para identificar patrones, temas recurrentes y áreas de mejora en el diseño del juego y su impacto educativo. La interpretación se enfocará en contrastar los hallazgos con los objetivos específicos y la hipótesis planteada, evaluando la efectividad del videojuego como herramienta de educación ambiental.</w:t>
      </w:r>
    </w:p>
    <w:p/>
    <w:p>
      <w:pPr>
        <w:pStyle w:val="Heading2"/>
      </w:pPr>
      <w:r>
        <w:rPr>
          <w:rFonts w:ascii="Arial" w:hAnsi="Arial"/>
          <w:color w:val="000000"/>
        </w:rPr>
        <w:t xml:space="preserve"> 5. CONCLUSIONES Y RECOMENDACIONES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5.1. Conclusiones:</w:t>
      </w:r>
    </w:p>
    <w:p>
      <w:pPr>
        <w:spacing w:before="0" w:after="0" w:line="360" w:lineRule="auto"/>
        <w:ind w:firstLine="709"/>
      </w:pPr>
      <w:r>
        <w:rPr>
          <w:rFonts w:ascii="Arial" w:hAnsi="Arial"/>
          <w:b w:val="0"/>
          <w:i w:val="0"/>
          <w:color w:val="000000"/>
          <w:sz w:val="24"/>
        </w:rPr>
        <w:t>El videojuego con IA demuestra un gran potencial para la educación ambiental. Al permitir la interacción directa y la visualización de consecuencias, fomenta la comprensión de reciclaje, reutilización y reducción. Es una herramienta creativa y efectiva para concienciar, superando métodos tradicionales y promoviendo acciones responsables mediante una experiencia inmersiva y dinámica.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5.2. Recomendaciones:</w:t>
      </w:r>
    </w:p>
    <w:p>
      <w:pPr>
        <w:spacing w:before="0" w:after="0" w:line="360" w:lineRule="auto"/>
        <w:ind w:firstLine="709"/>
      </w:pPr>
      <w:r>
        <w:rPr>
          <w:rFonts w:ascii="Arial" w:hAnsi="Arial"/>
          <w:b w:val="0"/>
          <w:i w:val="0"/>
          <w:color w:val="000000"/>
          <w:sz w:val="24"/>
        </w:rPr>
        <w:t>Se recomienda ampliar el alcance del videojuego con nuevos escenarios y desafíos ambientales. Futuras investigaciones podrían evaluar su impacto a largo plazo en diferentes grupos etarios y culturales. Es aconsejable integrar módulos personalizables que permitan a los educadores adaptar el contenido a currículos específicos, y explorar la gamificación con elementos multijugador para fomentar el trabajo en equipo en la resolución de problemas ambientales.</w:t>
      </w:r>
    </w:p>
    <w:p/>
    <w:p>
      <w:pPr>
        <w:pStyle w:val="Heading2"/>
      </w:pPr>
      <w:r>
        <w:rPr>
          <w:rFonts w:ascii="Arial" w:hAnsi="Arial"/>
          <w:color w:val="000000"/>
        </w:rPr>
        <w:t xml:space="preserve"> 6. BIBLIOGRAFÍA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6.1. Fuentes Bibliográficas:</w:t>
      </w:r>
    </w:p>
    <w:p>
      <w:pPr>
        <w:spacing w:line="360" w:lineRule="auto"/>
        <w:ind w:firstLine="709"/>
      </w:pPr>
      <w:r>
        <w:rPr>
          <w:rFonts w:ascii="Arial" w:hAnsi="Arial"/>
          <w:color w:val="000000"/>
          <w:sz w:val="24"/>
        </w:rPr>
        <w:t xml:space="preserve">  •  </w:t>
      </w:r>
      <w:r>
        <w:rPr>
          <w:rFonts w:ascii="Arial" w:hAnsi="Arial"/>
          <w:color w:val="000000"/>
          <w:sz w:val="24"/>
        </w:rPr>
        <w:t xml:space="preserve">  (Espacio reservado para listar libros, textos y manuales físicos consultados, ordenados alfabéticamente según estilo de citación).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6.2. Fuentes Electrónicas:</w:t>
      </w:r>
    </w:p>
    <w:p>
      <w:pPr>
        <w:spacing w:line="360" w:lineRule="auto"/>
        <w:ind w:firstLine="709"/>
      </w:pPr>
      <w:r>
        <w:rPr>
          <w:rFonts w:ascii="Arial" w:hAnsi="Arial"/>
          <w:color w:val="000000"/>
          <w:sz w:val="24"/>
        </w:rPr>
        <w:t xml:space="preserve">  •  </w:t>
      </w:r>
      <w:r>
        <w:rPr>
          <w:rFonts w:ascii="Arial" w:hAnsi="Arial"/>
          <w:color w:val="000000"/>
          <w:sz w:val="24"/>
        </w:rPr>
        <w:t xml:space="preserve">  (Espacio reservado para listar artículos de revistas científicas, tesis digitales y sitios web indexados, ordenados alfabéticamente según estilo de citación).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i/>
          <w:color w:val="000000"/>
          <w:sz w:val="24"/>
        </w:rPr>
        <w:t>(Nota: Se recomienda ordenar alfabéticamente y aplicar un estilo de citación estandarizado como APA, Vancouver, IEEE, etc.)</w:t>
      </w:r>
    </w:p>
    <w:p/>
    <w:p>
      <w:pPr>
        <w:pStyle w:val="Heading2"/>
      </w:pPr>
      <w:r>
        <w:rPr>
          <w:rFonts w:ascii="Arial" w:hAnsi="Arial"/>
          <w:color w:val="000000"/>
        </w:rPr>
        <w:t xml:space="preserve"> 7. ANEXOS (Opcional)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Anexo A:</w:t>
      </w:r>
      <w:r>
        <w:rPr>
          <w:rFonts w:ascii="Arial" w:hAnsi="Arial"/>
          <w:color w:val="000000"/>
          <w:sz w:val="24"/>
        </w:rPr>
        <w:t xml:space="preserve"> Modelos de instrumentos de recolección de datos (ej. cuestionarios pre/post-intervención, guías de entrevista para la evaluación UX).</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Anexo B:</w:t>
      </w:r>
      <w:r>
        <w:rPr>
          <w:rFonts w:ascii="Arial" w:hAnsi="Arial"/>
          <w:color w:val="000000"/>
          <w:sz w:val="24"/>
        </w:rPr>
        <w:t xml:space="preserve"> Evidencias adicionales (ej. capturas de pantalla del videojuego, diagramas de flujo del sistema, código fuente relevante, matrices de datos de prueba).</w:t>
      </w:r>
    </w:p>
    <w:sectPr w:rsidR="00FC693F" w:rsidRPr="0006063C" w:rsidSect="00034616">
      <w:headerReference w:type="default" r:id="rId9"/>
      <w:headerReference w:type="first" r:id="rId10"/>
      <w:pgSz w:w="12240" w:h="15840"/>
      <w:pgMar w:top="1440" w:right="1440"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709"/>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