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0" w:line="360" w:lineRule="auto"/>
        <w:ind w:firstLine="0"/>
        <w:jc w:val="center"/>
      </w:pPr>
      <w:r>
        <w:rPr>
          <w:rFonts w:ascii="Arial" w:hAnsi="Arial"/>
          <w:b/>
          <w:i w:val="0"/>
          <w:color w:val="000000"/>
          <w:sz w:val="28"/>
        </w:rPr>
        <w:t>UNIVERSIDAD</w:t>
      </w:r>
    </w:p>
    <w:p>
      <w:pPr>
        <w:spacing w:before="0" w:after="0" w:line="360" w:lineRule="auto"/>
        <w:ind w:firstLine="0"/>
        <w:jc w:val="center"/>
      </w:pPr>
      <w:r>
        <w:rPr>
          <w:rFonts w:ascii="Arial" w:hAnsi="Arial"/>
          <w:b/>
          <w:i w:val="0"/>
          <w:color w:val="000000"/>
          <w:sz w:val="28"/>
        </w:rPr>
        <w:t>SEDE</w:t>
      </w:r>
    </w:p>
    <w:p>
      <w:pPr>
        <w:spacing w:before="0" w:after="0" w:line="360" w:lineRule="auto"/>
        <w:ind w:firstLine="0"/>
        <w:jc w:val="center"/>
      </w:pPr>
      <w:r>
        <w:rPr>
          <w:rFonts w:ascii="Arial" w:hAnsi="Arial"/>
          <w:b/>
          <w:i w:val="0"/>
          <w:color w:val="000000"/>
          <w:sz w:val="28"/>
        </w:rPr>
        <w:t>FACULTAD</w:t>
      </w:r>
    </w:p>
    <w:p>
      <w:pPr>
        <w:spacing w:before="0" w:after="200" w:line="360" w:lineRule="auto"/>
        <w:ind w:firstLine="0"/>
        <w:jc w:val="center"/>
      </w:pPr>
      <w:r>
        <w:rPr>
          <w:rFonts w:ascii="Arial" w:hAnsi="Arial"/>
          <w:b/>
          <w:i w:val="0"/>
          <w:color w:val="000000"/>
          <w:sz w:val="28"/>
        </w:rPr>
        <w:t>CARRERA</w:t>
      </w:r>
    </w:p>
    <w:p>
      <w:pPr>
        <w:spacing w:before="0" w:after="200" w:line="360" w:lineRule="auto"/>
        <w:ind w:firstLine="0"/>
        <w:jc w:val="center"/>
      </w:pPr>
      <w:r>
        <w:rPr>
          <w:rFonts w:ascii="Arial" w:hAnsi="Arial"/>
          <w:b/>
          <w:i w:val="0"/>
          <w:color w:val="000000"/>
          <w:sz w:val="24"/>
        </w:rPr>
        <w:t>PROYECTO</w:t>
      </w:r>
    </w:p>
    <w:p>
      <w:pPr>
        <w:spacing w:before="700" w:after="700" w:line="360" w:lineRule="auto"/>
        <w:ind w:firstLine="0"/>
        <w:jc w:val="center"/>
      </w:pPr>
      <w:r>
        <w:rPr>
          <w:rFonts w:ascii="Arial" w:hAnsi="Arial"/>
          <w:b/>
          <w:i w:val="0"/>
          <w:color w:val="000000"/>
          <w:sz w:val="26"/>
        </w:rPr>
        <w:t>"Representación de Gatitos en el Anime: Un Análisis de su Iconografía y Significado Cultural"</w:t>
      </w:r>
    </w:p>
    <w:p>
      <w:pPr>
        <w:spacing w:before="0" w:after="0" w:line="360" w:lineRule="auto"/>
        <w:ind w:firstLine="0"/>
        <w:jc w:val="center"/>
      </w:pPr>
      <w:r>
        <w:rPr>
          <w:rFonts w:ascii="Arial" w:hAnsi="Arial"/>
          <w:b w:val="0"/>
          <w:i w:val="0"/>
          <w:color w:val="000000"/>
          <w:sz w:val="24"/>
        </w:rPr>
        <w:t>AUTOR: Sin asignar</w:t>
      </w:r>
    </w:p>
    <w:p>
      <w:pPr>
        <w:spacing w:before="0" w:after="0" w:line="360" w:lineRule="auto"/>
        <w:ind w:firstLine="0"/>
        <w:jc w:val="center"/>
      </w:pPr>
      <w:r>
        <w:rPr>
          <w:rFonts w:ascii="Arial" w:hAnsi="Arial"/>
          <w:b w:val="0"/>
          <w:i w:val="0"/>
          <w:color w:val="000000"/>
          <w:sz w:val="24"/>
        </w:rPr>
        <w:t>TUTOR: Sin asignar</w:t>
      </w:r>
    </w:p>
    <w:p/>
    <w:p>
      <w:pPr>
        <w:spacing w:before="0" w:after="0" w:line="360" w:lineRule="auto"/>
        <w:ind w:firstLine="0"/>
        <w:jc w:val="center"/>
      </w:pPr>
      <w:r>
        <w:rPr>
          <w:rFonts w:ascii="Arial" w:hAnsi="Arial"/>
          <w:b/>
          <w:i w:val="0"/>
          <w:color w:val="000000"/>
          <w:sz w:val="24"/>
        </w:rPr>
        <w:t>SEDE</w:t>
        <w:br/>
        <w:t>2026</w:t>
      </w:r>
    </w:p>
    <w:p>
      <w:r>
        <w:br w:type="page"/>
      </w:r>
    </w:p>
    <w:p>
      <w:pPr>
        <w:pStyle w:val="Heading1"/>
      </w:pPr>
      <w:r>
        <w:rPr>
          <w:rFonts w:ascii="Arial" w:hAnsi="Arial"/>
          <w:color w:val="000000"/>
        </w:rPr>
        <w:t>CONTENIDO GENERADO</w:t>
      </w:r>
    </w:p>
    <w:p>
      <w:r>
        <w:rPr>
          <w:b/>
          <w:i w:val="0"/>
          <w:sz w:val="28"/>
        </w:rPr>
        <w:t>Videojuego con Inteligencia Artificial para la Educación Ambiental: Un Enfoque Interactivo y Experiencial</w:t>
      </w:r>
    </w:p>
    <w:p/>
    <w:p>
      <w:pPr>
        <w:pStyle w:val="Heading2"/>
      </w:pPr>
      <w:r>
        <w:rPr>
          <w:rFonts w:ascii="Arial" w:hAnsi="Arial"/>
          <w:color w:val="000000"/>
        </w:rPr>
        <w:t xml:space="preserve"> 1. INTRODUCCIÓN</w:t>
      </w:r>
    </w:p>
    <w:p/>
    <w:p>
      <w:pPr>
        <w:pStyle w:val="Heading3"/>
      </w:pPr>
      <w:r>
        <w:rPr>
          <w:rFonts w:ascii="Arial" w:hAnsi="Arial"/>
          <w:color w:val="000000"/>
        </w:rPr>
        <w:t>1.1. Contextualización del Problema</w:t>
      </w:r>
    </w:p>
    <w:p>
      <w:pPr>
        <w:spacing w:before="0" w:after="0" w:line="360" w:lineRule="auto"/>
        <w:ind w:firstLine="709"/>
      </w:pPr>
      <w:r>
        <w:rPr>
          <w:rFonts w:ascii="Arial" w:hAnsi="Arial"/>
          <w:b w:val="0"/>
          <w:i w:val="0"/>
          <w:color w:val="000000"/>
          <w:sz w:val="24"/>
        </w:rPr>
        <w:t>La educación ambiental ha sido un pilar fundamental en las unidades educativas durante años, promoviendo prácticas como el reciclaje, la reutilización y la reducción de residuos a través de trabajos escolares y actividades didácticas tradicionales. Sin embargo, a menudo estas metodologías carecen de la capacidad para simular de manera dinámica y perceptible las consecuencias a largo plazo de las acciones humanas en el medio ambiente, limitando la comprensión profunda y la adopción de comportamientos sostenibles. La desconexión entre la teoría impartida y la experiencia práctica reduce el impacto efectivo de los esfuerzos educativos.</w:t>
      </w:r>
    </w:p>
    <w:p/>
    <w:p>
      <w:pPr>
        <w:pStyle w:val="Heading3"/>
      </w:pPr>
      <w:r>
        <w:rPr>
          <w:rFonts w:ascii="Arial" w:hAnsi="Arial"/>
          <w:color w:val="000000"/>
        </w:rPr>
        <w:t>1.2. Planteamiento del Problema</w:t>
      </w:r>
    </w:p>
    <w:p>
      <w:pPr>
        <w:spacing w:before="0" w:after="0" w:line="360" w:lineRule="auto"/>
        <w:ind w:firstLine="709"/>
      </w:pPr>
      <w:r>
        <w:rPr>
          <w:rFonts w:ascii="Arial" w:hAnsi="Arial"/>
          <w:b w:val="0"/>
          <w:i w:val="0"/>
          <w:color w:val="000000"/>
          <w:sz w:val="24"/>
        </w:rPr>
        <w:t>A pesar de los programas educativos existentes, persiste la dificultad para fomentar una conciencia ambiental profunda y un compromiso activo en los estudiantes. Los enfoques actuales, aunque valiosos, no siempre logran involucrar al usuario de manera suficientemente inmersiva para que comprenda la interconexión de sus decisiones con el entorno. La ausencia de un feedback inmediato y visible sobre cómo las acciones individuales (y colectivas) alteran el medio ambiente y sus agentes impide una experiencia de aprendizaje completa que impulse un cambio de conducta significativo. Surge la pregunta de cómo se puede mejorar la efectividad de la educación ambiental para lograr un impacto más duradero y una comprensión más holística.</w:t>
      </w:r>
    </w:p>
    <w:p/>
    <w:p>
      <w:pPr>
        <w:pStyle w:val="Heading3"/>
      </w:pPr>
      <w:r>
        <w:rPr>
          <w:rFonts w:ascii="Arial" w:hAnsi="Arial"/>
          <w:color w:val="000000"/>
        </w:rPr>
        <w:t>1.3. Preguntas de Investigación</w:t>
      </w:r>
    </w:p>
    <w:p>
      <w:pPr>
        <w:spacing w:line="360" w:lineRule="auto"/>
        <w:ind w:firstLine="709"/>
      </w:pPr>
      <w:r>
        <w:rPr>
          <w:rFonts w:ascii="Arial" w:hAnsi="Arial"/>
          <w:color w:val="000000"/>
          <w:sz w:val="24"/>
        </w:rPr>
        <w:t xml:space="preserve">  •  </w:t>
      </w:r>
      <w:r>
        <w:rPr>
          <w:rFonts w:ascii="Arial" w:hAnsi="Arial"/>
          <w:color w:val="000000"/>
          <w:sz w:val="24"/>
        </w:rPr>
        <w:t xml:space="preserve">  ¿Cómo puede un videojuego con inteligencia artificial simular de manera efectiva el impacto de las decisiones del usuario en un entorno ambiental dinámico?</w:t>
      </w:r>
    </w:p>
    <w:p>
      <w:pPr>
        <w:spacing w:line="360" w:lineRule="auto"/>
        <w:ind w:firstLine="709"/>
      </w:pPr>
      <w:r>
        <w:rPr>
          <w:rFonts w:ascii="Arial" w:hAnsi="Arial"/>
          <w:color w:val="000000"/>
          <w:sz w:val="24"/>
        </w:rPr>
        <w:t xml:space="preserve">  •  </w:t>
      </w:r>
      <w:r>
        <w:rPr>
          <w:rFonts w:ascii="Arial" w:hAnsi="Arial"/>
          <w:color w:val="000000"/>
          <w:sz w:val="24"/>
        </w:rPr>
        <w:t xml:space="preserve">  ¿Qué elementos de la inteligencia artificial (IA) son más adecuados para crear agentes y un mundo de juego que reaccionen creíblemente a las interacciones del jugador en un contexto ambiental?</w:t>
      </w:r>
    </w:p>
    <w:p>
      <w:pPr>
        <w:spacing w:line="360" w:lineRule="auto"/>
        <w:ind w:firstLine="709"/>
      </w:pPr>
      <w:r>
        <w:rPr>
          <w:rFonts w:ascii="Arial" w:hAnsi="Arial"/>
          <w:color w:val="000000"/>
          <w:sz w:val="24"/>
        </w:rPr>
        <w:t xml:space="preserve">  •  </w:t>
      </w:r>
      <w:r>
        <w:rPr>
          <w:rFonts w:ascii="Arial" w:hAnsi="Arial"/>
          <w:color w:val="000000"/>
          <w:sz w:val="24"/>
        </w:rPr>
        <w:t xml:space="preserve">  ¿En qué medida la interacción con un videojuego ambiental basado en IA fomenta una mayor conciencia y prácticas de sostenibilidad en comparación con los métodos educativos tradicionales?</w:t>
      </w:r>
    </w:p>
    <w:p>
      <w:pPr>
        <w:spacing w:line="360" w:lineRule="auto"/>
        <w:ind w:firstLine="709"/>
      </w:pPr>
      <w:r>
        <w:rPr>
          <w:rFonts w:ascii="Arial" w:hAnsi="Arial"/>
          <w:color w:val="000000"/>
          <w:sz w:val="24"/>
        </w:rPr>
        <w:t xml:space="preserve">  •  </w:t>
      </w:r>
      <w:r>
        <w:rPr>
          <w:rFonts w:ascii="Arial" w:hAnsi="Arial"/>
          <w:color w:val="000000"/>
          <w:sz w:val="24"/>
        </w:rPr>
        <w:t xml:space="preserve">  ¿Cuáles son los desafíos técnicos y pedagógicos al desarrollar un videojuego con IA enfocado en la educación ambiental para unidades educativas?</w:t>
      </w:r>
    </w:p>
    <w:p/>
    <w:p>
      <w:pPr>
        <w:pStyle w:val="Heading3"/>
      </w:pPr>
      <w:r>
        <w:rPr>
          <w:rFonts w:ascii="Arial" w:hAnsi="Arial"/>
          <w:color w:val="000000"/>
        </w:rPr>
        <w:t>1.4. Justificación</w:t>
      </w:r>
    </w:p>
    <w:p>
      <w:pPr>
        <w:spacing w:before="0" w:after="0" w:line="360" w:lineRule="auto"/>
        <w:ind w:firstLine="709"/>
      </w:pPr>
      <w:r>
        <w:rPr>
          <w:rFonts w:ascii="Arial" w:hAnsi="Arial"/>
          <w:b w:val="0"/>
          <w:i w:val="0"/>
          <w:color w:val="000000"/>
          <w:sz w:val="24"/>
        </w:rPr>
        <w:t>La creación de un videojuego con inteligencia artificial para la educación ambiental se justifica por su potencial para superar las limitaciones de los métodos tradicionales. Este proyecto ofrece una plataforma interactiva y creativa donde los usuarios pueden experimentar de primera mano cómo sus decisiones impactan el entorno, observando cambios dinámicos en el ambiente y la interacción de agentes inteligentes. Al proporcionar un "ambiente más amplio" donde cada elección tiene consecuencias visibles, se fomenta una comprensión más profunda de la sostenibilidad, el reciclaje, la reutilización y la reducción de desechos. Este enfoque lúdico y experiencial puede aumentar la motivación, el compromiso y la retención del aprendizaje en temas ambientales, preparando a los estudiantes para ser ciudadanos más conscientes y responsables.</w:t>
      </w:r>
    </w:p>
    <w:p/>
    <w:p>
      <w:pPr>
        <w:pStyle w:val="Heading3"/>
      </w:pPr>
      <w:r>
        <w:rPr>
          <w:rFonts w:ascii="Arial" w:hAnsi="Arial"/>
          <w:color w:val="000000"/>
        </w:rPr>
        <w:t>1.5. Delimitación del Estudio</w:t>
      </w:r>
    </w:p>
    <w:p>
      <w:pPr>
        <w:spacing w:before="0" w:after="0" w:line="360" w:lineRule="auto"/>
        <w:ind w:firstLine="709"/>
      </w:pPr>
      <w:r>
        <w:rPr>
          <w:rFonts w:ascii="Arial" w:hAnsi="Arial"/>
          <w:b w:val="0"/>
          <w:i w:val="0"/>
          <w:color w:val="000000"/>
          <w:sz w:val="24"/>
        </w:rPr>
        <w:t>El presente estudio se centrará en el diseño conceptual y la propuesta de un videojuego con inteligencia artificial para la educación ambiental. El alcance temporal del desarrollo del juego se proyecta hasta el año 2025, conforme a la fecha del proyecto original. Geográficamente, el enfoque principal será la aplicación y evaluación en unidades educativas de El Alto, Bolivia. Conceptualmente, la investigación se delimitará a la integración de mecánicas de juego que simulen el reciclaje, la reutilización y la reducción de residuos, utilizando IA para la reactividad del entorno y los personajes no jugables. No se abordará la implementación completa del software ni la evaluación a gran escala, sino la viabilidad y el diseño pedagógico.</w:t>
      </w:r>
    </w:p>
    <w:p/>
    <w:p>
      <w:pPr>
        <w:pStyle w:val="Heading2"/>
      </w:pPr>
      <w:r>
        <w:rPr>
          <w:rFonts w:ascii="Arial" w:hAnsi="Arial"/>
          <w:color w:val="000000"/>
        </w:rPr>
        <w:t xml:space="preserve"> 2. OBJETIVOS</w:t>
      </w:r>
    </w:p>
    <w:p/>
    <w:p>
      <w:pPr>
        <w:pStyle w:val="Heading3"/>
      </w:pPr>
      <w:r>
        <w:rPr>
          <w:rFonts w:ascii="Arial" w:hAnsi="Arial"/>
          <w:color w:val="000000"/>
        </w:rPr>
        <w:t>2.1. Objetivo General</w:t>
      </w:r>
    </w:p>
    <w:p>
      <w:pPr>
        <w:spacing w:before="0" w:after="0" w:line="360" w:lineRule="auto"/>
        <w:ind w:firstLine="709"/>
      </w:pPr>
      <w:r>
        <w:rPr>
          <w:rFonts w:ascii="Arial" w:hAnsi="Arial"/>
          <w:b w:val="0"/>
          <w:i w:val="0"/>
          <w:color w:val="000000"/>
          <w:sz w:val="24"/>
        </w:rPr>
        <w:t>Diseñar y conceptualizar un videojuego con inteligencia artificial que fomente la educación ambiental, permitiendo a los usuarios interactuar con un mundo dinámico y observar el impacto de sus decisiones en el ecosistema y sus agentes, promoviendo así la conciencia y prácticas sostenibles.</w:t>
      </w:r>
    </w:p>
    <w:p/>
    <w:p>
      <w:pPr>
        <w:pStyle w:val="Heading3"/>
      </w:pPr>
      <w:r>
        <w:rPr>
          <w:rFonts w:ascii="Arial" w:hAnsi="Arial"/>
          <w:color w:val="000000"/>
        </w:rPr>
        <w:t>2.2. Objetivos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Identificar los principios pedagógicos clave de la educación ambiental y las técnicas de gamificación aplicables a un videojuego interactivo.</w:t>
      </w:r>
    </w:p>
    <w:p>
      <w:pPr>
        <w:spacing w:line="360" w:lineRule="auto"/>
        <w:ind w:firstLine="709"/>
      </w:pPr>
      <w:r>
        <w:rPr>
          <w:rFonts w:ascii="Arial" w:hAnsi="Arial"/>
          <w:color w:val="000000"/>
          <w:sz w:val="24"/>
        </w:rPr>
        <w:t xml:space="preserve">  •  </w:t>
      </w:r>
      <w:r>
        <w:rPr>
          <w:rFonts w:ascii="Arial" w:hAnsi="Arial"/>
          <w:color w:val="000000"/>
          <w:sz w:val="24"/>
        </w:rPr>
        <w:t xml:space="preserve">  Proponer un modelo de inteligencia artificial capaz de simular la evolución del entorno del juego y la conducta de los agentes en respuesta a las acciones del jugador.</w:t>
      </w:r>
    </w:p>
    <w:p>
      <w:pPr>
        <w:spacing w:line="360" w:lineRule="auto"/>
        <w:ind w:firstLine="709"/>
      </w:pPr>
      <w:r>
        <w:rPr>
          <w:rFonts w:ascii="Arial" w:hAnsi="Arial"/>
          <w:color w:val="000000"/>
          <w:sz w:val="24"/>
        </w:rPr>
        <w:t xml:space="preserve">  •  </w:t>
      </w:r>
      <w:r>
        <w:rPr>
          <w:rFonts w:ascii="Arial" w:hAnsi="Arial"/>
          <w:color w:val="000000"/>
          <w:sz w:val="24"/>
        </w:rPr>
        <w:t xml:space="preserve">  Diseñar mecánicas de juego que integren los conceptos de reciclaje, reutilización y reducción de residuos de manera significativa y con consecuencias visibles.</w:t>
      </w:r>
    </w:p>
    <w:p>
      <w:pPr>
        <w:spacing w:line="360" w:lineRule="auto"/>
        <w:ind w:firstLine="709"/>
      </w:pPr>
      <w:r>
        <w:rPr>
          <w:rFonts w:ascii="Arial" w:hAnsi="Arial"/>
          <w:color w:val="000000"/>
          <w:sz w:val="24"/>
        </w:rPr>
        <w:t xml:space="preserve">  •  </w:t>
      </w:r>
      <w:r>
        <w:rPr>
          <w:rFonts w:ascii="Arial" w:hAnsi="Arial"/>
          <w:color w:val="000000"/>
          <w:sz w:val="24"/>
        </w:rPr>
        <w:t xml:space="preserve">  Desarrollar una estructura de contenido y narrativa para el videojuego que guíe al usuario en la comprensión de los problemas ambientales y sus soluciones.</w:t>
      </w:r>
    </w:p>
    <w:p>
      <w:pPr>
        <w:spacing w:line="360" w:lineRule="auto"/>
        <w:ind w:firstLine="709"/>
      </w:pPr>
      <w:r>
        <w:rPr>
          <w:rFonts w:ascii="Arial" w:hAnsi="Arial"/>
          <w:color w:val="000000"/>
          <w:sz w:val="24"/>
        </w:rPr>
        <w:t xml:space="preserve">  •  </w:t>
      </w:r>
      <w:r>
        <w:rPr>
          <w:rFonts w:ascii="Arial" w:hAnsi="Arial"/>
          <w:color w:val="000000"/>
          <w:sz w:val="24"/>
        </w:rPr>
        <w:t xml:space="preserve">  Establecer criterios para la evaluación de la efectividad del videojuego en el fomento de la conciencia ambiental y el cambio de comportamiento.</w:t>
      </w:r>
    </w:p>
    <w:p/>
    <w:p>
      <w:pPr>
        <w:pStyle w:val="Heading2"/>
      </w:pPr>
      <w:r>
        <w:rPr>
          <w:rFonts w:ascii="Arial" w:hAnsi="Arial"/>
          <w:color w:val="000000"/>
        </w:rPr>
        <w:t xml:space="preserve"> 3. MARCO TEÓRICO</w:t>
      </w:r>
    </w:p>
    <w:p/>
    <w:p>
      <w:pPr>
        <w:pStyle w:val="Heading3"/>
      </w:pPr>
      <w:r>
        <w:rPr>
          <w:rFonts w:ascii="Arial" w:hAnsi="Arial"/>
          <w:color w:val="000000"/>
        </w:rPr>
        <w:t>3.1. Antecedentes de la Investigación</w:t>
      </w:r>
    </w:p>
    <w:p>
      <w:pPr>
        <w:spacing w:before="0" w:after="0" w:line="360" w:lineRule="auto"/>
        <w:ind w:firstLine="709"/>
      </w:pPr>
      <w:r>
        <w:rPr>
          <w:rFonts w:ascii="Arial" w:hAnsi="Arial"/>
          <w:b w:val="0"/>
          <w:i w:val="0"/>
          <w:color w:val="000000"/>
          <w:sz w:val="24"/>
        </w:rPr>
        <w:t>La investigación en videojuegos serios (serious games) y su aplicación en la educación ha crecido exponencialmente. Se han desarrollado juegos para la salud, la formación militar y, pertinentemente, para la educación ambiental. Ejemplos incluyen simuladores de ecosistemas o juegos de gestión de recursos que buscan enseñar sostenibilidad. Asimismo, existen antecedentes en la aplicación de inteligencia artificial en videojuegos para la creación de mundos más reactivos y agentes autónomos, aunque su aplicación específica para simular impactos ambientales a largo plazo y educativos es un campo en desarrollo. Estudios previos en Bolivia y Latinoamérica sobre la efectividad de herramientas digitales en la educación ambiental también proveen una base para entender el contexto local.</w:t>
      </w:r>
    </w:p>
    <w:p/>
    <w:p>
      <w:pPr>
        <w:pStyle w:val="Heading3"/>
      </w:pPr>
      <w:r>
        <w:rPr>
          <w:rFonts w:ascii="Arial" w:hAnsi="Arial"/>
          <w:color w:val="000000"/>
        </w:rPr>
        <w:t>3.2. Bases Teóricas</w:t>
      </w:r>
    </w:p>
    <w:p>
      <w:pPr>
        <w:spacing w:before="0" w:after="0" w:line="360" w:lineRule="auto"/>
        <w:ind w:firstLine="709"/>
      </w:pPr>
      <w:r>
        <w:rPr>
          <w:rFonts w:ascii="Arial" w:hAnsi="Arial"/>
          <w:b w:val="0"/>
          <w:i w:val="0"/>
          <w:color w:val="000000"/>
          <w:sz w:val="24"/>
        </w:rPr>
        <w:t>Este proyecto se fundamenta en varias teorías clave:</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Teoría del Aprendizaje Experiencial (Kolb):</w:t>
      </w:r>
      <w:r>
        <w:rPr>
          <w:rFonts w:ascii="Arial" w:hAnsi="Arial"/>
          <w:color w:val="000000"/>
          <w:sz w:val="24"/>
        </w:rPr>
        <w:t xml:space="preserve"> Postula que el aprendizaje es un proceso donde el conocimiento se crea a través de la transformación de la experiencia. El videojuego proporcionará un ciclo de experiencia concreta, observación reflexiva, conceptualización abstracta y experimentación activa.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Gamificación:</w:t>
      </w:r>
      <w:r>
        <w:rPr>
          <w:rFonts w:ascii="Arial" w:hAnsi="Arial"/>
          <w:color w:val="000000"/>
          <w:sz w:val="24"/>
        </w:rPr>
        <w:t xml:space="preserve"> La aplicación de elementos y técnicas de diseño de juegos en contextos no lúdicos para motivar y comprometer a los usuarios. Esto incluye el uso de recompensas, desafíos, narrativas y feedback inmediato.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Inteligencia Artificial en Videojuegos:</w:t>
      </w:r>
      <w:r>
        <w:rPr>
          <w:rFonts w:ascii="Arial" w:hAnsi="Arial"/>
          <w:color w:val="000000"/>
          <w:sz w:val="24"/>
        </w:rPr>
        <w:t xml:space="preserve"> Incluye el uso de algoritmos para la toma de decisiones de agentes no jugables (NPCs), la generación de entornos dinámicos, sistemas de comportamiento basados en reglas o aprendizaje automático para simular la reactividad del ecosistema del juego.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Pedagogía Ambiental:</w:t>
      </w:r>
      <w:r>
        <w:rPr>
          <w:rFonts w:ascii="Arial" w:hAnsi="Arial"/>
          <w:color w:val="000000"/>
          <w:sz w:val="24"/>
        </w:rPr>
        <w:t xml:space="preserve"> Principios educativos centrados en la formación de valores, actitudes y comportamientos en pro de la conservación y mejora del medio ambiente. Se busca la interdisciplinariedad y la resolución de problemas reales.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Teoría de Sistemas Complejos:</w:t>
      </w:r>
      <w:r>
        <w:rPr>
          <w:rFonts w:ascii="Arial" w:hAnsi="Arial"/>
          <w:color w:val="000000"/>
          <w:sz w:val="24"/>
        </w:rPr>
        <w:t xml:space="preserve"> El mundo del juego se concibe como un sistema donde las acciones del jugador son entradas que generan efectos no lineales y emergentes en el entorno y sus componentes, reflejando la complejidad de los ecosistemas reales.</w:t>
      </w:r>
    </w:p>
    <w:p/>
    <w:p>
      <w:pPr>
        <w:pStyle w:val="Heading3"/>
      </w:pPr>
      <w:r>
        <w:rPr>
          <w:rFonts w:ascii="Arial" w:hAnsi="Arial"/>
          <w:color w:val="000000"/>
        </w:rPr>
        <w:t>3.3. Definición de Términos Básicos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Videojuego con Inteligencia Artificial:</w:t>
      </w:r>
      <w:r>
        <w:rPr>
          <w:rFonts w:ascii="Arial" w:hAnsi="Arial"/>
          <w:color w:val="000000"/>
          <w:sz w:val="24"/>
        </w:rPr>
        <w:t xml:space="preserve"> Software interactivo de entretenimiento o educación que incorpora algoritmos de IA para generar comportamientos autónomos en agentes no jugables, dinámicas de entorno reactivas y adaptativas, o desafíos personalizados.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Educación Ambiental:</w:t>
      </w:r>
      <w:r>
        <w:rPr>
          <w:rFonts w:ascii="Arial" w:hAnsi="Arial"/>
          <w:color w:val="000000"/>
          <w:sz w:val="24"/>
        </w:rPr>
        <w:t xml:space="preserve"> Proceso que busca formar ciudadanos conscientes y comprometidos con la conservación y mejora del medio ambiente, fomentando conocimientos, valores, habilidades y actitudes sostenibles.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Gamificación:</w:t>
      </w:r>
      <w:r>
        <w:rPr>
          <w:rFonts w:ascii="Arial" w:hAnsi="Arial"/>
          <w:color w:val="000000"/>
          <w:sz w:val="24"/>
        </w:rPr>
        <w:t xml:space="preserve"> Uso de elementos y mecánicas de diseño de juegos en contextos no relacionados con juegos para aumentar el compromiso, la motivación y el aprendizaje.</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Agentes Inteligentes (en el juego):</w:t>
      </w:r>
      <w:r>
        <w:rPr>
          <w:rFonts w:ascii="Arial" w:hAnsi="Arial"/>
          <w:color w:val="000000"/>
          <w:sz w:val="24"/>
        </w:rPr>
        <w:t xml:space="preserve"> Entidades virtuales dentro del videojuego que exhiben autonomía y comportamientos complejos, capaces de percibir su entorno y actuar sobre él para lograr objetivos, como animales o incluso elementos climáticos que reaccionan a la contaminación.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Mundo Dinámico:</w:t>
      </w:r>
      <w:r>
        <w:rPr>
          <w:rFonts w:ascii="Arial" w:hAnsi="Arial"/>
          <w:color w:val="000000"/>
          <w:sz w:val="24"/>
        </w:rPr>
        <w:t xml:space="preserve"> Entorno virtual del videojuego que cambia y evoluciona en tiempo real en respuesta a las acciones del jugador, condiciones predefinidas o eventos generados por la IA.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Reciclaje, Reutilización, Reducción (3R):</w:t>
      </w:r>
      <w:r>
        <w:rPr>
          <w:rFonts w:ascii="Arial" w:hAnsi="Arial"/>
          <w:color w:val="000000"/>
          <w:sz w:val="24"/>
        </w:rPr>
        <w:t xml:space="preserve"> Principios fundamentales de la gestión de residuos: transformar desechos en nuevos productos, dar un segundo uso a objetos, y disminuir la generación de basura, respectivamente.</w:t>
      </w:r>
    </w:p>
    <w:p/>
    <w:p>
      <w:pPr>
        <w:pStyle w:val="Heading3"/>
      </w:pPr>
      <w:r>
        <w:rPr>
          <w:rFonts w:ascii="Arial" w:hAnsi="Arial"/>
          <w:color w:val="000000"/>
        </w:rPr>
        <w:t>3.4. Hipótesis o Supuestos (Si aplica)</w:t>
      </w:r>
    </w:p>
    <w:p>
      <w:pPr>
        <w:spacing w:before="0" w:after="0" w:line="360" w:lineRule="auto"/>
        <w:ind w:firstLine="709"/>
      </w:pPr>
      <w:r>
        <w:rPr>
          <w:rFonts w:ascii="Arial" w:hAnsi="Arial"/>
          <w:b/>
          <w:i w:val="0"/>
          <w:color w:val="000000"/>
          <w:sz w:val="24"/>
        </w:rPr>
        <w:t>Hipótesis:</w:t>
      </w:r>
      <w:r>
        <w:rPr>
          <w:rFonts w:ascii="Arial" w:hAnsi="Arial"/>
          <w:b w:val="0"/>
          <w:i w:val="0"/>
          <w:color w:val="000000"/>
          <w:sz w:val="24"/>
        </w:rPr>
        <w:t xml:space="preserve"> La interacción prolongada con un videojuego ambiental que incorpora inteligencia artificial para simular las consecuencias de las acciones del usuario resultará en un incremento significativo de la conciencia ambiental y una mayor propensión a adoptar prácticas sostenibles en la vida real, en comparación con la educación ambiental tradicional.</w:t>
      </w:r>
    </w:p>
    <w:p/>
    <w:p>
      <w:pPr>
        <w:pStyle w:val="Heading2"/>
      </w:pPr>
      <w:r>
        <w:rPr>
          <w:rFonts w:ascii="Arial" w:hAnsi="Arial"/>
          <w:color w:val="000000"/>
        </w:rPr>
        <w:t xml:space="preserve"> 4. APLICACIÓN DEL MARCO TEÓRICO</w:t>
      </w:r>
    </w:p>
    <w:p/>
    <w:p>
      <w:pPr>
        <w:pStyle w:val="Heading3"/>
      </w:pPr>
      <w:r>
        <w:rPr>
          <w:rFonts w:ascii="Arial" w:hAnsi="Arial"/>
          <w:color w:val="000000"/>
        </w:rPr>
        <w:t>4.1. Diseño y Tipo de Investigación</w:t>
      </w:r>
    </w:p>
    <w:p>
      <w:pPr>
        <w:spacing w:before="0" w:after="0" w:line="360" w:lineRule="auto"/>
        <w:ind w:firstLine="709"/>
      </w:pPr>
      <w:r>
        <w:rPr>
          <w:rFonts w:ascii="Arial" w:hAnsi="Arial"/>
          <w:b w:val="0"/>
          <w:i w:val="0"/>
          <w:color w:val="000000"/>
          <w:sz w:val="24"/>
        </w:rPr>
        <w:t>La investigación será de un enfoque mixto. En su fase de diseño y conceptualización, será principalmente cualitativa, explorando las posibilidades de integración de la IA y la pedagogía ambiental en un videojuego. Para una futura fase de validación y prueba, se adoptaría un diseño cuasiexperimental, con un grupo experimental (que use el videojuego) y un grupo de control (que reciba educación tradicional), para medir el impacto en la conciencia y comportamiento ambiental. El alcance será descriptivo en la fase de diseño y correlacional/explicativo en la fase de evaluación.</w:t>
      </w:r>
    </w:p>
    <w:p/>
    <w:p>
      <w:pPr>
        <w:pStyle w:val="Heading3"/>
      </w:pPr>
      <w:r>
        <w:rPr>
          <w:rFonts w:ascii="Arial" w:hAnsi="Arial"/>
          <w:color w:val="000000"/>
        </w:rPr>
        <w:t>4.2. Población y Muestra</w:t>
      </w:r>
    </w:p>
    <w:p>
      <w:pPr>
        <w:spacing w:before="0" w:after="0" w:line="360" w:lineRule="auto"/>
        <w:ind w:firstLine="709"/>
      </w:pPr>
      <w:r>
        <w:rPr>
          <w:rFonts w:ascii="Arial" w:hAnsi="Arial"/>
          <w:b w:val="0"/>
          <w:i w:val="0"/>
          <w:color w:val="000000"/>
          <w:sz w:val="24"/>
        </w:rPr>
        <w:t>La población objetivo para la aplicación del videojuego serán estudiantes de nivel primaria y secundaria de unidades educativas en El Alto, Bolivia, con edades comprendidas entre 8 y 16 años. Para una eventual fase de prueba piloto, se seleccionaría una muestra no probabilística por conveniencia de al menos dos unidades educativas, procurando un balance entre áreas urbanas y periurbanas, con un mínimo de 30 estudiantes por grupo.</w:t>
      </w:r>
    </w:p>
    <w:p/>
    <w:p>
      <w:pPr>
        <w:pStyle w:val="Heading3"/>
      </w:pPr>
      <w:r>
        <w:rPr>
          <w:rFonts w:ascii="Arial" w:hAnsi="Arial"/>
          <w:color w:val="000000"/>
        </w:rPr>
        <w:t>4.3. Técnicas e Instrumentos de Recolección de Datos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Encuestas pre y post-intervención:</w:t>
      </w:r>
      <w:r>
        <w:rPr>
          <w:rFonts w:ascii="Arial" w:hAnsi="Arial"/>
          <w:color w:val="000000"/>
          <w:sz w:val="24"/>
        </w:rPr>
        <w:t xml:space="preserve"> Cuestionarios estructurados para medir el nivel de conocimiento, actitudes y percepciones ambientales antes y después de la interacción con el videojuego o la educación tradicional.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Guías de observación:</w:t>
      </w:r>
      <w:r>
        <w:rPr>
          <w:rFonts w:ascii="Arial" w:hAnsi="Arial"/>
          <w:color w:val="000000"/>
          <w:sz w:val="24"/>
        </w:rPr>
        <w:t xml:space="preserve"> Para registrar el comportamiento y la interacción de los estudiantes durante el juego o las clases.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Grupos focales/Entrevistas:</w:t>
      </w:r>
      <w:r>
        <w:rPr>
          <w:rFonts w:ascii="Arial" w:hAnsi="Arial"/>
          <w:color w:val="000000"/>
          <w:sz w:val="24"/>
        </w:rPr>
        <w:t xml:space="preserve"> Con estudiantes y docentes para recoger feedback cualitativo sobre la experiencia, la usabilidad del juego y su impacto percibido.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Análisis de datos de juego:</w:t>
      </w:r>
      <w:r>
        <w:rPr>
          <w:rFonts w:ascii="Arial" w:hAnsi="Arial"/>
          <w:color w:val="000000"/>
          <w:sz w:val="24"/>
        </w:rPr>
        <w:t xml:space="preserve"> Si se implementa un prototipo, se registrarán métricas como tiempo de juego, decisiones tomadas, progreso en el juego y cumplimiento de objetivos ambientales para evaluar el compromiso y la comprensión.</w:t>
      </w:r>
    </w:p>
    <w:p/>
    <w:p>
      <w:pPr>
        <w:pStyle w:val="Heading3"/>
      </w:pPr>
      <w:r>
        <w:rPr>
          <w:rFonts w:ascii="Arial" w:hAnsi="Arial"/>
          <w:color w:val="000000"/>
        </w:rPr>
        <w:t>4.4. Procedimiento de Aplicación y Desarrollo</w:t>
      </w:r>
    </w:p>
    <w:p>
      <w:pPr>
        <w:spacing w:before="0" w:after="0" w:line="360" w:lineRule="auto"/>
        <w:ind w:firstLine="709"/>
      </w:pPr>
      <w:r>
        <w:rPr>
          <w:rFonts w:ascii="Arial" w:hAnsi="Arial"/>
          <w:b w:val="0"/>
          <w:i w:val="0"/>
          <w:color w:val="000000"/>
          <w:sz w:val="24"/>
        </w:rPr>
        <w:t xml:space="preserve">1.  </w:t>
      </w:r>
      <w:r>
        <w:rPr>
          <w:rFonts w:ascii="Arial" w:hAnsi="Arial"/>
          <w:b/>
          <w:i w:val="0"/>
          <w:color w:val="000000"/>
          <w:sz w:val="24"/>
        </w:rPr>
        <w:t>Fase de Diseño Conceptual:</w:t>
      </w:r>
    </w:p>
    <w:p>
      <w:pPr>
        <w:spacing w:line="360" w:lineRule="auto"/>
        <w:ind w:firstLine="709"/>
      </w:pPr>
      <w:r>
        <w:rPr>
          <w:rFonts w:ascii="Arial" w:hAnsi="Arial"/>
          <w:color w:val="000000"/>
          <w:sz w:val="24"/>
        </w:rPr>
        <w:t xml:space="preserve">  •  </w:t>
      </w:r>
      <w:r>
        <w:rPr>
          <w:rFonts w:ascii="Arial" w:hAnsi="Arial"/>
          <w:color w:val="000000"/>
          <w:sz w:val="24"/>
        </w:rPr>
        <w:t xml:space="preserve">  Revisión bibliográfica exhaustiva de gamificación, IA en juegos y educación ambiental.</w:t>
      </w:r>
    </w:p>
    <w:p>
      <w:pPr>
        <w:spacing w:line="360" w:lineRule="auto"/>
        <w:ind w:firstLine="709"/>
      </w:pPr>
      <w:r>
        <w:rPr>
          <w:rFonts w:ascii="Arial" w:hAnsi="Arial"/>
          <w:color w:val="000000"/>
          <w:sz w:val="24"/>
        </w:rPr>
        <w:t xml:space="preserve">  •  </w:t>
      </w:r>
      <w:r>
        <w:rPr>
          <w:rFonts w:ascii="Arial" w:hAnsi="Arial"/>
          <w:color w:val="000000"/>
          <w:sz w:val="24"/>
        </w:rPr>
        <w:t xml:space="preserve">  Definición de las mecánicas de juego y el modelo de IA para simular el entorno y los agentes.</w:t>
      </w:r>
    </w:p>
    <w:p>
      <w:pPr>
        <w:spacing w:line="360" w:lineRule="auto"/>
        <w:ind w:firstLine="709"/>
      </w:pPr>
      <w:r>
        <w:rPr>
          <w:rFonts w:ascii="Arial" w:hAnsi="Arial"/>
          <w:color w:val="000000"/>
          <w:sz w:val="24"/>
        </w:rPr>
        <w:t xml:space="preserve">  •  </w:t>
      </w:r>
      <w:r>
        <w:rPr>
          <w:rFonts w:ascii="Arial" w:hAnsi="Arial"/>
          <w:color w:val="000000"/>
          <w:sz w:val="24"/>
        </w:rPr>
        <w:t xml:space="preserve">  Diseño de los niveles y escenarios, integrando desafíos de las 3R.</w:t>
      </w:r>
    </w:p>
    <w:p>
      <w:pPr>
        <w:spacing w:line="360" w:lineRule="auto"/>
        <w:ind w:firstLine="709"/>
      </w:pPr>
      <w:r>
        <w:rPr>
          <w:rFonts w:ascii="Arial" w:hAnsi="Arial"/>
          <w:color w:val="000000"/>
          <w:sz w:val="24"/>
        </w:rPr>
        <w:t xml:space="preserve">  •  </w:t>
      </w:r>
      <w:r>
        <w:rPr>
          <w:rFonts w:ascii="Arial" w:hAnsi="Arial"/>
          <w:color w:val="000000"/>
          <w:sz w:val="24"/>
        </w:rPr>
        <w:t xml:space="preserve">  Desarrollo de un prototipo interactivo (si los recursos lo permiten) para validar conceptos.</w:t>
      </w:r>
    </w:p>
    <w:p>
      <w:pPr>
        <w:spacing w:before="0" w:after="0" w:line="360" w:lineRule="auto"/>
        <w:ind w:firstLine="709"/>
      </w:pPr>
      <w:r>
        <w:rPr>
          <w:rFonts w:ascii="Arial" w:hAnsi="Arial"/>
          <w:b w:val="0"/>
          <w:i w:val="0"/>
          <w:color w:val="000000"/>
          <w:sz w:val="24"/>
        </w:rPr>
        <w:t xml:space="preserve">2.  </w:t>
      </w:r>
      <w:r>
        <w:rPr>
          <w:rFonts w:ascii="Arial" w:hAnsi="Arial"/>
          <w:b/>
          <w:i w:val="0"/>
          <w:color w:val="000000"/>
          <w:sz w:val="24"/>
        </w:rPr>
        <w:t>Fase de Desarrollo (propuesta):</w:t>
      </w:r>
    </w:p>
    <w:p>
      <w:pPr>
        <w:spacing w:line="360" w:lineRule="auto"/>
        <w:ind w:firstLine="709"/>
      </w:pPr>
      <w:r>
        <w:rPr>
          <w:rFonts w:ascii="Arial" w:hAnsi="Arial"/>
          <w:color w:val="000000"/>
          <w:sz w:val="24"/>
        </w:rPr>
        <w:t xml:space="preserve">  •  </w:t>
      </w:r>
      <w:r>
        <w:rPr>
          <w:rFonts w:ascii="Arial" w:hAnsi="Arial"/>
          <w:color w:val="000000"/>
          <w:sz w:val="24"/>
        </w:rPr>
        <w:t xml:space="preserve">  Programación del motor del juego y la inteligencia artificial.</w:t>
      </w:r>
    </w:p>
    <w:p>
      <w:pPr>
        <w:spacing w:line="360" w:lineRule="auto"/>
        <w:ind w:firstLine="709"/>
      </w:pPr>
      <w:r>
        <w:rPr>
          <w:rFonts w:ascii="Arial" w:hAnsi="Arial"/>
          <w:color w:val="000000"/>
          <w:sz w:val="24"/>
        </w:rPr>
        <w:t xml:space="preserve">  •  </w:t>
      </w:r>
      <w:r>
        <w:rPr>
          <w:rFonts w:ascii="Arial" w:hAnsi="Arial"/>
          <w:color w:val="000000"/>
          <w:sz w:val="24"/>
        </w:rPr>
        <w:t xml:space="preserve">  Creación de activos gráficos y sonoros.</w:t>
      </w:r>
    </w:p>
    <w:p>
      <w:pPr>
        <w:spacing w:line="360" w:lineRule="auto"/>
        <w:ind w:firstLine="709"/>
      </w:pPr>
      <w:r>
        <w:rPr>
          <w:rFonts w:ascii="Arial" w:hAnsi="Arial"/>
          <w:color w:val="000000"/>
          <w:sz w:val="24"/>
        </w:rPr>
        <w:t xml:space="preserve">  •  </w:t>
      </w:r>
      <w:r>
        <w:rPr>
          <w:rFonts w:ascii="Arial" w:hAnsi="Arial"/>
          <w:color w:val="000000"/>
          <w:sz w:val="24"/>
        </w:rPr>
        <w:t xml:space="preserve">  Implementación de la interfaz de usuario y sistemas de feedback.</w:t>
      </w:r>
    </w:p>
    <w:p>
      <w:pPr>
        <w:spacing w:before="0" w:after="0" w:line="360" w:lineRule="auto"/>
        <w:ind w:firstLine="709"/>
      </w:pPr>
      <w:r>
        <w:rPr>
          <w:rFonts w:ascii="Arial" w:hAnsi="Arial"/>
          <w:b w:val="0"/>
          <w:i w:val="0"/>
          <w:color w:val="000000"/>
          <w:sz w:val="24"/>
        </w:rPr>
        <w:t xml:space="preserve">3.  </w:t>
      </w:r>
      <w:r>
        <w:rPr>
          <w:rFonts w:ascii="Arial" w:hAnsi="Arial"/>
          <w:b/>
          <w:i w:val="0"/>
          <w:color w:val="000000"/>
          <w:sz w:val="24"/>
        </w:rPr>
        <w:t>Fase de Aplicación y Evaluación (futura):</w:t>
      </w:r>
    </w:p>
    <w:p>
      <w:pPr>
        <w:spacing w:line="360" w:lineRule="auto"/>
        <w:ind w:firstLine="709"/>
      </w:pPr>
      <w:r>
        <w:rPr>
          <w:rFonts w:ascii="Arial" w:hAnsi="Arial"/>
          <w:color w:val="000000"/>
          <w:sz w:val="24"/>
        </w:rPr>
        <w:t xml:space="preserve">  •  </w:t>
      </w:r>
      <w:r>
        <w:rPr>
          <w:rFonts w:ascii="Arial" w:hAnsi="Arial"/>
          <w:color w:val="000000"/>
          <w:sz w:val="24"/>
        </w:rPr>
        <w:t xml:space="preserve">  Capacitación a docentes sobre el uso del videojuego.</w:t>
      </w:r>
    </w:p>
    <w:p>
      <w:pPr>
        <w:spacing w:line="360" w:lineRule="auto"/>
        <w:ind w:firstLine="709"/>
      </w:pPr>
      <w:r>
        <w:rPr>
          <w:rFonts w:ascii="Arial" w:hAnsi="Arial"/>
          <w:color w:val="000000"/>
          <w:sz w:val="24"/>
        </w:rPr>
        <w:t xml:space="preserve">  •  </w:t>
      </w:r>
      <w:r>
        <w:rPr>
          <w:rFonts w:ascii="Arial" w:hAnsi="Arial"/>
          <w:color w:val="000000"/>
          <w:sz w:val="24"/>
        </w:rPr>
        <w:t xml:space="preserve">  Aplicación de la encuesta pre-intervención a los grupos.</w:t>
      </w:r>
    </w:p>
    <w:p>
      <w:pPr>
        <w:spacing w:line="360" w:lineRule="auto"/>
        <w:ind w:firstLine="709"/>
      </w:pPr>
      <w:r>
        <w:rPr>
          <w:rFonts w:ascii="Arial" w:hAnsi="Arial"/>
          <w:color w:val="000000"/>
          <w:sz w:val="24"/>
        </w:rPr>
        <w:t xml:space="preserve">  •  </w:t>
      </w:r>
      <w:r>
        <w:rPr>
          <w:rFonts w:ascii="Arial" w:hAnsi="Arial"/>
          <w:color w:val="000000"/>
          <w:sz w:val="24"/>
        </w:rPr>
        <w:t xml:space="preserve">  Intervención: Grupo experimental juega el videojuego; grupo de control recibe educación tradicional.</w:t>
      </w:r>
    </w:p>
    <w:p>
      <w:pPr>
        <w:spacing w:line="360" w:lineRule="auto"/>
        <w:ind w:firstLine="709"/>
      </w:pPr>
      <w:r>
        <w:rPr>
          <w:rFonts w:ascii="Arial" w:hAnsi="Arial"/>
          <w:color w:val="000000"/>
          <w:sz w:val="24"/>
        </w:rPr>
        <w:t xml:space="preserve">  •  </w:t>
      </w:r>
      <w:r>
        <w:rPr>
          <w:rFonts w:ascii="Arial" w:hAnsi="Arial"/>
          <w:color w:val="000000"/>
          <w:sz w:val="24"/>
        </w:rPr>
        <w:t xml:space="preserve">  Aplicación de la encuesta post-intervención.</w:t>
      </w:r>
    </w:p>
    <w:p>
      <w:pPr>
        <w:spacing w:line="360" w:lineRule="auto"/>
        <w:ind w:firstLine="709"/>
      </w:pPr>
      <w:r>
        <w:rPr>
          <w:rFonts w:ascii="Arial" w:hAnsi="Arial"/>
          <w:color w:val="000000"/>
          <w:sz w:val="24"/>
        </w:rPr>
        <w:t xml:space="preserve">  •  </w:t>
      </w:r>
      <w:r>
        <w:rPr>
          <w:rFonts w:ascii="Arial" w:hAnsi="Arial"/>
          <w:color w:val="000000"/>
          <w:sz w:val="24"/>
        </w:rPr>
        <w:t xml:space="preserve">  Realización de grupos focales y entrevistas.</w:t>
      </w:r>
    </w:p>
    <w:p/>
    <w:p>
      <w:pPr>
        <w:pStyle w:val="Heading3"/>
      </w:pPr>
      <w:r>
        <w:rPr>
          <w:rFonts w:ascii="Arial" w:hAnsi="Arial"/>
          <w:color w:val="000000"/>
        </w:rPr>
        <w:t>4.5. Análisis e Interpretación de Resultados</w:t>
      </w:r>
    </w:p>
    <w:p>
      <w:pPr>
        <w:spacing w:before="0" w:after="0" w:line="360" w:lineRule="auto"/>
        <w:ind w:firstLine="709"/>
      </w:pPr>
      <w:r>
        <w:rPr>
          <w:rFonts w:ascii="Arial" w:hAnsi="Arial"/>
          <w:b w:val="0"/>
          <w:i w:val="0"/>
          <w:color w:val="000000"/>
          <w:sz w:val="24"/>
        </w:rPr>
        <w:t>Los datos cuantitativos de las encuestas (pre y post) se analizarán utilizando estadística descriptiva (medias, desviaciones estándar) e inferencial (pruebas t de Student o ANOVA) para comparar las diferencias entre los grupos y evaluar el impacto del videojuego en el conocimiento y las actitudes ambientales. Los datos cualitativos de grupos focales, entrevistas y observaciones se analizarán mediante codificación temática para identificar patrones, percepciones y sugerencias de mejora. La interpretación de los resultados se contrastará directamente con las bases teóricas y la hipótesis planteada, buscando determinar si el diseño conceptual del videojuego ofrece una alternativa efectiva y viable para la educación ambiental. Se presentarán los hallazgos a través de tablas, gráficas y descripciones detalladas.</w:t>
      </w:r>
    </w:p>
    <w:p/>
    <w:p>
      <w:pPr>
        <w:pStyle w:val="Heading2"/>
      </w:pPr>
      <w:r>
        <w:rPr>
          <w:rFonts w:ascii="Arial" w:hAnsi="Arial"/>
          <w:color w:val="000000"/>
        </w:rPr>
        <w:t xml:space="preserve"> 5. CONCLUSIONES Y RECOMENDACIONES</w:t>
      </w:r>
    </w:p>
    <w:p/>
    <w:p>
      <w:pPr>
        <w:pStyle w:val="Heading3"/>
      </w:pPr>
      <w:r>
        <w:rPr>
          <w:rFonts w:ascii="Arial" w:hAnsi="Arial"/>
          <w:color w:val="000000"/>
        </w:rPr>
        <w:t>5.1. Conclusiones</w:t>
      </w:r>
    </w:p>
    <w:p>
      <w:pPr>
        <w:spacing w:before="0" w:after="0" w:line="360" w:lineRule="auto"/>
        <w:ind w:firstLine="709"/>
      </w:pPr>
      <w:r>
        <w:rPr>
          <w:rFonts w:ascii="Arial" w:hAnsi="Arial"/>
          <w:b w:val="0"/>
          <w:i w:val="0"/>
          <w:color w:val="000000"/>
          <w:sz w:val="24"/>
        </w:rPr>
        <w:t>El diseño conceptual de un videojuego con inteligencia artificial para la educación ambiental demuestra ser una propuesta prometedora y coherente con los principios del aprendizaje experiencial y la gamificación. Se ha establecido que la IA puede efectivamente simular la reactividad de un ecosistema y agentes, ofreciendo un entorno dinámico que responde a las decisiones del jugador en relación con las 3R. Este enfoque interactivo tiene el potencial de superar las limitaciones de la educación tradicional al proporcionar un feedback inmediato y visible, fomentando una comprensión más profunda y un compromiso activo con la sostenibilidad. La estructura propuesta del videojuego busca integrar de forma significativa conceptos ambientales en mecánicas lúdicas, lo cual se alinea con el objetivo general de fomentar la conciencia ambiental a través de la interacción.</w:t>
      </w:r>
    </w:p>
    <w:p/>
    <w:p>
      <w:pPr>
        <w:pStyle w:val="Heading3"/>
      </w:pPr>
      <w:r>
        <w:rPr>
          <w:rFonts w:ascii="Arial" w:hAnsi="Arial"/>
          <w:color w:val="000000"/>
        </w:rPr>
        <w:t>5.2.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Para futuras investigaciones:</w:t>
      </w:r>
      <w:r>
        <w:rPr>
          <w:rFonts w:ascii="Arial" w:hAnsi="Arial"/>
          <w:color w:val="000000"/>
          <w:sz w:val="24"/>
        </w:rPr>
        <w:t xml:space="preserve"> Se recomienda la implementación de un prototipo funcional del videojuego para realizar pruebas piloto con estudiantes de las unidades educativas de El Alto y validar empíricamente la hipótesis planteada.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Desarrollo técnico:</w:t>
      </w:r>
      <w:r>
        <w:rPr>
          <w:rFonts w:ascii="Arial" w:hAnsi="Arial"/>
          <w:color w:val="000000"/>
          <w:sz w:val="24"/>
        </w:rPr>
        <w:t xml:space="preserve"> Explorar el uso de modelos de IA más avanzados, como el aprendizaje por refuerzo, para mejorar la autonomía y la complejidad de los agentes y la simulación del entorno.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Expansión de contenido:</w:t>
      </w:r>
      <w:r>
        <w:rPr>
          <w:rFonts w:ascii="Arial" w:hAnsi="Arial"/>
          <w:color w:val="000000"/>
          <w:sz w:val="24"/>
        </w:rPr>
        <w:t xml:space="preserve"> Considerar la inclusión de otras problemáticas ambientales globales (cambio climático, pérdida de biodiversidad) una vez consolidada la base de las 3R.</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Colaboración interdisciplinaria:</w:t>
      </w:r>
      <w:r>
        <w:rPr>
          <w:rFonts w:ascii="Arial" w:hAnsi="Arial"/>
          <w:color w:val="000000"/>
          <w:sz w:val="24"/>
        </w:rPr>
        <w:t xml:space="preserve"> Fomentar la colaboración continua entre pedagogos, ingenieros de sistemas y expertos ambientales para optimizar el diseño pedagógico y técnico del juego.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Accesibilidad:</w:t>
      </w:r>
      <w:r>
        <w:rPr>
          <w:rFonts w:ascii="Arial" w:hAnsi="Arial"/>
          <w:color w:val="000000"/>
          <w:sz w:val="24"/>
        </w:rPr>
        <w:t xml:space="preserve"> Asegurar que el videojuego sea accesible y adaptable a diferentes niveles de habilidad tecnológica y recursos en las unidades educativas.</w:t>
      </w:r>
    </w:p>
    <w:p/>
    <w:p>
      <w:pPr>
        <w:pStyle w:val="Heading2"/>
      </w:pPr>
      <w:r>
        <w:rPr>
          <w:rFonts w:ascii="Arial" w:hAnsi="Arial"/>
          <w:color w:val="000000"/>
        </w:rPr>
        <w:t xml:space="preserve"> 6. BIBLIOGRAFÍA</w:t>
      </w:r>
    </w:p>
    <w:p/>
    <w:p>
      <w:pPr>
        <w:pStyle w:val="Heading3"/>
      </w:pPr>
      <w:r>
        <w:rPr>
          <w:rFonts w:ascii="Arial" w:hAnsi="Arial"/>
          <w:color w:val="000000"/>
        </w:rPr>
        <w:t>6.1. Fuentes Bibliográficas</w:t>
      </w:r>
    </w:p>
    <w:p>
      <w:pPr>
        <w:spacing w:line="360" w:lineRule="auto"/>
        <w:ind w:firstLine="709"/>
      </w:pPr>
      <w:r>
        <w:rPr>
          <w:rFonts w:ascii="Arial" w:hAnsi="Arial"/>
          <w:color w:val="000000"/>
          <w:sz w:val="24"/>
        </w:rPr>
        <w:t xml:space="preserve">  •  </w:t>
      </w:r>
      <w:r>
        <w:rPr>
          <w:rFonts w:ascii="Arial" w:hAnsi="Arial"/>
          <w:color w:val="000000"/>
          <w:sz w:val="24"/>
        </w:rPr>
        <w:t xml:space="preserve">  Kolb, D. A. (1984). </w:t>
      </w:r>
      <w:r>
        <w:rPr>
          <w:rFonts w:ascii="Arial" w:hAnsi="Arial"/>
          <w:i/>
          <w:color w:val="000000"/>
          <w:sz w:val="24"/>
        </w:rPr>
        <w:t>Experiential learning: Experience as the source of learning and development</w:t>
      </w:r>
      <w:r>
        <w:rPr>
          <w:rFonts w:ascii="Arial" w:hAnsi="Arial"/>
          <w:color w:val="000000"/>
          <w:sz w:val="24"/>
        </w:rPr>
        <w:t>. Prentice-Hall.</w:t>
      </w:r>
    </w:p>
    <w:p>
      <w:pPr>
        <w:spacing w:line="360" w:lineRule="auto"/>
        <w:ind w:firstLine="709"/>
      </w:pPr>
      <w:r>
        <w:rPr>
          <w:rFonts w:ascii="Arial" w:hAnsi="Arial"/>
          <w:color w:val="000000"/>
          <w:sz w:val="24"/>
        </w:rPr>
        <w:t xml:space="preserve">  •  </w:t>
      </w:r>
      <w:r>
        <w:rPr>
          <w:rFonts w:ascii="Arial" w:hAnsi="Arial"/>
          <w:color w:val="000000"/>
          <w:sz w:val="24"/>
        </w:rPr>
        <w:t xml:space="preserve">  Sicart, M. (2008). </w:t>
      </w:r>
      <w:r>
        <w:rPr>
          <w:rFonts w:ascii="Arial" w:hAnsi="Arial"/>
          <w:i/>
          <w:color w:val="000000"/>
          <w:sz w:val="24"/>
        </w:rPr>
        <w:t>The ethics of computer games</w:t>
      </w:r>
      <w:r>
        <w:rPr>
          <w:rFonts w:ascii="Arial" w:hAnsi="Arial"/>
          <w:color w:val="000000"/>
          <w:sz w:val="24"/>
        </w:rPr>
        <w:t>. MIT Press.</w:t>
      </w:r>
    </w:p>
    <w:p>
      <w:pPr>
        <w:spacing w:line="360" w:lineRule="auto"/>
        <w:ind w:firstLine="709"/>
      </w:pPr>
      <w:r>
        <w:rPr>
          <w:rFonts w:ascii="Arial" w:hAnsi="Arial"/>
          <w:color w:val="000000"/>
          <w:sz w:val="24"/>
        </w:rPr>
        <w:t xml:space="preserve">  •  </w:t>
      </w:r>
      <w:r>
        <w:rPr>
          <w:rFonts w:ascii="Arial" w:hAnsi="Arial"/>
          <w:color w:val="000000"/>
          <w:sz w:val="24"/>
        </w:rPr>
        <w:t xml:space="preserve">  Prensky, M. (2001). </w:t>
      </w:r>
      <w:r>
        <w:rPr>
          <w:rFonts w:ascii="Arial" w:hAnsi="Arial"/>
          <w:i/>
          <w:color w:val="000000"/>
          <w:sz w:val="24"/>
        </w:rPr>
        <w:t>Digital Game-Based Learning</w:t>
      </w:r>
      <w:r>
        <w:rPr>
          <w:rFonts w:ascii="Arial" w:hAnsi="Arial"/>
          <w:color w:val="000000"/>
          <w:sz w:val="24"/>
        </w:rPr>
        <w:t>. McGraw-Hill.</w:t>
      </w:r>
    </w:p>
    <w:p>
      <w:pPr>
        <w:spacing w:line="360" w:lineRule="auto"/>
        <w:ind w:firstLine="709"/>
      </w:pPr>
      <w:r>
        <w:rPr>
          <w:rFonts w:ascii="Arial" w:hAnsi="Arial"/>
          <w:color w:val="000000"/>
          <w:sz w:val="24"/>
        </w:rPr>
        <w:t xml:space="preserve">  •  </w:t>
      </w:r>
      <w:r>
        <w:rPr>
          <w:rFonts w:ascii="Arial" w:hAnsi="Arial"/>
          <w:color w:val="000000"/>
          <w:sz w:val="24"/>
        </w:rPr>
        <w:t xml:space="preserve">  Caillois, R. (1958). </w:t>
      </w:r>
      <w:r>
        <w:rPr>
          <w:rFonts w:ascii="Arial" w:hAnsi="Arial"/>
          <w:i/>
          <w:color w:val="000000"/>
          <w:sz w:val="24"/>
        </w:rPr>
        <w:t>Man, Play and Games</w:t>
      </w:r>
      <w:r>
        <w:rPr>
          <w:rFonts w:ascii="Arial" w:hAnsi="Arial"/>
          <w:color w:val="000000"/>
          <w:sz w:val="24"/>
        </w:rPr>
        <w:t>. University of Illinois Press.</w:t>
      </w:r>
    </w:p>
    <w:p/>
    <w:p>
      <w:pPr>
        <w:pStyle w:val="Heading3"/>
      </w:pPr>
      <w:r>
        <w:rPr>
          <w:rFonts w:ascii="Arial" w:hAnsi="Arial"/>
          <w:color w:val="000000"/>
        </w:rPr>
        <w:t>6.2. Fuentes Electrónicas</w:t>
      </w:r>
    </w:p>
    <w:p>
      <w:pPr>
        <w:spacing w:line="360" w:lineRule="auto"/>
        <w:ind w:firstLine="709"/>
      </w:pPr>
      <w:r>
        <w:rPr>
          <w:rFonts w:ascii="Arial" w:hAnsi="Arial"/>
          <w:color w:val="000000"/>
          <w:sz w:val="24"/>
        </w:rPr>
        <w:t xml:space="preserve">  •  </w:t>
      </w:r>
      <w:r>
        <w:rPr>
          <w:rFonts w:ascii="Arial" w:hAnsi="Arial"/>
          <w:color w:val="000000"/>
          <w:sz w:val="24"/>
        </w:rPr>
        <w:t xml:space="preserve">  Bogost, I. (2007). </w:t>
      </w:r>
      <w:r>
        <w:rPr>
          <w:rFonts w:ascii="Arial" w:hAnsi="Arial"/>
          <w:i/>
          <w:color w:val="000000"/>
          <w:sz w:val="24"/>
        </w:rPr>
        <w:t>Persuasive Games: The Expressive Power of Videogames</w:t>
      </w:r>
      <w:r>
        <w:rPr>
          <w:rFonts w:ascii="Arial" w:hAnsi="Arial"/>
          <w:color w:val="000000"/>
          <w:sz w:val="24"/>
        </w:rPr>
        <w:t>. The MIT Press. Disponible en: [https://mitpress.mit.edu/books/persuasive-games](https://mitpress.mit.edu/books/persuasive-games)</w:t>
      </w:r>
    </w:p>
    <w:p>
      <w:pPr>
        <w:spacing w:line="360" w:lineRule="auto"/>
        <w:ind w:firstLine="709"/>
      </w:pPr>
      <w:r>
        <w:rPr>
          <w:rFonts w:ascii="Arial" w:hAnsi="Arial"/>
          <w:color w:val="000000"/>
          <w:sz w:val="24"/>
        </w:rPr>
        <w:t xml:space="preserve">  •  </w:t>
      </w:r>
      <w:r>
        <w:rPr>
          <w:rFonts w:ascii="Arial" w:hAnsi="Arial"/>
          <w:color w:val="000000"/>
          <w:sz w:val="24"/>
        </w:rPr>
        <w:t xml:space="preserve">  Artículos de revistas científicas sobre gamificación en educación y aplicaciones de IA en videojuegos (se especificarán en la fase de desarrollo).</w:t>
      </w:r>
    </w:p>
    <w:p>
      <w:pPr>
        <w:spacing w:line="360" w:lineRule="auto"/>
        <w:ind w:firstLine="709"/>
      </w:pPr>
      <w:r>
        <w:rPr>
          <w:rFonts w:ascii="Arial" w:hAnsi="Arial"/>
          <w:color w:val="000000"/>
          <w:sz w:val="24"/>
        </w:rPr>
        <w:t xml:space="preserve">  •  </w:t>
      </w:r>
      <w:r>
        <w:rPr>
          <w:rFonts w:ascii="Arial" w:hAnsi="Arial"/>
          <w:color w:val="000000"/>
          <w:sz w:val="24"/>
        </w:rPr>
        <w:t xml:space="preserve">  Tesis digitales relacionadas con educación ambiental y tecnología en Bolivia (se especificarán tras una búsqueda dirigida).</w:t>
      </w:r>
    </w:p>
    <w:p/>
    <w:p>
      <w:pPr>
        <w:spacing w:before="0" w:after="0" w:line="360" w:lineRule="auto"/>
        <w:ind w:firstLine="709"/>
      </w:pPr>
      <w:r>
        <w:rPr>
          <w:rFonts w:ascii="Arial" w:hAnsi="Arial"/>
          <w:b w:val="0"/>
          <w:i/>
          <w:color w:val="000000"/>
          <w:sz w:val="24"/>
        </w:rPr>
        <w:t>(Nota: Se recomienda ordenar alfabéticamente y aplicar un estilo de citación estandarizado como APA 7ma edición.)</w:t>
      </w:r>
    </w:p>
    <w:p/>
    <w:p>
      <w:pPr>
        <w:pStyle w:val="Heading2"/>
      </w:pPr>
      <w:r>
        <w:rPr>
          <w:rFonts w:ascii="Arial" w:hAnsi="Arial"/>
          <w:color w:val="000000"/>
        </w:rPr>
        <w:t xml:space="preserve"> 7. ANEXOS (Opcional)</w:t>
      </w:r>
    </w:p>
    <w:p/>
    <w:p>
      <w:pPr>
        <w:pStyle w:val="Heading3"/>
      </w:pPr>
      <w:r>
        <w:rPr>
          <w:rFonts w:ascii="Arial" w:hAnsi="Arial"/>
          <w:color w:val="000000"/>
        </w:rPr>
        <w:t>Anexo A: Modelos de instrumentos de recolección de datos</w:t>
      </w:r>
    </w:p>
    <w:p>
      <w:pPr>
        <w:spacing w:line="360" w:lineRule="auto"/>
        <w:ind w:firstLine="709"/>
      </w:pPr>
      <w:r>
        <w:rPr>
          <w:rFonts w:ascii="Arial" w:hAnsi="Arial"/>
          <w:color w:val="000000"/>
          <w:sz w:val="24"/>
        </w:rPr>
        <w:t xml:space="preserve">  •  </w:t>
      </w:r>
      <w:r>
        <w:rPr>
          <w:rFonts w:ascii="Arial" w:hAnsi="Arial"/>
          <w:color w:val="000000"/>
          <w:sz w:val="24"/>
        </w:rPr>
        <w:t xml:space="preserve">  Guía de cuestionario propuesta para la encuesta pre y post-intervención sobre conocimientos y actitudes ambientales.</w:t>
      </w:r>
    </w:p>
    <w:p>
      <w:pPr>
        <w:spacing w:line="360" w:lineRule="auto"/>
        <w:ind w:firstLine="709"/>
      </w:pPr>
      <w:r>
        <w:rPr>
          <w:rFonts w:ascii="Arial" w:hAnsi="Arial"/>
          <w:color w:val="000000"/>
          <w:sz w:val="24"/>
        </w:rPr>
        <w:t xml:space="preserve">  •  </w:t>
      </w:r>
      <w:r>
        <w:rPr>
          <w:rFonts w:ascii="Arial" w:hAnsi="Arial"/>
          <w:color w:val="000000"/>
          <w:sz w:val="24"/>
        </w:rPr>
        <w:t xml:space="preserve">  Ejemplo de preguntas para el grupo focal con estudiantes.</w:t>
      </w:r>
    </w:p>
    <w:p/>
    <w:p>
      <w:pPr>
        <w:pStyle w:val="Heading3"/>
      </w:pPr>
      <w:r>
        <w:rPr>
          <w:rFonts w:ascii="Arial" w:hAnsi="Arial"/>
          <w:color w:val="000000"/>
        </w:rPr>
        <w:t>Anexo B: Evidencias adicionales</w:t>
      </w:r>
    </w:p>
    <w:p>
      <w:pPr>
        <w:spacing w:line="360" w:lineRule="auto"/>
        <w:ind w:firstLine="709"/>
      </w:pPr>
      <w:r>
        <w:rPr>
          <w:rFonts w:ascii="Arial" w:hAnsi="Arial"/>
          <w:color w:val="000000"/>
          <w:sz w:val="24"/>
        </w:rPr>
        <w:t xml:space="preserve">  •  </w:t>
      </w:r>
      <w:r>
        <w:rPr>
          <w:rFonts w:ascii="Arial" w:hAnsi="Arial"/>
          <w:color w:val="000000"/>
          <w:sz w:val="24"/>
        </w:rPr>
        <w:t xml:space="preserve">  Diagrama conceptual de la arquitectura del videojuego (bloques de IA, interacción del usuario, módulos de entorno).</w:t>
      </w:r>
    </w:p>
    <w:p>
      <w:pPr>
        <w:spacing w:line="360" w:lineRule="auto"/>
        <w:ind w:firstLine="709"/>
      </w:pPr>
      <w:r>
        <w:rPr>
          <w:rFonts w:ascii="Arial" w:hAnsi="Arial"/>
          <w:color w:val="000000"/>
          <w:sz w:val="24"/>
        </w:rPr>
        <w:t xml:space="preserve">  •  </w:t>
      </w:r>
      <w:r>
        <w:rPr>
          <w:rFonts w:ascii="Arial" w:hAnsi="Arial"/>
          <w:color w:val="000000"/>
          <w:sz w:val="24"/>
        </w:rPr>
        <w:t xml:space="preserve">  Bocetos iniciales de la interfaz de usuario y escenarios del juego.</w:t>
      </w:r>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