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line="360" w:lineRule="auto"/>
        <w:ind w:firstLine="0"/>
        <w:jc w:val="center"/>
      </w:pPr>
      <w:r>
        <w:rPr>
          <w:rFonts w:ascii="Arial" w:hAnsi="Arial"/>
          <w:b/>
          <w:i w:val="0"/>
          <w:color w:val="000000"/>
          <w:sz w:val="28"/>
        </w:rPr>
        <w:t>UNIVERSIDAD</w:t>
      </w:r>
    </w:p>
    <w:p>
      <w:pPr>
        <w:spacing w:before="0" w:after="0" w:line="360" w:lineRule="auto"/>
        <w:ind w:firstLine="0"/>
        <w:jc w:val="center"/>
      </w:pPr>
      <w:r>
        <w:rPr>
          <w:rFonts w:ascii="Arial" w:hAnsi="Arial"/>
          <w:b/>
          <w:i w:val="0"/>
          <w:color w:val="000000"/>
          <w:sz w:val="28"/>
        </w:rPr>
        <w:t>SEDE</w:t>
      </w:r>
    </w:p>
    <w:p>
      <w:pPr>
        <w:spacing w:before="0" w:after="0" w:line="360" w:lineRule="auto"/>
        <w:ind w:firstLine="0"/>
        <w:jc w:val="center"/>
      </w:pPr>
      <w:r>
        <w:rPr>
          <w:rFonts w:ascii="Arial" w:hAnsi="Arial"/>
          <w:b/>
          <w:i w:val="0"/>
          <w:color w:val="000000"/>
          <w:sz w:val="28"/>
        </w:rPr>
        <w:t>FACULTAD</w:t>
      </w:r>
    </w:p>
    <w:p>
      <w:pPr>
        <w:spacing w:before="0" w:after="200" w:line="360" w:lineRule="auto"/>
        <w:ind w:firstLine="0"/>
        <w:jc w:val="center"/>
      </w:pPr>
      <w:r>
        <w:rPr>
          <w:rFonts w:ascii="Arial" w:hAnsi="Arial"/>
          <w:b/>
          <w:i w:val="0"/>
          <w:color w:val="000000"/>
          <w:sz w:val="28"/>
        </w:rPr>
        <w:t>CARRERA</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"Un Vistazo a la Edad de Piedra: Sociedad y Cultura en Los Picapiedras"</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SEDE</w:t>
        <w:br/>
        <w:t>2026</w:t>
      </w:r>
    </w:p>
    <w:p>
      <w:r>
        <w:br w:type="page"/>
      </w:r>
    </w:p>
    <w:p>
      <w:r>
        <w:fldChar w:fldCharType="begin"/>
      </w:r>
      <w:r>
        <w:instrText xml:space="preserve"> TOC \o "1-3" \h \z \u </w:instrText>
      </w:r>
      <w:r>
        <w:fldChar w:fldCharType="separate"/>
      </w:r>
      <w:r>
        <w:rPr>
          <w:rFonts w:ascii="Arial" w:hAnsi="Arial"/>
          <w:i/>
          <w:sz w:val="20"/>
        </w:rPr>
        <w:t>[Click derecho y seleccione "Actualizar campos" para generar el índice]</w:t>
      </w:r>
      <w:r>
        <w:fldChar w:fldCharType="end"/>
      </w:r>
    </w:p>
    <w:p>
      <w:r>
        <w:br w:type="page"/>
      </w:r>
    </w:p>
    <w:p>
      <w:r>
        <w:rPr>
          <w:b/>
          <w:i w:val="0"/>
          <w:sz w:val="28"/>
        </w:rPr>
        <w:t>Videojuego con Inteligencia Artificial para la Educación Ambiental: Un Enfoque Lúdico y Creativo</w:t>
      </w:r>
    </w:p>
    <w:p/>
    <w:p>
      <w:pPr>
        <w:pStyle w:val="Heading2"/>
      </w:pPr>
      <w:r>
        <w:rPr>
          <w:rFonts w:ascii="Arial" w:hAnsi="Arial"/>
          <w:color w:val="000000"/>
        </w:rPr>
        <w:t xml:space="preserve"> 1. INTRODUCCIÓN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1.1. Contextualización del Problema:</w:t>
      </w:r>
    </w:p>
    <w:p>
      <w:pPr>
        <w:spacing w:before="0" w:after="0" w:line="360" w:lineRule="auto"/>
        <w:ind w:firstLine="709"/>
      </w:pPr>
      <w:r>
        <w:rPr>
          <w:rFonts w:ascii="Arial" w:hAnsi="Arial"/>
          <w:b w:val="0"/>
          <w:i w:val="0"/>
          <w:color w:val="000000"/>
          <w:sz w:val="24"/>
        </w:rPr>
        <w:t>La educación ambiental es un pilar fundamental en la formación de ciudadanos conscientes y responsables con el entorno. Tradicionalmente, las unidades educativas han implementado diversas estrategias, como proyectos escolares de reciclaje, reutilización y reducción de residuos. Sin embargo, estas iniciativas a menudo enfrentan desafíos en cuanto a la motivación y el engagement sostenido de los estudiantes, limitando la internalización profunda de los conceptos y la adopción de comportamientos pro-ambientales a largo plazo. Existe una necesidad creciente de enfoques innovadores que trasciendan las metodologías convencionales, ofreciendo experiencias más inmersivas y dinámicas que capten el interés de las nuevas generaciones.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1.2. Planteamiento del Problema:</w:t>
      </w:r>
    </w:p>
    <w:p>
      <w:pPr>
        <w:spacing w:before="0" w:after="0" w:line="360" w:lineRule="auto"/>
        <w:ind w:firstLine="709"/>
      </w:pPr>
      <w:r>
        <w:rPr>
          <w:rFonts w:ascii="Arial" w:hAnsi="Arial"/>
          <w:b w:val="0"/>
          <w:i w:val="0"/>
          <w:color w:val="000000"/>
          <w:sz w:val="24"/>
        </w:rPr>
        <w:t>A pesar de los esfuerzos educativos existentes, la efectividad en la promoción de una conciencia ambiental proactiva y la modificación de hábitos sigue siendo un reto. Las metodologías actuales, aunque valiosas, pueden resultar insuficientes para generar una comprensión profunda de las interconexiones ecológicas y las consecuencias de las acciones humanas en un entorno complejo y cambiante. La brecha radica en cómo trasladar la teoría ambiental a una experiencia práctica y tangible que demuestre el impacto directo de las decisiones individuales. ¿Cómo podemos ofrecer un ambiente de aprendizaje que sea lo suficientemente atractivo y responsivo como para fomentar una comprensión intuitiva y empírica de los principios de sostenibilidad y el cuidado del medio ambiente?</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¿Cómo puede un videojuego con inteligencia artificial simular de manera efectiva los cambios ambientales resultantes de las decisiones del usuario para promover la educación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¿De qué manera la interacción con agentes controlados por IA en el mundo del juego influye en la comprensión del usuario sobre la cooperación ambiental y la responsabilidad individual?</w:t>
      </w:r>
    </w:p>
    <w:p>
      <w:pPr>
        <w:spacing w:line="360" w:lineRule="auto"/>
        <w:ind w:firstLine="709"/>
      </w:pPr>
      <w:r>
        <w:rPr>
          <w:rFonts w:ascii="Arial" w:hAnsi="Arial"/>
          <w:color w:val="000000"/>
          <w:sz w:val="24"/>
        </w:rPr>
        <w:t xml:space="preserve">  •  </w:t>
      </w:r>
      <w:r>
        <w:rPr>
          <w:rFonts w:ascii="Arial" w:hAnsi="Arial"/>
          <w:color w:val="000000"/>
          <w:sz w:val="24"/>
        </w:rPr>
        <w:t xml:space="preserve">  ¿Es viable desarrollar un videojuego que permita a los usuarios explorar, reutilizar y reciclar componentes del entorno virtual, reflejando principios de sostenibilidad?</w:t>
      </w:r>
    </w:p>
    <w:p>
      <w:pPr>
        <w:spacing w:line="360" w:lineRule="auto"/>
        <w:ind w:firstLine="709"/>
      </w:pPr>
      <w:r>
        <w:rPr>
          <w:rFonts w:ascii="Arial" w:hAnsi="Arial"/>
          <w:color w:val="000000"/>
          <w:sz w:val="24"/>
        </w:rPr>
        <w:t xml:space="preserve">  •  </w:t>
      </w:r>
      <w:r>
        <w:rPr>
          <w:rFonts w:ascii="Arial" w:hAnsi="Arial"/>
          <w:color w:val="000000"/>
          <w:sz w:val="24"/>
        </w:rPr>
        <w:t xml:space="preserve">  ¿Qué impacto tiene un enfoque lúdico y creativo, mediado por un videojuego con IA, en la motivación y el aprendizaje de conceptos de educación ambiental en estudiantes?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1.4. Justificación:</w:t>
      </w:r>
    </w:p>
    <w:p>
      <w:pPr>
        <w:spacing w:before="0" w:after="0" w:line="360" w:lineRule="auto"/>
        <w:ind w:firstLine="709"/>
      </w:pPr>
      <w:r>
        <w:rPr>
          <w:rFonts w:ascii="Arial" w:hAnsi="Arial"/>
          <w:b w:val="0"/>
          <w:i w:val="0"/>
          <w:color w:val="000000"/>
          <w:sz w:val="24"/>
        </w:rPr>
        <w:t>La implementación de un videojuego con inteligencia artificial para la educación ambiental se justifica por su potencial para transformar el aprendizaje de un modelo pasivo a uno interactivo y experiencial. Este proyecto ofrece una plataforma donde los usuarios pueden experimentar de primera mano las consecuencias de sus acciones en un entorno virtual dinámico, fomentando el pensamiento crítico y la toma de decisiones responsables. Desde una perspectiva teórica, explora la aplicación de la IA en entornos educativos para crear simulaciones complejas y adaptativas. Prácticamente, busca ofrecer una herramienta didáctica innovadora para las unidades educativas, complementando o enriqueciendo los métodos existentes. Socialmente, contribuye a la formación de una ciudadanía más consciente y comprometida con el medio ambiente, abordando una problemática global desde una perspectiva local y accesible.</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1.5. Delimitación del Estudio:</w:t>
      </w:r>
    </w:p>
    <w:p>
      <w:pPr>
        <w:spacing w:before="0" w:after="0" w:line="360" w:lineRule="auto"/>
        <w:ind w:firstLine="709"/>
      </w:pPr>
      <w:r>
        <w:rPr>
          <w:rFonts w:ascii="Arial" w:hAnsi="Arial"/>
          <w:b w:val="0"/>
          <w:i w:val="0"/>
          <w:color w:val="000000"/>
          <w:sz w:val="24"/>
        </w:rPr>
        <w:t>El presente estudio se delimita al diseño y desarrollo de un prototipo de videojuego educativo con inteligencia artificial, enfocado en simular principios básicos de educación ambiental como reciclaje, reutilización y reducción de residuos. El alcance geográfico se centra en el contexto educativo de El Alto, Bolivia, sin embargo, el prototipo es replicable a otras regiones. Temporalmente, la investigación y desarrollo se enmarcan en el año 2025. Conceptualmente, la investigación se concentra en la interacción del usuario con un mundo dinámico y agentes inteligentes, así como en la visualización de los impactos de sus decisiones. Quedan fuera del alcance del estudio análisis psicológicos profundos sobre el impacto cognitivo a largo plazo o la validación a gran escala del videojuego en múltiples instituciones educativas.</w:t>
      </w:r>
    </w:p>
    <w:p/>
    <w:p>
      <w:pPr>
        <w:pStyle w:val="Heading2"/>
      </w:pPr>
      <w:r>
        <w:rPr>
          <w:rFonts w:ascii="Arial" w:hAnsi="Arial"/>
          <w:color w:val="000000"/>
        </w:rPr>
        <w:t xml:space="preserve"> 2.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2.1. Objetivo General:</w:t>
      </w:r>
    </w:p>
    <w:p>
      <w:pPr>
        <w:spacing w:before="0" w:after="0" w:line="360" w:lineRule="auto"/>
        <w:ind w:firstLine="709"/>
      </w:pPr>
      <w:r>
        <w:rPr>
          <w:rFonts w:ascii="Arial" w:hAnsi="Arial"/>
          <w:b w:val="0"/>
          <w:i w:val="0"/>
          <w:color w:val="000000"/>
          <w:sz w:val="24"/>
        </w:rPr>
        <w:t>Fomentar la educación ambiental de manera directa, creativa y experiencial en los usuarios, mediante el desarrollo e implementación de un videojuego con inteligencia artificial que simule las consecuencias de las decisiones sobre el entorno virtual.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Diseñar un mundo virtual interactivo que permita a los usuarios explorar y experimentar la dinámica de un ecosistema que reacciona a sus acciones.</w:t>
      </w:r>
    </w:p>
    <w:p>
      <w:pPr>
        <w:spacing w:line="360" w:lineRule="auto"/>
        <w:ind w:firstLine="709"/>
      </w:pPr>
      <w:r>
        <w:rPr>
          <w:rFonts w:ascii="Arial" w:hAnsi="Arial"/>
          <w:color w:val="000000"/>
          <w:sz w:val="24"/>
        </w:rPr>
        <w:t xml:space="preserve">  •  </w:t>
      </w:r>
      <w:r>
        <w:rPr>
          <w:rFonts w:ascii="Arial" w:hAnsi="Arial"/>
          <w:color w:val="000000"/>
          <w:sz w:val="24"/>
        </w:rPr>
        <w:t xml:space="preserve">  Desarrollar mecánicas de juego que promuevan la reutilización y el reciclaje de componentes dentro del entorno virtual del juego.</w:t>
      </w:r>
    </w:p>
    <w:p>
      <w:pPr>
        <w:spacing w:line="360" w:lineRule="auto"/>
        <w:ind w:firstLine="709"/>
      </w:pPr>
      <w:r>
        <w:rPr>
          <w:rFonts w:ascii="Arial" w:hAnsi="Arial"/>
          <w:color w:val="000000"/>
          <w:sz w:val="24"/>
        </w:rPr>
        <w:t xml:space="preserve">  •  </w:t>
      </w:r>
      <w:r>
        <w:rPr>
          <w:rFonts w:ascii="Arial" w:hAnsi="Arial"/>
          <w:color w:val="000000"/>
          <w:sz w:val="24"/>
        </w:rPr>
        <w:t xml:space="preserve">  Implementar algoritmos de inteligencia artificial para controlar agentes no jugadores que interactúen con el usuario y el entorno, reflejando cambios ambientales.</w:t>
      </w:r>
    </w:p>
    <w:p>
      <w:pPr>
        <w:spacing w:line="360" w:lineRule="auto"/>
        <w:ind w:firstLine="709"/>
      </w:pPr>
      <w:r>
        <w:rPr>
          <w:rFonts w:ascii="Arial" w:hAnsi="Arial"/>
          <w:color w:val="000000"/>
          <w:sz w:val="24"/>
        </w:rPr>
        <w:t xml:space="preserve">  •  </w:t>
      </w:r>
      <w:r>
        <w:rPr>
          <w:rFonts w:ascii="Arial" w:hAnsi="Arial"/>
          <w:color w:val="000000"/>
          <w:sz w:val="24"/>
        </w:rPr>
        <w:t xml:space="preserve">  Permitir que el usuario observe los cambios en el ambiente del juego y en el comportamiento de los agentes como resultado de sus decisiones.</w:t>
      </w:r>
    </w:p>
    <w:p>
      <w:pPr>
        <w:spacing w:line="360" w:lineRule="auto"/>
        <w:ind w:firstLine="709"/>
      </w:pPr>
      <w:r>
        <w:rPr>
          <w:rFonts w:ascii="Arial" w:hAnsi="Arial"/>
          <w:color w:val="000000"/>
          <w:sz w:val="24"/>
        </w:rPr>
        <w:t xml:space="preserve">  •  </w:t>
      </w:r>
      <w:r>
        <w:rPr>
          <w:rFonts w:ascii="Arial" w:hAnsi="Arial"/>
          <w:color w:val="000000"/>
          <w:sz w:val="24"/>
        </w:rPr>
        <w:t xml:space="preserve">  Evaluar la percepción de los usuarios sobre la efectividad del videojuego como herramienta para la educación ambiental.</w:t>
      </w:r>
    </w:p>
    <w:p/>
    <w:p>
      <w:pPr>
        <w:pStyle w:val="Heading2"/>
      </w:pPr>
      <w:r>
        <w:rPr>
          <w:rFonts w:ascii="Arial" w:hAnsi="Arial"/>
          <w:color w:val="000000"/>
        </w:rPr>
        <w:t xml:space="preserve"> 3.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3.1. Antecedentes de la Investigación:</w:t>
      </w:r>
    </w:p>
    <w:p>
      <w:pPr>
        <w:spacing w:before="0" w:after="0" w:line="360" w:lineRule="auto"/>
        <w:ind w:firstLine="709"/>
      </w:pPr>
      <w:r>
        <w:rPr>
          <w:rFonts w:ascii="Arial" w:hAnsi="Arial"/>
          <w:b w:val="0"/>
          <w:i w:val="0"/>
          <w:color w:val="000000"/>
          <w:sz w:val="24"/>
        </w:rPr>
        <w:t>Se revisarán estudios previos sobre la eficacia de los videojuegos en la educación (gamificación), especialmente aquellos orientados a temas científicos o sociales. Se buscarán antecedentes en el desarrollo de videojuegos con inteligencia artificial para la simulación de entornos y la interacción con agentes. Se incluirán investigaciones sobre plataformas de aprendizaje inmersivo y el impacto de la retroalimentación visual en el proceso de aprendizaje de conceptos complejos como los ambientales. Asimismo, se analizarán tesis y artículos relacionados con la educación ambiental digital y el uso de tecnologías emergentes en el aula.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3.2. Bases Teóricas:</w:t>
      </w:r>
    </w:p>
    <w:p>
      <w:pPr>
        <w:spacing w:before="0" w:after="0" w:line="360" w:lineRule="auto"/>
        <w:ind w:firstLine="709"/>
      </w:pPr>
      <w:r>
        <w:rPr>
          <w:rFonts w:ascii="Arial" w:hAnsi="Arial"/>
          <w:b w:val="0"/>
          <w:i w:val="0"/>
          <w:color w:val="000000"/>
          <w:sz w:val="24"/>
        </w:rPr>
        <w:t xml:space="preserve">Este proyecto se sustenta en diversas bases teóricas. La </w:t>
      </w:r>
      <w:r>
        <w:rPr>
          <w:rFonts w:ascii="Arial" w:hAnsi="Arial"/>
          <w:b/>
          <w:i w:val="0"/>
          <w:color w:val="000000"/>
          <w:sz w:val="24"/>
        </w:rPr>
        <w:t>Teoría del Aprendizaje Experiencial</w:t>
      </w:r>
      <w:r>
        <w:rPr>
          <w:rFonts w:ascii="Arial" w:hAnsi="Arial"/>
          <w:b w:val="0"/>
          <w:i w:val="0"/>
          <w:color w:val="000000"/>
          <w:sz w:val="24"/>
        </w:rPr>
        <w:t xml:space="preserve"> de Kolb será fundamental, ya que el videojuego ofrece un ciclo de experiencia concreta, observación reflexiva, conceptualización abstracta y experimentación activa. La </w:t>
      </w:r>
      <w:r>
        <w:rPr>
          <w:rFonts w:ascii="Arial" w:hAnsi="Arial"/>
          <w:b/>
          <w:i w:val="0"/>
          <w:color w:val="000000"/>
          <w:sz w:val="24"/>
        </w:rPr>
        <w:t>Gamificación</w:t>
      </w:r>
      <w:r>
        <w:rPr>
          <w:rFonts w:ascii="Arial" w:hAnsi="Arial"/>
          <w:b w:val="0"/>
          <w:i w:val="0"/>
          <w:color w:val="000000"/>
          <w:sz w:val="24"/>
        </w:rPr>
        <w:t xml:space="preserve"> como estrategia para aumentar el engagement y la motivación será un pilar, aplicando elementos de juego en contextos no lúdicos. La </w:t>
      </w:r>
      <w:r>
        <w:rPr>
          <w:rFonts w:ascii="Arial" w:hAnsi="Arial"/>
          <w:b/>
          <w:i w:val="0"/>
          <w:color w:val="000000"/>
          <w:sz w:val="24"/>
        </w:rPr>
        <w:t>Inteligencia Artificial</w:t>
      </w:r>
      <w:r>
        <w:rPr>
          <w:rFonts w:ascii="Arial" w:hAnsi="Arial"/>
          <w:b w:val="0"/>
          <w:i w:val="0"/>
          <w:color w:val="000000"/>
          <w:sz w:val="24"/>
        </w:rPr>
        <w:t xml:space="preserve"> proporcionará la base para el desarrollo de agentes autónomos y entornos dinámicos, utilizando principios de sistemas multi-agente y machine learning para simular comportamientos ecológicos y la interacción con el usuario. Las </w:t>
      </w:r>
      <w:r>
        <w:rPr>
          <w:rFonts w:ascii="Arial" w:hAnsi="Arial"/>
          <w:b/>
          <w:i w:val="0"/>
          <w:color w:val="000000"/>
          <w:sz w:val="24"/>
        </w:rPr>
        <w:t>Teorías de la Educación Ambiental</w:t>
      </w:r>
      <w:r>
        <w:rPr>
          <w:rFonts w:ascii="Arial" w:hAnsi="Arial"/>
          <w:b w:val="0"/>
          <w:i w:val="0"/>
          <w:color w:val="000000"/>
          <w:sz w:val="24"/>
        </w:rPr>
        <w:t xml:space="preserve"> guiarán el contenido pedagógico, enfocándose en la interconexión, la responsabilidad y la sostenibilidad. Finalmente, los conceptos de </w:t>
      </w:r>
      <w:r>
        <w:rPr>
          <w:rFonts w:ascii="Arial" w:hAnsi="Arial"/>
          <w:b/>
          <w:i w:val="0"/>
          <w:color w:val="000000"/>
          <w:sz w:val="24"/>
        </w:rPr>
        <w:t>Diseño de Videojuegos Educativos</w:t>
      </w:r>
      <w:r>
        <w:rPr>
          <w:rFonts w:ascii="Arial" w:hAnsi="Arial"/>
          <w:b w:val="0"/>
          <w:i w:val="0"/>
          <w:color w:val="000000"/>
          <w:sz w:val="24"/>
        </w:rPr>
        <w:t xml:space="preserve"> informarán la interfaz, la jugabilidad y la narrativa para maximizar el impacto pedagógico.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(IA):</w:t>
      </w:r>
      <w:r>
        <w:rPr>
          <w:rFonts w:ascii="Arial" w:hAnsi="Arial"/>
          <w:color w:val="000000"/>
          <w:sz w:val="24"/>
        </w:rPr>
        <w:t xml:space="preserve"> Rama de la informática que dota a las máquinas de capacidades similares a la inteligencia humana, como aprendizaje, razonamiento y toma de decisiones, aplicada en este proyecto para la creación de agentes y entornos dinámicos.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Videojuego Educativo:</w:t>
      </w:r>
      <w:r>
        <w:rPr>
          <w:rFonts w:ascii="Arial" w:hAnsi="Arial"/>
          <w:color w:val="000000"/>
          <w:sz w:val="24"/>
        </w:rPr>
        <w:t xml:space="preserve"> Software lúdico diseñado con un propósito pedagógico explícito, que utiliza la interactividad y las mecánicas de juego para facilitar el aprendizaje de conceptos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Ambiental:</w:t>
      </w:r>
      <w:r>
        <w:rPr>
          <w:rFonts w:ascii="Arial" w:hAnsi="Arial"/>
          <w:color w:val="000000"/>
          <w:sz w:val="24"/>
        </w:rPr>
        <w:t xml:space="preserve"> Proceso que busca formar ciudadanos con conciencia sobre los problemas ambientales y capacitarlos para participar en la resolución de estos.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Agentes (IA):</w:t>
      </w:r>
      <w:r>
        <w:rPr>
          <w:rFonts w:ascii="Arial" w:hAnsi="Arial"/>
          <w:color w:val="000000"/>
          <w:sz w:val="24"/>
        </w:rPr>
        <w:t xml:space="preserve"> Entidades autónomas en el entorno virtual que perciben su entorno y actúan para lograr objetivos, en este caso, simulando la fauna, flora o habitantes del mundo del 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Gamificación:</w:t>
      </w:r>
      <w:r>
        <w:rPr>
          <w:rFonts w:ascii="Arial" w:hAnsi="Arial"/>
          <w:color w:val="000000"/>
          <w:sz w:val="24"/>
        </w:rPr>
        <w:t xml:space="preserve"> Aplicación de elementos y técnicas de diseño de juegos en contextos no lúdicos para motivar y comprometer a los usuarios en tareas o procesos.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Mundo Dinámico:</w:t>
      </w:r>
      <w:r>
        <w:rPr>
          <w:rFonts w:ascii="Arial" w:hAnsi="Arial"/>
          <w:color w:val="000000"/>
          <w:sz w:val="24"/>
        </w:rPr>
        <w:t xml:space="preserve"> Entorno virtual que reacciona y cambia en función de las acciones del usuario o de los agentes de IA, reflejando el impacto ambiental.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3.4. Hipótesis o Supuestos (Si aplica):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w:t>
      </w:r>
      <w:r>
        <w:rPr>
          <w:rFonts w:ascii="Arial" w:hAnsi="Arial"/>
          <w:color w:val="000000"/>
          <w:sz w:val="24"/>
        </w:rPr>
        <w:t xml:space="preserve"> El uso de un videojuego con inteligencia artificial para la educación ambiental aumentará significativamente el engagement y la comprensión de los principios de sostenibilidad en estudiantes de unidades educativas, en comparación con métodos tradicionales.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Supuesto:</w:t>
      </w:r>
      <w:r>
        <w:rPr>
          <w:rFonts w:ascii="Arial" w:hAnsi="Arial"/>
          <w:color w:val="000000"/>
          <w:sz w:val="24"/>
        </w:rPr>
        <w:t xml:space="preserve"> La capacidad de observar directamente las consecuencias de las decisiones en un entorno simulado por IA generará una mayor motivación para adoptar prácticas ambientales responsables en la vida real.</w:t>
      </w:r>
    </w:p>
    <w:p/>
    <w:p>
      <w:pPr>
        <w:pStyle w:val="Heading2"/>
      </w:pPr>
      <w:r>
        <w:rPr>
          <w:rFonts w:ascii="Arial" w:hAnsi="Arial"/>
          <w:color w:val="000000"/>
        </w:rPr>
        <w:t xml:space="preserve"> 4. APLICACIÓN DEL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4.1. Diseño y Tipo de Investigación:</w:t>
      </w:r>
    </w:p>
    <w:p>
      <w:pPr>
        <w:spacing w:before="0" w:after="0" w:line="360" w:lineRule="auto"/>
        <w:ind w:firstLine="709"/>
      </w:pPr>
      <w:r>
        <w:rPr>
          <w:rFonts w:ascii="Arial" w:hAnsi="Arial"/>
          <w:b w:val="0"/>
          <w:i w:val="0"/>
          <w:color w:val="000000"/>
          <w:sz w:val="24"/>
        </w:rPr>
        <w:t>El presente proyecto adoptará un enfoque de investigación-acción, con un diseño de desarrollo tecnológico. Se clasificará como una investigación de tipo descriptivo y experimental (en la fase de validación). El enfoque será mixto, combinando la evaluación cualitativa de la experiencia del usuario con el análisis cuantitativo de la efectividad en el aprendizaje de conceptos ambientales. El diseño experimental permitirá comparar grupos de estudio para determinar el impacto directo del videojuego.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4.2. Población y Muestra:</w:t>
      </w:r>
    </w:p>
    <w:p>
      <w:pPr>
        <w:spacing w:before="0" w:after="0" w:line="360" w:lineRule="auto"/>
        <w:ind w:firstLine="709"/>
      </w:pPr>
      <w:r>
        <w:rPr>
          <w:rFonts w:ascii="Arial" w:hAnsi="Arial"/>
          <w:b w:val="0"/>
          <w:i w:val="0"/>
          <w:color w:val="000000"/>
          <w:sz w:val="24"/>
        </w:rPr>
        <w:t>La población de estudio estará compuesta por estudiantes de nivel primario y secundario de unidades educativas del municipio de El Alto, Bolivia. La muestra será seleccionada de forma no probabilística por conveniencia, incluyendo un grupo control y un grupo experimental para la fase de validación. Se buscará una muestra representativa de al menos dos unidades educativas, con un tamaño de grupo que permita la aplicación de los instrumentos y la obtención de datos significativos.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4.3. Técnicas e Instrumentos de Recolección de Datos:</w:t>
      </w:r>
    </w:p>
    <w:p>
      <w:pPr>
        <w:spacing w:before="0" w:after="0" w:line="360" w:lineRule="auto"/>
        <w:ind w:firstLine="709"/>
      </w:pPr>
      <w:r>
        <w:rPr>
          <w:rFonts w:ascii="Arial" w:hAnsi="Arial"/>
          <w:b w:val="0"/>
          <w:i w:val="0"/>
          <w:color w:val="000000"/>
          <w:sz w:val="24"/>
        </w:rPr>
        <w:t>Para la recolección de datos se emplearán diversas técnicas: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Observación:</w:t>
      </w:r>
      <w:r>
        <w:rPr>
          <w:rFonts w:ascii="Arial" w:hAnsi="Arial"/>
          <w:color w:val="000000"/>
          <w:sz w:val="24"/>
        </w:rPr>
        <w:t xml:space="preserve"> Registro de la interacción de los estudiantes con el videojuego y su comportamiento dentro del entorno virtual.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Encuestas:</w:t>
      </w:r>
      <w:r>
        <w:rPr>
          <w:rFonts w:ascii="Arial" w:hAnsi="Arial"/>
          <w:color w:val="000000"/>
          <w:sz w:val="24"/>
        </w:rPr>
        <w:t xml:space="preserve"> Cuestionarios semiestructurados para medir el grado de satisfacción, motivación y percepción del aprendizaje de los usuarios.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Entrevistas:</w:t>
      </w:r>
      <w:r>
        <w:rPr>
          <w:rFonts w:ascii="Arial" w:hAnsi="Arial"/>
          <w:color w:val="000000"/>
          <w:sz w:val="24"/>
        </w:rPr>
        <w:t xml:space="preserve"> Conversaciones individuales o grupales focales con estudiantes y educadores para profundizar en sus experiencias y sugerencias.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Pruebas de Conocimiento (Pre-test y Post-test):</w:t>
      </w:r>
      <w:r>
        <w:rPr>
          <w:rFonts w:ascii="Arial" w:hAnsi="Arial"/>
          <w:color w:val="000000"/>
          <w:sz w:val="24"/>
        </w:rPr>
        <w:t xml:space="preserve"> Evaluaciones diseñadas para medir el conocimiento de conceptos ambientales antes y después de la interacción con el videojuego, permitiendo cuantificar el aprendizaje.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Registro de Datos del Juego:</w:t>
      </w:r>
      <w:r>
        <w:rPr>
          <w:rFonts w:ascii="Arial" w:hAnsi="Arial"/>
          <w:color w:val="000000"/>
          <w:sz w:val="24"/>
        </w:rPr>
        <w:t xml:space="preserve"> Métricas internas del videojuego (tiempo de juego, decisiones tomadas, interacción con agentes) para analizar patrones de comportamiento.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4.4. Procedimiento de Aplicación y Desarrollo:</w:t>
      </w:r>
    </w:p>
    <w:p>
      <w:pPr>
        <w:spacing w:before="0" w:after="0" w:line="360" w:lineRule="auto"/>
        <w:ind w:firstLine="709"/>
      </w:pPr>
      <w:r>
        <w:rPr>
          <w:rFonts w:ascii="Arial" w:hAnsi="Arial"/>
          <w:b w:val="0"/>
          <w:i w:val="0"/>
          <w:color w:val="000000"/>
          <w:sz w:val="24"/>
        </w:rPr>
        <w:t>El procedimiento se dividirá en fases:</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Fase de Diseño Conceptual:</w:t>
      </w:r>
      <w:r>
        <w:rPr>
          <w:rFonts w:ascii="Arial" w:hAnsi="Arial"/>
          <w:b w:val="0"/>
          <w:i w:val="0"/>
          <w:color w:val="000000"/>
          <w:sz w:val="24"/>
        </w:rPr>
        <w:t xml:space="preserve"> Definición de la narrativa, mecánicas de juego, elementos de IA (agentes, sistemas de reacción del entorno) y objetivos pedagógicos, basándose en las bases teóricas de gamificación y educación ambiental.</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Fase de Prototipado y Desarrollo:</w:t>
      </w:r>
      <w:r>
        <w:rPr>
          <w:rFonts w:ascii="Arial" w:hAnsi="Arial"/>
          <w:b w:val="0"/>
          <w:i w:val="0"/>
          <w:color w:val="000000"/>
          <w:sz w:val="24"/>
        </w:rPr>
        <w:t xml:space="preserve"> Implementación técnica del videojuego, incluyendo el motor gráfico, la programación de la IA para los agentes y el mundo dinámico, y la integración de las mecánicas de reciclaje/reutilización. Se utilizará un enfoque iterativo de desarrollo.</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Fase de Implementación y Experimentación:</w:t>
      </w:r>
      <w:r>
        <w:rPr>
          <w:rFonts w:ascii="Arial" w:hAnsi="Arial"/>
          <w:b w:val="0"/>
          <w:i w:val="0"/>
          <w:color w:val="000000"/>
          <w:sz w:val="24"/>
        </w:rPr>
        <w:t xml:space="preserve"> Introducción del videojuego en las unidades educativas seleccionadas. Se instruirá a los grupos experimentales sobre el uso del videojuego, mientras que los grupos de control seguirán métodos tradicionales. Se administrarán pre-tests a ambos grupos.</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Fase de Recolección de Datos:</w:t>
      </w:r>
      <w:r>
        <w:rPr>
          <w:rFonts w:ascii="Arial" w:hAnsi="Arial"/>
          <w:b w:val="0"/>
          <w:i w:val="0"/>
          <w:color w:val="000000"/>
          <w:sz w:val="24"/>
        </w:rPr>
        <w:t xml:space="preserve"> Durante y después de la interacción con el videojuego (o el método tradicional), se aplicarán los instrumentos de recolección de datos (observaciones, encuestas, post-tests).</w:t>
      </w:r>
    </w:p>
    <w:p>
      <w:pPr>
        <w:spacing w:before="0" w:after="0" w:line="360" w:lineRule="auto"/>
        <w:ind w:firstLine="709"/>
      </w:pPr>
      <w:r>
        <w:rPr>
          <w:rFonts w:ascii="Arial" w:hAnsi="Arial"/>
          <w:b w:val="0"/>
          <w:i w:val="0"/>
          <w:color w:val="000000"/>
          <w:sz w:val="24"/>
        </w:rPr>
        <w:t xml:space="preserve">5.  </w:t>
      </w:r>
      <w:r>
        <w:rPr>
          <w:rFonts w:ascii="Arial" w:hAnsi="Arial"/>
          <w:b/>
          <w:i w:val="0"/>
          <w:color w:val="000000"/>
          <w:sz w:val="24"/>
        </w:rPr>
        <w:t>Fase de Retroalimentación y Ajuste:</w:t>
      </w:r>
      <w:r>
        <w:rPr>
          <w:rFonts w:ascii="Arial" w:hAnsi="Arial"/>
          <w:b w:val="0"/>
          <w:i w:val="0"/>
          <w:color w:val="000000"/>
          <w:sz w:val="24"/>
        </w:rPr>
        <w:t xml:space="preserve"> Se recopilará la retroalimentación de los usuarios para identificar áreas de mejora y realizar ajustes al prototipo si fuera necesario, cerrando el ciclo de investigación-acción.</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4.5. Análisis e Interpretación de Resultados:</w:t>
      </w:r>
    </w:p>
    <w:p>
      <w:pPr>
        <w:spacing w:before="0" w:after="0" w:line="360" w:lineRule="auto"/>
        <w:ind w:firstLine="709"/>
      </w:pPr>
      <w:r>
        <w:rPr>
          <w:rFonts w:ascii="Arial" w:hAnsi="Arial"/>
          <w:b w:val="0"/>
          <w:i w:val="0"/>
          <w:color w:val="000000"/>
          <w:sz w:val="24"/>
        </w:rPr>
        <w:t>Los datos recolectados se analizarán utilizando métodos tanto cualitativos como cuantitativos.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Cuantitativo:</w:t>
      </w:r>
      <w:r>
        <w:rPr>
          <w:rFonts w:ascii="Arial" w:hAnsi="Arial"/>
          <w:color w:val="000000"/>
          <w:sz w:val="24"/>
        </w:rPr>
        <w:t xml:space="preserve"> Los datos de las pruebas pre-test y post-test se someterán a análisis estadísticos descriptivos (medias, desviaciones estándar) e inferenciales (pruebas t de Student o ANOVA) para comparar el rendimiento de los grupos y determinar la significancia del aprendizaje. Las métricas del juego se analizarán para identificar patrones de interacción.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Cualitativo:</w:t>
      </w:r>
      <w:r>
        <w:rPr>
          <w:rFonts w:ascii="Arial" w:hAnsi="Arial"/>
          <w:color w:val="000000"/>
          <w:sz w:val="24"/>
        </w:rPr>
        <w:t xml:space="preserve"> Las respuestas de encuestas abiertas, entrevistas y observaciones se transcribirán y codificarán para identificar temas recurrentes, percepciones, desafíos y sugerencias de los usuarios. Se contrastarán los hallazgos con las bases teóricas para interpretar el impacto del videojuego en la motivación y la comprensión ambiental, y se argumentará cómo los resultados respaldan o refutan las hipótesis planteadas. Se utilizarán tablas y gráficos para visualizar los resultados clave.</w:t>
      </w:r>
    </w:p>
    <w:p/>
    <w:p>
      <w:pPr>
        <w:pStyle w:val="Heading2"/>
      </w:pPr>
      <w:r>
        <w:rPr>
          <w:rFonts w:ascii="Arial" w:hAnsi="Arial"/>
          <w:color w:val="000000"/>
        </w:rPr>
        <w:t xml:space="preserve"> 5. CONCLUSIONES Y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5.1. Conclusiones:</w:t>
      </w:r>
    </w:p>
    <w:p>
      <w:pPr>
        <w:spacing w:before="0" w:after="0" w:line="360" w:lineRule="auto"/>
        <w:ind w:firstLine="709"/>
      </w:pPr>
      <w:r>
        <w:rPr>
          <w:rFonts w:ascii="Arial" w:hAnsi="Arial"/>
          <w:b w:val="0"/>
          <w:i w:val="0"/>
          <w:color w:val="000000"/>
          <w:sz w:val="24"/>
        </w:rPr>
        <w:t>(Este apartado se completará una vez finalizado el estudio, pero se proyecta que incluirá):</w:t>
      </w:r>
    </w:p>
    <w:p>
      <w:pPr>
        <w:spacing w:before="0" w:after="0" w:line="360" w:lineRule="auto"/>
        <w:ind w:firstLine="709"/>
      </w:pPr>
      <w:r>
        <w:rPr>
          <w:rFonts w:ascii="Arial" w:hAnsi="Arial"/>
          <w:b w:val="0"/>
          <w:i w:val="0"/>
          <w:color w:val="000000"/>
          <w:sz w:val="24"/>
        </w:rPr>
        <w:t>El videojuego con inteligencia artificial demostró ser una herramienta eficaz para fomentar la educación ambiental, logrando un mayor engagement y una comprensión más profunda de los principios de sostenibilidad en los usuarios. Los agentes de IA y el mundo dinámico facilitaron la visualización de las consecuencias de las decisiones, fortaleciendo la conciencia ambiental. Las mecánicas de juego relacionadas con el reciclaje y la reutilización lograron transmitir de manera lúdica la importancia de estas prácticas.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5.2. Recomendaciones:</w:t>
      </w:r>
    </w:p>
    <w:p>
      <w:pPr>
        <w:spacing w:before="0" w:after="0" w:line="360" w:lineRule="auto"/>
        <w:ind w:firstLine="709"/>
      </w:pPr>
      <w:r>
        <w:rPr>
          <w:rFonts w:ascii="Arial" w:hAnsi="Arial"/>
          <w:b w:val="0"/>
          <w:i w:val="0"/>
          <w:color w:val="000000"/>
          <w:sz w:val="24"/>
        </w:rPr>
        <w:t>(Este apartado se completará una vez finalizado el estudio, pero se proyecta que incluirá):</w:t>
      </w:r>
    </w:p>
    <w:p>
      <w:pPr>
        <w:spacing w:before="0" w:after="0" w:line="360" w:lineRule="auto"/>
        <w:ind w:firstLine="709"/>
      </w:pPr>
      <w:r>
        <w:rPr>
          <w:rFonts w:ascii="Arial" w:hAnsi="Arial"/>
          <w:b w:val="0"/>
          <w:i w:val="0"/>
          <w:color w:val="000000"/>
          <w:sz w:val="24"/>
        </w:rPr>
        <w:t>Se recomienda expandir el contenido del videojuego para incluir más desafíos ambientales y explorar otras interacciones con la IA. Se sugiere realizar estudios a largo plazo para evaluar la retención del conocimiento y la transferencia de las actitudes pro-ambientales a la vida real. Es aconsejable integrar el videojuego como una herramienta complementaria en el currículo educativo formal y desarrollar versiones adaptadas a diferentes edades y contextos culturales para maximizar su alcance e impacto.</w:t>
      </w:r>
    </w:p>
    <w:p/>
    <w:p>
      <w:pPr>
        <w:pStyle w:val="Heading2"/>
      </w:pPr>
      <w:r>
        <w:rPr>
          <w:rFonts w:ascii="Arial" w:hAnsi="Arial"/>
          <w:color w:val="000000"/>
        </w:rPr>
        <w:t xml:space="preserve"> 6. BIBLIOGRAFÍA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[Placeholder para libros y textos consultados]</w:t>
      </w:r>
    </w:p>
    <w:p>
      <w:pPr>
        <w:spacing w:line="360" w:lineRule="auto"/>
        <w:ind w:firstLine="709"/>
      </w:pPr>
      <w:r>
        <w:rPr>
          <w:rFonts w:ascii="Arial" w:hAnsi="Arial"/>
          <w:color w:val="000000"/>
          <w:sz w:val="24"/>
        </w:rPr>
        <w:t xml:space="preserve">  •  </w:t>
      </w:r>
      <w:r>
        <w:rPr>
          <w:rFonts w:ascii="Arial" w:hAnsi="Arial"/>
          <w:color w:val="000000"/>
          <w:sz w:val="24"/>
        </w:rPr>
        <w:t xml:space="preserve">  Kolb, D. A. (1984). </w:t>
      </w:r>
      <w:r>
        <w:rPr>
          <w:rFonts w:ascii="Arial" w:hAnsi="Arial"/>
          <w:i/>
          <w:color w:val="000000"/>
          <w:sz w:val="24"/>
        </w:rPr>
        <w:t>Experiential Learning: Experience as the Source of Learning and Development.</w:t>
      </w:r>
      <w:r>
        <w:rPr>
          <w:rFonts w:ascii="Arial" w:hAnsi="Arial"/>
          <w:color w:val="000000"/>
          <w:sz w:val="24"/>
        </w:rPr>
        <w:t xml:space="preserve"> Prentice-Hall.</w:t>
      </w:r>
    </w:p>
    <w:p>
      <w:pPr>
        <w:spacing w:line="360" w:lineRule="auto"/>
        <w:ind w:firstLine="709"/>
      </w:pPr>
      <w:r>
        <w:rPr>
          <w:rFonts w:ascii="Arial" w:hAnsi="Arial"/>
          <w:color w:val="000000"/>
          <w:sz w:val="24"/>
        </w:rPr>
        <w:t xml:space="preserve">  •  </w:t>
      </w:r>
      <w:r>
        <w:rPr>
          <w:rFonts w:ascii="Arial" w:hAnsi="Arial"/>
          <w:color w:val="000000"/>
          <w:sz w:val="24"/>
        </w:rPr>
        <w:t xml:space="preserve">  [Otros libros sobre IA, gamificación, educación ambiental]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[Placeholder para artículos de revistas científicas, tesis digitales y sitios web indexados]</w:t>
      </w:r>
    </w:p>
    <w:p>
      <w:pPr>
        <w:spacing w:line="360" w:lineRule="auto"/>
        <w:ind w:firstLine="709"/>
      </w:pPr>
      <w:r>
        <w:rPr>
          <w:rFonts w:ascii="Arial" w:hAnsi="Arial"/>
          <w:color w:val="000000"/>
          <w:sz w:val="24"/>
        </w:rPr>
        <w:t xml:space="preserve">  •  </w:t>
      </w:r>
      <w:r>
        <w:rPr>
          <w:rFonts w:ascii="Arial" w:hAnsi="Arial"/>
          <w:color w:val="000000"/>
          <w:sz w:val="24"/>
        </w:rPr>
        <w:t xml:space="preserve">  Artículos de journals sobre IA en educación.</w:t>
      </w:r>
    </w:p>
    <w:p>
      <w:pPr>
        <w:spacing w:line="360" w:lineRule="auto"/>
        <w:ind w:firstLine="709"/>
      </w:pPr>
      <w:r>
        <w:rPr>
          <w:rFonts w:ascii="Arial" w:hAnsi="Arial"/>
          <w:color w:val="000000"/>
          <w:sz w:val="24"/>
        </w:rPr>
        <w:t xml:space="preserve">  •  </w:t>
      </w:r>
      <w:r>
        <w:rPr>
          <w:rFonts w:ascii="Arial" w:hAnsi="Arial"/>
          <w:color w:val="000000"/>
          <w:sz w:val="24"/>
        </w:rPr>
        <w:t xml:space="preserve">  Tesis doctorales sobre videojuegos educativos.</w:t>
      </w:r>
    </w:p>
    <w:p>
      <w:pPr>
        <w:spacing w:line="360" w:lineRule="auto"/>
        <w:ind w:firstLine="709"/>
      </w:pPr>
      <w:r>
        <w:rPr>
          <w:rFonts w:ascii="Arial" w:hAnsi="Arial"/>
          <w:color w:val="000000"/>
          <w:sz w:val="24"/>
        </w:rPr>
        <w:t xml:space="preserve">  •  </w:t>
      </w:r>
      <w:r>
        <w:rPr>
          <w:rFonts w:ascii="Arial" w:hAnsi="Arial"/>
          <w:color w:val="000000"/>
          <w:sz w:val="24"/>
        </w:rPr>
        <w:t xml:space="preserve">  Informes de organismos internacionales sobre educación ambiental.</w:t>
      </w:r>
    </w:p>
    <w:p>
      <w:pPr>
        <w:spacing w:before="0" w:after="0" w:line="360" w:lineRule="auto"/>
        <w:ind w:firstLine="709"/>
      </w:pPr>
      <w:r>
        <w:rPr>
          <w:rFonts w:ascii="Arial" w:hAnsi="Arial"/>
          <w:b w:val="0"/>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 (Opcional)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A:</w:t>
      </w:r>
      <w:r>
        <w:rPr>
          <w:rFonts w:ascii="Arial" w:hAnsi="Arial"/>
          <w:color w:val="000000"/>
          <w:sz w:val="24"/>
        </w:rPr>
        <w:t xml:space="preserve"> Modelo de cuestionario de satisfacción y percepción del aprendizaje del videojuego.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B:</w:t>
      </w:r>
      <w:r>
        <w:rPr>
          <w:rFonts w:ascii="Arial" w:hAnsi="Arial"/>
          <w:color w:val="000000"/>
          <w:sz w:val="24"/>
        </w:rPr>
        <w:t xml:space="preserve"> Guía de observación del comportamiento del usuario en el videojuego.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C:</w:t>
      </w:r>
      <w:r>
        <w:rPr>
          <w:rFonts w:ascii="Arial" w:hAnsi="Arial"/>
          <w:color w:val="000000"/>
          <w:sz w:val="24"/>
        </w:rPr>
        <w:t xml:space="preserve"> Pruebas de conocimiento (pre-test y post-test) sobre educación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D:</w:t>
      </w:r>
      <w:r>
        <w:rPr>
          <w:rFonts w:ascii="Arial" w:hAnsi="Arial"/>
          <w:color w:val="000000"/>
          <w:sz w:val="24"/>
        </w:rPr>
        <w:t xml:space="preserve"> Fotografías del prototipo del videojuego en desarrollo o en fase de prueba.</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