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rPr/>
      </w:pPr>
      <w:r w:rsidDel="00000000" w:rsidR="00000000" w:rsidRPr="00000000">
        <w:rPr>
          <w:rtl w:val="0"/>
        </w:rPr>
      </w:r>
    </w:p>
    <w:p w:rsidR="00000000" w:rsidDel="00000000" w:rsidP="00000000" w:rsidRDefault="00000000" w:rsidRPr="00000000" w14:paraId="00000002">
      <w:pPr>
        <w:spacing w:after="60" w:before="0" w:line="276" w:lineRule="auto"/>
        <w:jc w:val="center"/>
        <w:rPr/>
      </w:pPr>
      <w:r w:rsidDel="00000000" w:rsidR="00000000" w:rsidRPr="00000000">
        <w:rPr>
          <w:rFonts w:ascii="Arial" w:cs="Arial" w:eastAsia="Arial" w:hAnsi="Arial"/>
          <w:b w:val="1"/>
          <w:bCs w:val="1"/>
          <w:i w:val="0"/>
          <w:iCs w:val="0"/>
          <w:smallCaps w:val="0"/>
          <w:color w:val="1f3864"/>
          <w:sz w:val="52"/>
          <w:szCs w:val="52"/>
          <w:rtl w:val="0"/>
        </w:rPr>
        <w:t xml:space="preserve">VILLA LEV GROUP</w:t>
      </w:r>
      <w:r w:rsidDel="00000000" w:rsidR="00000000" w:rsidRPr="00000000">
        <w:rPr>
          <w:rtl w:val="0"/>
        </w:rPr>
      </w:r>
    </w:p>
    <w:p w:rsidR="00000000" w:rsidDel="00000000" w:rsidP="00000000" w:rsidRDefault="00000000" w:rsidRPr="00000000" w14:paraId="00000003">
      <w:pPr>
        <w:spacing w:after="40" w:before="0" w:line="276" w:lineRule="auto"/>
        <w:jc w:val="center"/>
        <w:rPr/>
      </w:pPr>
      <w:r w:rsidDel="00000000" w:rsidR="00000000" w:rsidRPr="00000000">
        <w:rPr>
          <w:rFonts w:ascii="Arial" w:cs="Arial" w:eastAsia="Arial" w:hAnsi="Arial"/>
          <w:b w:val="0"/>
          <w:bCs w:val="0"/>
          <w:i w:val="0"/>
          <w:iCs w:val="0"/>
          <w:smallCaps w:val="0"/>
          <w:color w:val="888888"/>
          <w:sz w:val="26"/>
          <w:szCs w:val="26"/>
          <w:rtl w:val="0"/>
        </w:rPr>
        <w:t xml:space="preserve">Portfolio Expansion  ·  Antiparos, Greece</w:t>
      </w:r>
      <w:r w:rsidDel="00000000" w:rsidR="00000000" w:rsidRPr="00000000">
        <w:rPr>
          <w:rtl w:val="0"/>
        </w:rPr>
      </w:r>
    </w:p>
    <w:p w:rsidR="00000000" w:rsidDel="00000000" w:rsidP="00000000" w:rsidRDefault="00000000" w:rsidRPr="00000000" w14:paraId="00000004">
      <w:pPr>
        <w:spacing w:after="200" w:before="0" w:line="276" w:lineRule="auto"/>
        <w:jc w:val="center"/>
        <w:rPr/>
      </w:pPr>
      <w:r w:rsidDel="00000000" w:rsidR="00000000" w:rsidRPr="00000000">
        <w:rPr>
          <w:rFonts w:ascii="Arial" w:cs="Arial" w:eastAsia="Arial" w:hAnsi="Arial"/>
          <w:b w:val="0"/>
          <w:bCs w:val="0"/>
          <w:i w:val="1"/>
          <w:iCs w:val="1"/>
          <w:smallCaps w:val="0"/>
          <w:color w:val="888888"/>
          <w:sz w:val="20"/>
          <w:szCs w:val="20"/>
          <w:rtl w:val="0"/>
        </w:rPr>
        <w:t xml:space="preserve">Commercial Loan Application  ·  Optima Bank  ·  March 2026</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8962e"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06">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{{TOTAL_CAPEX}}</w:t>
            </w:r>
            <w:r w:rsidDel="00000000" w:rsidR="00000000" w:rsidRPr="00000000">
              <w:rPr>
                <w:rtl w:val="0"/>
              </w:rPr>
            </w:r>
          </w:p>
          <w:p w:rsidR="00000000" w:rsidDel="00000000" w:rsidP="00000000" w:rsidRDefault="00000000" w:rsidRPr="00000000" w14:paraId="00000007">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Total Investment</w:t>
            </w:r>
            <w:r w:rsidDel="00000000" w:rsidR="00000000" w:rsidRPr="00000000">
              <w:rPr>
                <w:rtl w:val="0"/>
              </w:rPr>
            </w:r>
          </w:p>
          <w:p w:rsidR="00000000" w:rsidDel="00000000" w:rsidP="00000000" w:rsidRDefault="00000000" w:rsidRPr="00000000" w14:paraId="00000008">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2 villa projects + 1 boutique suites hub</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09">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{{LOAN_AMOUNT}}</w:t>
            </w:r>
            <w:r w:rsidDel="00000000" w:rsidR="00000000" w:rsidRPr="00000000">
              <w:rPr>
                <w:rtl w:val="0"/>
              </w:rPr>
            </w:r>
          </w:p>
          <w:p w:rsidR="00000000" w:rsidDel="00000000" w:rsidP="00000000" w:rsidRDefault="00000000" w:rsidRPr="00000000" w14:paraId="0000000A">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Loan Requested</w:t>
            </w:r>
            <w:r w:rsidDel="00000000" w:rsidR="00000000" w:rsidRPr="00000000">
              <w:rPr>
                <w:rtl w:val="0"/>
              </w:rPr>
            </w:r>
          </w:p>
          <w:p w:rsidR="00000000" w:rsidDel="00000000" w:rsidP="00000000" w:rsidRDefault="00000000" w:rsidRPr="00000000" w14:paraId="0000000B">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75% coverage · 13-year repayment · 2-year grace</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0C">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{{EQUITY_REQUIRED}}</w:t>
            </w:r>
            <w:r w:rsidDel="00000000" w:rsidR="00000000" w:rsidRPr="00000000">
              <w:rPr>
                <w:rtl w:val="0"/>
              </w:rPr>
            </w:r>
          </w:p>
          <w:p w:rsidR="00000000" w:rsidDel="00000000" w:rsidP="00000000" w:rsidRDefault="00000000" w:rsidRPr="00000000" w14:paraId="0000000D">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Owner Equity</w:t>
            </w:r>
            <w:r w:rsidDel="00000000" w:rsidR="00000000" w:rsidRPr="00000000">
              <w:rPr>
                <w:rtl w:val="0"/>
              </w:rPr>
            </w:r>
          </w:p>
          <w:p w:rsidR="00000000" w:rsidDel="00000000" w:rsidP="00000000" w:rsidRDefault="00000000" w:rsidRPr="00000000" w14:paraId="0000000E">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25% contribution</w:t>
            </w:r>
            <w:r w:rsidDel="00000000" w:rsidR="00000000" w:rsidRPr="00000000">
              <w:rPr>
                <w:rtl w:val="0"/>
              </w:rPr>
            </w:r>
          </w:p>
        </w:tc>
      </w:tr>
    </w:tbl>
    <w:p w:rsidR="00000000" w:rsidDel="00000000" w:rsidP="00000000" w:rsidRDefault="00000000" w:rsidRPr="00000000" w14:paraId="0000000F">
      <w:pPr>
        <w:spacing w:after="40" w:before="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b5563"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10">
            <w:pPr>
              <w:spacing w:after="2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0b5563"/>
                <w:sz w:val="32"/>
                <w:szCs w:val="32"/>
                <w:rtl w:val="0"/>
              </w:rPr>
              <w:t>≥{{PORTFOLIO_VALUE}}</w:t>
            </w:r>
            <w:r w:rsidDel="00000000" w:rsidR="00000000" w:rsidRPr="00000000">
              <w:rPr>
                <w:rtl w:val="0"/>
              </w:rPr>
            </w:r>
          </w:p>
          <w:p w:rsidR="00000000" w:rsidDel="00000000" w:rsidP="00000000" w:rsidRDefault="00000000" w:rsidRPr="00000000" w14:paraId="00000011">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Completed Asset Value</w:t>
            </w:r>
            <w:r w:rsidDel="00000000" w:rsidR="00000000" w:rsidRPr="00000000">
              <w:rPr>
                <w:rtl w:val="0"/>
              </w:rPr>
            </w:r>
          </w:p>
          <w:p w:rsidR="00000000" w:rsidDel="00000000" w:rsidP="00000000" w:rsidRDefault="00000000" w:rsidRPr="00000000" w14:paraId="00000012">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 €9,000/m²  ·  950m² built</w:t>
            </w:r>
            <w:r w:rsidDel="00000000" w:rsidR="00000000" w:rsidRPr="00000000">
              <w:rPr>
                <w:rtl w:val="0"/>
              </w:rPr>
            </w:r>
          </w:p>
        </w:tc>
        <w:tc>
          <w:tcPr>
            <w:tcBorders>
              <w:top w:color="0b5563"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13">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{{LTV}}</w:t>
            </w:r>
            <w:r w:rsidDel="00000000" w:rsidR="00000000" w:rsidRPr="00000000">
              <w:rPr>
                <w:rtl w:val="0"/>
              </w:rPr>
            </w:r>
          </w:p>
          <w:p w:rsidR="00000000" w:rsidDel="00000000" w:rsidP="00000000" w:rsidRDefault="00000000" w:rsidRPr="00000000" w14:paraId="00000014">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LTV at Completion</w:t>
            </w:r>
            <w:r w:rsidDel="00000000" w:rsidR="00000000" w:rsidRPr="00000000">
              <w:rPr>
                <w:rtl w:val="0"/>
              </w:rPr>
            </w:r>
          </w:p>
          <w:p w:rsidR="00000000" w:rsidDel="00000000" w:rsidP="00000000" w:rsidRDefault="00000000" w:rsidRPr="00000000" w14:paraId="00000015">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Asset covers loan 1.85× at completion</w:t>
            </w:r>
            <w:r w:rsidDel="00000000" w:rsidR="00000000" w:rsidRPr="00000000">
              <w:rPr>
                <w:rtl w:val="0"/>
              </w:rPr>
            </w:r>
          </w:p>
        </w:tc>
        <w:tc>
          <w:tcPr>
            <w:tcBorders>
              <w:top w:color="0b5563"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16">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{{ASSET_COVERAGE}}</w:t>
            </w:r>
            <w:r w:rsidDel="00000000" w:rsidR="00000000" w:rsidRPr="00000000">
              <w:rPr>
                <w:rtl w:val="0"/>
              </w:rPr>
            </w:r>
          </w:p>
          <w:p w:rsidR="00000000" w:rsidDel="00000000" w:rsidP="00000000" w:rsidRDefault="00000000" w:rsidRPr="00000000" w14:paraId="00000017">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Asset Coverage</w:t>
            </w:r>
            <w:r w:rsidDel="00000000" w:rsidR="00000000" w:rsidRPr="00000000">
              <w:rPr>
                <w:rtl w:val="0"/>
              </w:rPr>
            </w:r>
          </w:p>
          <w:p w:rsidR="00000000" w:rsidDel="00000000" w:rsidP="00000000" w:rsidRDefault="00000000" w:rsidRPr="00000000" w14:paraId="00000018">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Value ÷ loan · €2.64M buffer at stress test</w:t>
            </w:r>
            <w:r w:rsidDel="00000000" w:rsidR="00000000" w:rsidRPr="00000000">
              <w:rPr>
                <w:rtl w:val="0"/>
              </w:rPr>
            </w:r>
          </w:p>
        </w:tc>
      </w:tr>
    </w:tbl>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Bdr>
          <w:left w:color="b8962e" w:space="0" w:sz="20" w:val="single"/>
        </w:pBdr>
        <w:spacing w:after="120" w:before="120" w:lineRule="auto"/>
        <w:ind w:left="280" w:firstLine="0"/>
        <w:rPr/>
      </w:pPr>
      <w:r w:rsidDel="00000000" w:rsidR="00000000" w:rsidRPr="00000000">
        <w:rPr>
          <w:rFonts w:ascii="Arial" w:cs="Arial" w:eastAsia="Arial" w:hAnsi="Arial"/>
          <w:b w:val="1"/>
          <w:bCs w:val="1"/>
          <w:i w:val="1"/>
          <w:iCs w:val="1"/>
          <w:smallCaps w:val="0"/>
          <w:color w:val="1f3864"/>
          <w:sz w:val="19"/>
          <w:szCs w:val="19"/>
          <w:rtl w:val="0"/>
        </w:rPr>
        <w:t xml:space="preserve">An expansion of a proven operation.  </w:t>
      </w:r>
      <w:r w:rsidDel="00000000" w:rsidR="00000000" w:rsidRPr="00000000">
        <w:rPr>
          <w:rFonts w:ascii="Arial" w:cs="Arial" w:eastAsia="Arial" w:hAnsi="Arial"/>
          <w:b w:val="0"/>
          <w:bCs w:val="0"/>
          <w:i w:val="1"/>
          <w:iCs w:val="1"/>
          <w:smallCaps w:val="0"/>
          <w:color w:val="2d2d2d"/>
          <w:sz w:val="19"/>
          <w:szCs w:val="19"/>
          <w:rtl w:val="0"/>
        </w:rPr>
        <w:t xml:space="preserve">Villa Lev generated €298,000 in revenue at an ADR of €3,800 in 2025 — its fifth consecutive year of growth. Refused bookings exceeded €300,000 that year. By March 2026 they have already reached €500,000. This project converts documented, irrecoverable demand into structured, financeable capacity.</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01C">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EXECUTIVE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01D">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1</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3864" w:space="0" w:sz="8" w:val="single"/>
              <w:left w:color="1f3864" w:space="0" w:sz="8" w:val="single"/>
              <w:bottom w:color="1f3864" w:space="0" w:sz="8" w:val="single"/>
              <w:right w:color="cccccc" w:space="0" w:sz="4" w:val="single"/>
            </w:tcBorders>
            <w:shd w:fill="f4f2ee" w:val="clear"/>
            <w:tcMar>
              <w:top w:w="120.0" w:type="dxa"/>
              <w:left w:w="180.0" w:type="dxa"/>
              <w:bottom w:w="120.0" w:type="dxa"/>
              <w:right w:w="180.0" w:type="dxa"/>
            </w:tcMar>
          </w:tcPr>
          <w:p w:rsidR="00000000" w:rsidDel="00000000" w:rsidP="00000000" w:rsidRDefault="00000000" w:rsidRPr="00000000" w14:paraId="0000001F">
            <w:pPr>
              <w:spacing w:after="80" w:before="0" w:line="276" w:lineRule="auto"/>
              <w:jc w:val="left"/>
              <w:rPr/>
            </w:pPr>
            <w:r w:rsidDel="00000000" w:rsidR="00000000" w:rsidRPr="00000000">
              <w:rPr>
                <w:rFonts w:ascii="Arial" w:cs="Arial" w:eastAsia="Arial" w:hAnsi="Arial"/>
                <w:b w:val="1"/>
                <w:bCs w:val="1"/>
                <w:i w:val="0"/>
                <w:iCs w:val="0"/>
                <w:smallCaps w:val="1"/>
                <w:color w:val="1f3864"/>
                <w:sz w:val="17"/>
                <w:szCs w:val="17"/>
                <w:rtl w:val="0"/>
              </w:rPr>
              <w:t xml:space="preserve">THE LOAN REQUEST</w:t>
            </w:r>
            <w:r w:rsidDel="00000000" w:rsidR="00000000" w:rsidRPr="00000000">
              <w:rPr>
                <w:rtl w:val="0"/>
              </w:rPr>
            </w:r>
          </w:p>
          <w:p w:rsidR="00000000" w:rsidDel="00000000" w:rsidP="00000000" w:rsidRDefault="00000000" w:rsidRPr="00000000" w14:paraId="00000020">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Total project cost  </w:t>
            </w:r>
            <w:r w:rsidDel="00000000" w:rsidR="00000000" w:rsidRPr="00000000">
              <w:rPr>
                <w:rFonts w:ascii="Arial" w:cs="Arial" w:eastAsia="Arial" w:hAnsi="Arial"/>
                <w:b w:val="1"/>
                <w:bCs w:val="1"/>
                <w:i w:val="0"/>
                <w:iCs w:val="0"/>
                <w:smallCaps w:val="0"/>
                <w:color w:val="1f3864"/>
                <w:sz w:val="19"/>
                <w:szCs w:val="19"/>
                <w:rtl w:val="0"/>
              </w:rPr>
              <w:t>{{TOTAL_CAPEX}}</w:t>
            </w:r>
            <w:r w:rsidDel="00000000" w:rsidR="00000000" w:rsidRPr="00000000">
              <w:rPr>
                <w:rtl w:val="0"/>
              </w:rPr>
            </w:r>
          </w:p>
          <w:p w:rsidR="00000000" w:rsidDel="00000000" w:rsidP="00000000" w:rsidRDefault="00000000" w:rsidRPr="00000000" w14:paraId="00000021">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Loan requested (75%):  </w:t>
            </w:r>
            <w:r w:rsidDel="00000000" w:rsidR="00000000" w:rsidRPr="00000000">
              <w:rPr>
                <w:rFonts w:ascii="Arial" w:cs="Arial" w:eastAsia="Arial" w:hAnsi="Arial"/>
                <w:b w:val="1"/>
                <w:bCs w:val="1"/>
                <w:i w:val="0"/>
                <w:iCs w:val="0"/>
                <w:smallCaps w:val="0"/>
                <w:color w:val="1f3864"/>
                <w:sz w:val="19"/>
                <w:szCs w:val="19"/>
                <w:rtl w:val="0"/>
              </w:rPr>
              <w:t>{{LOAN_AMOUNT}}</w:t>
            </w:r>
            <w:r w:rsidDel="00000000" w:rsidR="00000000" w:rsidRPr="00000000">
              <w:rPr>
                <w:rtl w:val="0"/>
              </w:rPr>
            </w:r>
          </w:p>
          <w:p w:rsidR="00000000" w:rsidDel="00000000" w:rsidP="00000000" w:rsidRDefault="00000000" w:rsidRPr="00000000" w14:paraId="00000022">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Owner equity (25%):  </w:t>
            </w:r>
            <w:r w:rsidDel="00000000" w:rsidR="00000000" w:rsidRPr="00000000">
              <w:rPr>
                <w:rFonts w:ascii="Arial" w:cs="Arial" w:eastAsia="Arial" w:hAnsi="Arial"/>
                <w:b w:val="1"/>
                <w:bCs w:val="1"/>
                <w:i w:val="0"/>
                <w:iCs w:val="0"/>
                <w:smallCaps w:val="0"/>
                <w:color w:val="2d2d2d"/>
                <w:sz w:val="19"/>
                <w:szCs w:val="19"/>
                <w:rtl w:val="0"/>
              </w:rPr>
              <w:t xml:space="preserve">€1,543,500</w:t>
            </w:r>
            <w:r w:rsidDel="00000000" w:rsidR="00000000" w:rsidRPr="00000000">
              <w:rPr>
                <w:rtl w:val="0"/>
              </w:rPr>
            </w:r>
          </w:p>
          <w:p w:rsidR="00000000" w:rsidDel="00000000" w:rsidP="00000000" w:rsidRDefault="00000000" w:rsidRPr="00000000" w14:paraId="00000023">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Working capital (revolving):  </w:t>
            </w:r>
            <w:r w:rsidDel="00000000" w:rsidR="00000000" w:rsidRPr="00000000">
              <w:rPr>
                <w:rFonts w:ascii="Arial" w:cs="Arial" w:eastAsia="Arial" w:hAnsi="Arial"/>
                <w:b w:val="1"/>
                <w:bCs w:val="1"/>
                <w:i w:val="0"/>
                <w:iCs w:val="0"/>
                <w:smallCaps w:val="0"/>
                <w:color w:val="2d2d2d"/>
                <w:sz w:val="19"/>
                <w:szCs w:val="19"/>
                <w:rtl w:val="0"/>
              </w:rPr>
              <w:t xml:space="preserve">€400,000</w:t>
            </w:r>
            <w:r w:rsidDel="00000000" w:rsidR="00000000" w:rsidRPr="00000000">
              <w:rPr>
                <w:rtl w:val="0"/>
              </w:rPr>
            </w:r>
          </w:p>
          <w:p w:rsidR="00000000" w:rsidDel="00000000" w:rsidP="00000000" w:rsidRDefault="00000000" w:rsidRPr="00000000" w14:paraId="00000024">
            <w:pPr>
              <w:spacing w:after="80" w:before="0" w:line="276" w:lineRule="auto"/>
              <w:jc w:val="left"/>
              <w:rPr/>
            </w:pPr>
            <w:r w:rsidDel="00000000" w:rsidR="00000000" w:rsidRPr="00000000">
              <w:rPr>
                <w:rFonts w:ascii="Arial" w:cs="Arial" w:eastAsia="Arial" w:hAnsi="Arial"/>
                <w:b w:val="0"/>
                <w:bCs w:val="0"/>
                <w:i w:val="1"/>
                <w:iCs w:val="1"/>
                <w:smallCaps w:val="0"/>
                <w:color w:val="888888"/>
                <w:sz w:val="18"/>
                <w:szCs w:val="18"/>
                <w:rtl w:val="0"/>
              </w:rPr>
              <w:t xml:space="preserve">Term: 15 years  ·  Grace: 2 years  ·  Rate: 5%</w:t>
            </w:r>
            <w:r w:rsidDel="00000000" w:rsidR="00000000" w:rsidRPr="00000000">
              <w:rPr>
                <w:rtl w:val="0"/>
              </w:rPr>
            </w:r>
          </w:p>
        </w:tc>
        <w:tc>
          <w:tcPr>
            <w:tcBorders>
              <w:top w:color="1f3864" w:space="0" w:sz="8" w:val="single"/>
              <w:left w:color="cccccc" w:space="0" w:sz="4" w:val="single"/>
              <w:bottom w:color="1f3864" w:space="0" w:sz="8" w:val="single"/>
              <w:right w:color="1f3864" w:space="0" w:sz="8" w:val="single"/>
            </w:tcBorders>
            <w:shd w:fill="eef4f8" w:val="clear"/>
            <w:tcMar>
              <w:top w:w="120.0" w:type="dxa"/>
              <w:left w:w="180.0" w:type="dxa"/>
              <w:bottom w:w="120.0" w:type="dxa"/>
              <w:right w:w="180.0" w:type="dxa"/>
            </w:tcMar>
          </w:tcPr>
          <w:p w:rsidR="00000000" w:rsidDel="00000000" w:rsidP="00000000" w:rsidRDefault="00000000" w:rsidRPr="00000000" w14:paraId="00000025">
            <w:pPr>
              <w:spacing w:after="80" w:before="0" w:line="276" w:lineRule="auto"/>
              <w:jc w:val="left"/>
              <w:rPr/>
            </w:pPr>
            <w:r w:rsidDel="00000000" w:rsidR="00000000" w:rsidRPr="00000000">
              <w:rPr>
                <w:rFonts w:ascii="Arial" w:cs="Arial" w:eastAsia="Arial" w:hAnsi="Arial"/>
                <w:b w:val="1"/>
                <w:bCs w:val="1"/>
                <w:i w:val="0"/>
                <w:iCs w:val="0"/>
                <w:smallCaps w:val="1"/>
                <w:color w:val="0b5563"/>
                <w:sz w:val="17"/>
                <w:szCs w:val="17"/>
                <w:rtl w:val="0"/>
              </w:rPr>
              <w:t xml:space="preserve">THE COLLATERAL CASE</w:t>
            </w:r>
            <w:r w:rsidDel="00000000" w:rsidR="00000000" w:rsidRPr="00000000">
              <w:rPr>
                <w:rtl w:val="0"/>
              </w:rPr>
            </w:r>
          </w:p>
          <w:p w:rsidR="00000000" w:rsidDel="00000000" w:rsidP="00000000" w:rsidRDefault="00000000" w:rsidRPr="00000000" w14:paraId="00000026">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Completed portfolio value  </w:t>
            </w:r>
            <w:r w:rsidDel="00000000" w:rsidR="00000000" w:rsidRPr="00000000">
              <w:rPr>
                <w:rFonts w:ascii="Arial Unicode MS" w:cs="Arial Unicode MS" w:eastAsia="Arial Unicode MS" w:hAnsi="Arial Unicode MS"/>
                <w:b w:val="1"/>
                <w:bCs w:val="1"/>
                <w:i w:val="0"/>
                <w:iCs w:val="0"/>
                <w:smallCaps w:val="0"/>
                <w:color w:val="0b5563"/>
                <w:sz w:val="19"/>
                <w:szCs w:val="19"/>
                <w:rtl w:val="0"/>
              </w:rPr>
              <w:t>≥{{PORTFOLIO_VALUE}}</w:t>
            </w:r>
            <w:r w:rsidDel="00000000" w:rsidR="00000000" w:rsidRPr="00000000">
              <w:rPr>
                <w:rtl w:val="0"/>
              </w:rPr>
            </w:r>
          </w:p>
          <w:p w:rsidR="00000000" w:rsidDel="00000000" w:rsidP="00000000" w:rsidRDefault="00000000" w:rsidRPr="00000000" w14:paraId="00000027">
            <w:pPr>
              <w:spacing w:after="40" w:before="0" w:line="288" w:lineRule="auto"/>
              <w:jc w:val="left"/>
              <w:rPr/>
            </w:pPr>
            <w:r w:rsidDel="00000000" w:rsidR="00000000" w:rsidRPr="00000000">
              <w:rPr>
                <w:rFonts w:ascii="Arial" w:cs="Arial" w:eastAsia="Arial" w:hAnsi="Arial"/>
                <w:b w:val="0"/>
                <w:bCs w:val="0"/>
                <w:i w:val="0"/>
                <w:iCs w:val="0"/>
                <w:smallCaps w:val="0"/>
                <w:color w:val="2d2d2d"/>
                <w:sz w:val="19"/>
                <w:szCs w:val="19"/>
                <w:rtl w:val="0"/>
              </w:rPr>
              <w:t xml:space="preserve">LTV at completion:  </w:t>
            </w:r>
            <w:r w:rsidDel="00000000" w:rsidR="00000000" w:rsidRPr="00000000">
              <w:rPr>
                <w:rFonts w:ascii="Arial" w:cs="Arial" w:eastAsia="Arial" w:hAnsi="Arial"/>
                <w:b w:val="1"/>
                <w:bCs w:val="1"/>
                <w:i w:val="0"/>
                <w:iCs w:val="0"/>
                <w:smallCaps w:val="0"/>
                <w:color w:val="2d2d2d"/>
                <w:sz w:val="19"/>
                <w:szCs w:val="19"/>
                <w:rtl w:val="0"/>
              </w:rPr>
              <w:t>{{LTV}}  —  loan covered {{ASSET_COVERAGE}} by asset value</w:t>
            </w:r>
            <w:r w:rsidDel="00000000" w:rsidR="00000000" w:rsidRPr="00000000">
              <w:rPr>
                <w:rtl w:val="0"/>
              </w:rPr>
            </w:r>
          </w:p>
          <w:p w:rsidR="00000000" w:rsidDel="00000000" w:rsidP="00000000" w:rsidRDefault="00000000" w:rsidRPr="00000000" w14:paraId="00000028">
            <w:pPr>
              <w:spacing w:after="40" w:before="0" w:line="276" w:lineRule="auto"/>
              <w:jc w:val="left"/>
              <w:rPr/>
            </w:pPr>
            <w:r w:rsidDel="00000000" w:rsidR="00000000" w:rsidRPr="00000000">
              <w:rPr>
                <w:rFonts w:ascii="Arial" w:cs="Arial" w:eastAsia="Arial" w:hAnsi="Arial"/>
                <w:b w:val="0"/>
                <w:bCs w:val="0"/>
                <w:i w:val="1"/>
                <w:iCs w:val="1"/>
                <w:smallCaps w:val="0"/>
                <w:color w:val="888888"/>
                <w:sz w:val="18"/>
                <w:szCs w:val="18"/>
                <w:rtl w:val="0"/>
              </w:rPr>
              <w:t xml:space="preserve">Basis: €9,000/m² on 950m² built surface</w:t>
            </w:r>
            <w:r w:rsidDel="00000000" w:rsidR="00000000" w:rsidRPr="00000000">
              <w:rPr>
                <w:rtl w:val="0"/>
              </w:rPr>
            </w:r>
          </w:p>
          <w:p w:rsidR="00000000" w:rsidDel="00000000" w:rsidP="00000000" w:rsidRDefault="00000000" w:rsidRPr="00000000" w14:paraId="00000029">
            <w:pPr>
              <w:spacing w:after="80" w:before="0" w:line="276" w:lineRule="auto"/>
              <w:jc w:val="left"/>
              <w:rPr/>
            </w:pPr>
            <w:r w:rsidDel="00000000" w:rsidR="00000000" w:rsidRPr="00000000">
              <w:rPr>
                <w:rFonts w:ascii="Arial" w:cs="Arial" w:eastAsia="Arial" w:hAnsi="Arial"/>
                <w:b w:val="0"/>
                <w:bCs w:val="0"/>
                <w:i w:val="1"/>
                <w:iCs w:val="1"/>
                <w:smallCaps w:val="0"/>
                <w:color w:val="888888"/>
                <w:sz w:val="18"/>
                <w:szCs w:val="18"/>
                <w:rtl w:val="0"/>
              </w:rPr>
              <w:t xml:space="preserve">Stress @ €7,650/m²: €7,267,500 — €2.64M above the loan</w:t>
            </w:r>
            <w:r w:rsidDel="00000000" w:rsidR="00000000" w:rsidRPr="00000000">
              <w:rPr>
                <w:rtl w:val="0"/>
              </w:rPr>
            </w:r>
          </w:p>
        </w:tc>
      </w:tr>
    </w:tbl>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Loan Purpose — Two Phases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760"/>
        <w:gridCol w:w="2160"/>
        <w:tblGridChange w:id="0">
          <w:tblGrid>
            <w:gridCol w:w="1440"/>
            <w:gridCol w:w="5760"/>
            <w:gridCol w:w="216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2C">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Phase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2D">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Purpose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2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Amount</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2F">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Phase 1</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3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Plot acquisition (3 plots) + building permit preparation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3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{{PHASE1_AMOUNT}}</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3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Phase 2</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3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Construction + fit-out (Properties A×2 and B) — activated upon permit issuance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3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{{PHASE2_AMOUNT}}</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35">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Working Capital</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3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Revolving credit facility — construction phase, self-liquidating</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3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{{WC_FACILITY}}</w:t>
            </w:r>
            <w:r w:rsidDel="00000000" w:rsidR="00000000" w:rsidRPr="00000000">
              <w:rPr>
                <w:rtl w:val="0"/>
              </w:rPr>
            </w:r>
          </w:p>
        </w:tc>
      </w:tr>
    </w:tbl>
    <w:p w:rsidR="00000000" w:rsidDel="00000000" w:rsidP="00000000" w:rsidRDefault="00000000" w:rsidRPr="00000000" w14:paraId="00000038">
      <w:pPr>
        <w:spacing w:after="20" w:before="20" w:lineRule="auto"/>
        <w:rPr/>
      </w:pPr>
      <w:r w:rsidDel="00000000" w:rsidR="00000000" w:rsidRPr="00000000">
        <w:rPr>
          <w:rtl w:val="0"/>
        </w:rPr>
      </w:r>
    </w:p>
    <w:p w:rsidR="00000000" w:rsidDel="00000000" w:rsidP="00000000" w:rsidRDefault="00000000" w:rsidRPr="00000000" w14:paraId="00000039">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Operational target: Summer 2028. Villa Lev Group Management operational from Day 1 under long-term exclusive management contracts, with an existing client base providing immediate demand.</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03B">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PROVEN TRACK RECORD — VILLA LEV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03C">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2</w:t>
            </w:r>
            <w:r w:rsidDel="00000000" w:rsidR="00000000" w:rsidRPr="00000000">
              <w:rPr>
                <w:rtl w:val="0"/>
              </w:rPr>
            </w:r>
          </w:p>
        </w:tc>
      </w:tr>
    </w:tbl>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Villa Lev is an 8-bedroom luxury property on Antiparos, operational since 2022. It is the top-ranked villa on the island and ranks in the top 5% of all Airbnb properties worldwide. The expansion is not speculative — it is the direct response to five seasons of documented, compounding demand that one property cannot absorb.</w:t>
      </w:r>
      <w:r w:rsidDel="00000000" w:rsidR="00000000" w:rsidRPr="00000000">
        <w:rPr>
          <w:rtl w:val="0"/>
        </w:rPr>
      </w:r>
    </w:p>
    <w:p w:rsidR="00000000" w:rsidDel="00000000" w:rsidP="00000000" w:rsidRDefault="00000000" w:rsidRPr="00000000" w14:paraId="0000003F">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Operational Results</w:t>
      </w:r>
      <w:r w:rsidDel="00000000" w:rsidR="00000000" w:rsidRPr="00000000">
        <w:rPr>
          <w:rtl w:val="0"/>
        </w:rPr>
      </w:r>
    </w:p>
    <w:tbl>
      <w:tblPr>
        <w:tblStyle w:val="Table7"/>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40"/>
        <w:gridCol w:w="1440"/>
        <w:gridCol w:w="1440"/>
        <w:gridCol w:w="1800"/>
        <w:tblGridChange w:id="0">
          <w:tblGrid>
            <w:gridCol w:w="3000"/>
            <w:gridCol w:w="1440"/>
            <w:gridCol w:w="1440"/>
            <w:gridCol w:w="1440"/>
            <w:gridCol w:w="180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40">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Metric</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4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2022</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4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2023</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43">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2024</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44">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2025</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5">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€116,000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€165,000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€185,000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9">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€298,000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4A">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Average Daily Rate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4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€2,200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4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€2,850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4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4E">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€3,800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4F">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Nights Sold</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5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5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58</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5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62</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5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79</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54">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Refused Bookings (€)</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5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5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5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~€160,000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58">
            <w:pPr>
              <w:spacing w:after="80" w:before="0" w:line="276" w:lineRule="auto"/>
              <w:jc w:val="center"/>
              <w:rPr/>
            </w:pPr>
            <w:r w:rsidDel="00000000" w:rsidR="00000000" w:rsidRPr="00000000">
              <w:rPr>
                <w:rFonts w:ascii="Arial" w:cs="Arial" w:eastAsia="Arial" w:hAnsi="Arial"/>
                <w:b w:val="1"/>
                <w:bCs w:val="1"/>
                <w:i w:val="0"/>
                <w:iCs w:val="0"/>
                <w:smallCaps w:val="0"/>
                <w:color w:val="8b1a1a"/>
                <w:sz w:val="18"/>
                <w:szCs w:val="18"/>
                <w:rtl w:val="0"/>
              </w:rPr>
              <w:t xml:space="preserve">&gt;€300,000</w:t>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2026 Season — In Progress</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8962e"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5B">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 xml:space="preserve">€325,000+</w:t>
            </w:r>
            <w:r w:rsidDel="00000000" w:rsidR="00000000" w:rsidRPr="00000000">
              <w:rPr>
                <w:rtl w:val="0"/>
              </w:rPr>
            </w:r>
          </w:p>
          <w:p w:rsidR="00000000" w:rsidDel="00000000" w:rsidP="00000000" w:rsidRDefault="00000000" w:rsidRPr="00000000" w14:paraId="0000005C">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2026 Revenue</w:t>
            </w:r>
            <w:r w:rsidDel="00000000" w:rsidR="00000000" w:rsidRPr="00000000">
              <w:rPr>
                <w:rtl w:val="0"/>
              </w:rPr>
            </w:r>
          </w:p>
          <w:p w:rsidR="00000000" w:rsidDel="00000000" w:rsidP="00000000" w:rsidRDefault="00000000" w:rsidRPr="00000000" w14:paraId="0000005D">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Deposits paid · 50%+ ahead of 2025 pace</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5E">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 xml:space="preserve">€4,000</w:t>
            </w:r>
            <w:r w:rsidDel="00000000" w:rsidR="00000000" w:rsidRPr="00000000">
              <w:rPr>
                <w:rtl w:val="0"/>
              </w:rPr>
            </w:r>
          </w:p>
          <w:p w:rsidR="00000000" w:rsidDel="00000000" w:rsidP="00000000" w:rsidRDefault="00000000" w:rsidRPr="00000000" w14:paraId="0000005F">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Current ADR</w:t>
            </w:r>
            <w:r w:rsidDel="00000000" w:rsidR="00000000" w:rsidRPr="00000000">
              <w:rPr>
                <w:rtl w:val="0"/>
              </w:rPr>
            </w:r>
          </w:p>
          <w:p w:rsidR="00000000" w:rsidDel="00000000" w:rsidP="00000000" w:rsidRDefault="00000000" w:rsidRPr="00000000" w14:paraId="00000060">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Peak ADR: €4,800</w:t>
            </w:r>
            <w:r w:rsidDel="00000000" w:rsidR="00000000" w:rsidRPr="00000000">
              <w:rPr>
                <w:rtl w:val="0"/>
              </w:rPr>
            </w:r>
          </w:p>
        </w:tc>
        <w:tc>
          <w:tcPr>
            <w:tcBorders>
              <w:top w:color="8b1a1a"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61">
            <w:pPr>
              <w:spacing w:after="20" w:before="0" w:line="276" w:lineRule="auto"/>
              <w:jc w:val="center"/>
              <w:rPr/>
            </w:pPr>
            <w:r w:rsidDel="00000000" w:rsidR="00000000" w:rsidRPr="00000000">
              <w:rPr>
                <w:rFonts w:ascii="Arial" w:cs="Arial" w:eastAsia="Arial" w:hAnsi="Arial"/>
                <w:b w:val="1"/>
                <w:bCs w:val="1"/>
                <w:i w:val="0"/>
                <w:iCs w:val="0"/>
                <w:smallCaps w:val="0"/>
                <w:color w:val="8b1a1a"/>
                <w:sz w:val="32"/>
                <w:szCs w:val="32"/>
                <w:rtl w:val="0"/>
              </w:rPr>
              <w:t xml:space="preserve">~€500,000</w:t>
            </w:r>
            <w:r w:rsidDel="00000000" w:rsidR="00000000" w:rsidRPr="00000000">
              <w:rPr>
                <w:rtl w:val="0"/>
              </w:rPr>
            </w:r>
          </w:p>
          <w:p w:rsidR="00000000" w:rsidDel="00000000" w:rsidP="00000000" w:rsidRDefault="00000000" w:rsidRPr="00000000" w14:paraId="00000062">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Refused Bookings YTD</w:t>
            </w:r>
            <w:r w:rsidDel="00000000" w:rsidR="00000000" w:rsidRPr="00000000">
              <w:rPr>
                <w:rtl w:val="0"/>
              </w:rPr>
            </w:r>
          </w:p>
          <w:p w:rsidR="00000000" w:rsidDel="00000000" w:rsidP="00000000" w:rsidRDefault="00000000" w:rsidRPr="00000000" w14:paraId="00000063">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Peak dates fully committed</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64">
            <w:pPr>
              <w:spacing w:after="20" w:before="0" w:line="276" w:lineRule="auto"/>
              <w:jc w:val="center"/>
              <w:rPr/>
            </w:pPr>
            <w:r w:rsidDel="00000000" w:rsidR="00000000" w:rsidRPr="00000000">
              <w:rPr>
                <w:rFonts w:ascii="Arial" w:cs="Arial" w:eastAsia="Arial" w:hAnsi="Arial"/>
                <w:b w:val="1"/>
                <w:bCs w:val="1"/>
                <w:i w:val="0"/>
                <w:iCs w:val="0"/>
                <w:smallCaps w:val="0"/>
                <w:color w:val="1f3864"/>
                <w:sz w:val="32"/>
                <w:szCs w:val="32"/>
                <w:rtl w:val="0"/>
              </w:rPr>
              <w:t xml:space="preserve">18 months</w:t>
            </w:r>
            <w:r w:rsidDel="00000000" w:rsidR="00000000" w:rsidRPr="00000000">
              <w:rPr>
                <w:rtl w:val="0"/>
              </w:rPr>
            </w:r>
          </w:p>
          <w:p w:rsidR="00000000" w:rsidDel="00000000" w:rsidP="00000000" w:rsidRDefault="00000000" w:rsidRPr="00000000" w14:paraId="00000065">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Forward Visibility</w:t>
            </w:r>
            <w:r w:rsidDel="00000000" w:rsidR="00000000" w:rsidRPr="00000000">
              <w:rPr>
                <w:rtl w:val="0"/>
              </w:rPr>
            </w:r>
          </w:p>
          <w:p w:rsidR="00000000" w:rsidDel="00000000" w:rsidP="00000000" w:rsidRDefault="00000000" w:rsidRPr="00000000" w14:paraId="00000066">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2027 reservations already confirmed</w:t>
            </w:r>
            <w:r w:rsidDel="00000000" w:rsidR="00000000" w:rsidRPr="00000000">
              <w:rPr>
                <w:rtl w:val="0"/>
              </w:rPr>
            </w:r>
          </w:p>
        </w:tc>
      </w:tr>
    </w:tbl>
    <w:p w:rsidR="00000000" w:rsidDel="00000000" w:rsidP="00000000" w:rsidRDefault="00000000" w:rsidRPr="00000000" w14:paraId="00000067">
      <w:pPr>
        <w:spacing w:after="80" w:before="80" w:lineRule="auto"/>
        <w:rPr/>
      </w:pPr>
      <w:r w:rsidDel="00000000" w:rsidR="00000000" w:rsidRPr="00000000">
        <w:rPr>
          <w:rtl w:val="0"/>
        </w:rPr>
      </w:r>
    </w:p>
    <w:p w:rsidR="00000000" w:rsidDel="00000000" w:rsidP="00000000" w:rsidRDefault="00000000" w:rsidRPr="00000000" w14:paraId="00000068">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Why the Projections Are Conservative</w:t>
      </w:r>
      <w:r w:rsidDel="00000000" w:rsidR="00000000" w:rsidRPr="00000000">
        <w:rPr>
          <w:rtl w:val="0"/>
        </w:rPr>
      </w:r>
    </w:p>
    <w:p w:rsidR="00000000" w:rsidDel="00000000" w:rsidP="00000000" w:rsidRDefault="00000000" w:rsidRPr="00000000" w14:paraId="00000069">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The financial model uses static, stabilised-year assumptions. It does not apply the compounding growth that Villa Lev has produced over five consecutive seasons.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80"/>
        <w:gridCol w:w="1920"/>
        <w:gridCol w:w="3360"/>
        <w:tblGridChange w:id="0">
          <w:tblGrid>
            <w:gridCol w:w="2400"/>
            <w:gridCol w:w="1680"/>
            <w:gridCol w:w="1920"/>
            <w:gridCol w:w="336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6A">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Metric</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6B">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Historical Growth</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6C">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Villa Lev — March 2026</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6D">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Model Assumption</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6E">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ADR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6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+5–10% / year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7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71">
            <w:pPr>
              <w:spacing w:after="80" w:before="0" w:line="276" w:lineRule="auto"/>
              <w:jc w:val="center"/>
              <w:rPr/>
            </w:pPr>
            <w:r w:rsidDel="00000000" w:rsidR="00000000" w:rsidRPr="00000000">
              <w:rPr>
                <w:rFonts w:ascii="Arial" w:cs="Arial" w:eastAsia="Arial" w:hAnsi="Arial"/>
                <w:b w:val="0"/>
                <w:bCs w:val="0"/>
                <w:i w:val="1"/>
                <w:iCs w:val="1"/>
                <w:smallCaps w:val="0"/>
                <w:color w:val="2d2d2d"/>
                <w:sz w:val="18"/>
                <w:szCs w:val="18"/>
                <w:rtl w:val="0"/>
              </w:rPr>
              <w:t>{{VILLA_ADR}} (realistic)</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7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Nights Sold</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7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+10–15% / year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7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~86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75">
            <w:pPr>
              <w:spacing w:after="80" w:before="0" w:line="276" w:lineRule="auto"/>
              <w:jc w:val="center"/>
              <w:rPr/>
            </w:pPr>
            <w:r w:rsidDel="00000000" w:rsidR="00000000" w:rsidRPr="00000000">
              <w:rPr>
                <w:rFonts w:ascii="Arial" w:cs="Arial" w:eastAsia="Arial" w:hAnsi="Arial"/>
                <w:b w:val="0"/>
                <w:bCs w:val="0"/>
                <w:i w:val="1"/>
                <w:iCs w:val="1"/>
                <w:smallCaps w:val="0"/>
                <w:color w:val="2d2d2d"/>
                <w:sz w:val="18"/>
                <w:szCs w:val="18"/>
                <w:rtl w:val="0"/>
              </w:rPr>
              <w:t>{{VILLA_NIGHTS}} nights (mature)</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76">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Annual Revenue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7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+15–20% / year</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7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€325,000+ (booked)</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79">
            <w:pPr>
              <w:spacing w:after="80" w:before="0" w:line="276" w:lineRule="auto"/>
              <w:jc w:val="center"/>
              <w:rPr/>
            </w:pPr>
            <w:r w:rsidDel="00000000" w:rsidR="00000000" w:rsidRPr="00000000">
              <w:rPr>
                <w:rFonts w:ascii="Arial" w:cs="Arial" w:eastAsia="Arial" w:hAnsi="Arial"/>
                <w:b w:val="0"/>
                <w:bCs w:val="0"/>
                <w:i w:val="1"/>
                <w:iCs w:val="1"/>
                <w:smallCaps w:val="0"/>
                <w:color w:val="2d2d2d"/>
                <w:sz w:val="18"/>
                <w:szCs w:val="18"/>
                <w:rtl w:val="0"/>
              </w:rPr>
              <w:t>Portfolio {{STAB_REVENUE_SHORT}} at maturity</w:t>
            </w:r>
            <w:r w:rsidDel="00000000" w:rsidR="00000000" w:rsidRPr="00000000">
              <w:rPr>
                <w:rtl w:val="0"/>
              </w:rPr>
            </w:r>
          </w:p>
        </w:tc>
      </w:tr>
    </w:tbl>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Bdr>
          <w:left w:color="b8962e" w:space="0" w:sz="20" w:val="single"/>
        </w:pBdr>
        <w:spacing w:after="120" w:before="120" w:lineRule="auto"/>
        <w:ind w:left="280" w:right="0" w:firstLine="0"/>
        <w:rPr/>
      </w:pPr>
      <w:r w:rsidDel="00000000" w:rsidR="00000000" w:rsidRPr="00000000">
        <w:rPr>
          <w:rFonts w:ascii="Arial" w:cs="Arial" w:eastAsia="Arial" w:hAnsi="Arial"/>
          <w:b w:val="0"/>
          <w:bCs w:val="0"/>
          <w:i w:val="1"/>
          <w:iCs w:val="1"/>
          <w:smallCaps w:val="0"/>
          <w:color w:val="2d2d2d"/>
          <w:sz w:val="19"/>
          <w:szCs w:val="19"/>
          <w:rtl w:val="0"/>
        </w:rPr>
        <w:t xml:space="preserve">By Summer 2028, nights sold will have compounded for two additional years at 10–15% per year. A property achieving 95 nights in its first season would be tracking toward 110+ nights by Year 3 — consistent with Villa Lev's documented trajectory. The model's occupancy assumptions are the floor, not the ceiling.</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Market Ranking</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8962e"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7E">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 xml:space="preserve">#1 Villa</w:t>
            </w:r>
            <w:r w:rsidDel="00000000" w:rsidR="00000000" w:rsidRPr="00000000">
              <w:rPr>
                <w:rtl w:val="0"/>
              </w:rPr>
            </w:r>
          </w:p>
          <w:p w:rsidR="00000000" w:rsidDel="00000000" w:rsidP="00000000" w:rsidRDefault="00000000" w:rsidRPr="00000000" w14:paraId="0000007F">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#1 on Antiparos</w:t>
            </w:r>
            <w:r w:rsidDel="00000000" w:rsidR="00000000" w:rsidRPr="00000000">
              <w:rPr>
                <w:rtl w:val="0"/>
              </w:rPr>
            </w:r>
          </w:p>
          <w:p w:rsidR="00000000" w:rsidDel="00000000" w:rsidP="00000000" w:rsidRDefault="00000000" w:rsidRPr="00000000" w14:paraId="00000080">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AirDNA — top-ranked villa on the island</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81">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 xml:space="preserve">Top 10</w:t>
            </w:r>
            <w:r w:rsidDel="00000000" w:rsidR="00000000" w:rsidRPr="00000000">
              <w:rPr>
                <w:rtl w:val="0"/>
              </w:rPr>
            </w:r>
          </w:p>
          <w:p w:rsidR="00000000" w:rsidDel="00000000" w:rsidP="00000000" w:rsidRDefault="00000000" w:rsidRPr="00000000" w14:paraId="00000082">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Top 10 in Paros market</w:t>
            </w:r>
            <w:r w:rsidDel="00000000" w:rsidR="00000000" w:rsidRPr="00000000">
              <w:rPr>
                <w:rtl w:val="0"/>
              </w:rPr>
            </w:r>
          </w:p>
          <w:p w:rsidR="00000000" w:rsidDel="00000000" w:rsidP="00000000" w:rsidRDefault="00000000" w:rsidRPr="00000000" w14:paraId="00000083">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AirDNA — top 10 in the broader Paros market incl. Antiparos</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84">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 xml:space="preserve">Top 5%</w:t>
            </w:r>
            <w:r w:rsidDel="00000000" w:rsidR="00000000" w:rsidRPr="00000000">
              <w:rPr>
                <w:rtl w:val="0"/>
              </w:rPr>
            </w:r>
          </w:p>
          <w:p w:rsidR="00000000" w:rsidDel="00000000" w:rsidP="00000000" w:rsidRDefault="00000000" w:rsidRPr="00000000" w14:paraId="00000085">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Global Benchmark</w:t>
            </w:r>
            <w:r w:rsidDel="00000000" w:rsidR="00000000" w:rsidRPr="00000000">
              <w:rPr>
                <w:rtl w:val="0"/>
              </w:rPr>
            </w:r>
          </w:p>
          <w:p w:rsidR="00000000" w:rsidDel="00000000" w:rsidP="00000000" w:rsidRDefault="00000000" w:rsidRPr="00000000" w14:paraId="00000086">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All Airbnb properties worldwide</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087">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 xml:space="preserve">150,000+</w:t>
            </w:r>
            <w:r w:rsidDel="00000000" w:rsidR="00000000" w:rsidRPr="00000000">
              <w:rPr>
                <w:rtl w:val="0"/>
              </w:rPr>
            </w:r>
          </w:p>
          <w:p w:rsidR="00000000" w:rsidDel="00000000" w:rsidP="00000000" w:rsidRDefault="00000000" w:rsidRPr="00000000" w14:paraId="00000088">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Annual Profile Views</w:t>
            </w:r>
            <w:r w:rsidDel="00000000" w:rsidR="00000000" w:rsidRPr="00000000">
              <w:rPr>
                <w:rtl w:val="0"/>
              </w:rPr>
            </w:r>
          </w:p>
          <w:p w:rsidR="00000000" w:rsidDel="00000000" w:rsidP="00000000" w:rsidRDefault="00000000" w:rsidRPr="00000000" w14:paraId="00000089">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First page &gt;50% of Paros/Antiparos searches</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08B">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MARKET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08C">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3</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Paros and Antiparos represent the fastest-growing premium destination in the Cyclades. The structural shift of high-end tourism toward Paros is well-documented and accelerating — and is about to be amplified by a transformational infrastructure upgrade.</w:t>
      </w:r>
      <w:r w:rsidDel="00000000" w:rsidR="00000000" w:rsidRPr="00000000">
        <w:rPr>
          <w:rtl w:val="0"/>
        </w:rPr>
      </w:r>
    </w:p>
    <w:p w:rsidR="00000000" w:rsidDel="00000000" w:rsidP="00000000" w:rsidRDefault="00000000" w:rsidRPr="00000000" w14:paraId="0000008F">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Airport Arrivals — Structural Shift Toward Paros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60"/>
        <w:gridCol w:w="1360"/>
        <w:gridCol w:w="1360"/>
        <w:gridCol w:w="1360"/>
        <w:gridCol w:w="1920"/>
        <w:tblGridChange w:id="0">
          <w:tblGrid>
            <w:gridCol w:w="2000"/>
            <w:gridCol w:w="1360"/>
            <w:gridCol w:w="1360"/>
            <w:gridCol w:w="1360"/>
            <w:gridCol w:w="1360"/>
            <w:gridCol w:w="192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0">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Destination</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2016</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2022</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3">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2023</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4">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2024</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95">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ffffff"/>
                <w:sz w:val="17"/>
                <w:szCs w:val="17"/>
                <w:rtl w:val="0"/>
              </w:rPr>
              <w:t xml:space="preserve">Growth ’23→’24</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96">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Paros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9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37,000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9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9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152,500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9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171,500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ebf5f7" w:val="clear"/>
            <w:tcMar>
              <w:top w:w="80.0" w:type="dxa"/>
              <w:left w:w="140.0" w:type="dxa"/>
              <w:bottom w:w="80.0" w:type="dxa"/>
              <w:right w:w="140.0" w:type="dxa"/>
            </w:tcMar>
            <w:vAlign w:val="center"/>
          </w:tcPr>
          <w:p w:rsidR="00000000" w:rsidDel="00000000" w:rsidP="00000000" w:rsidRDefault="00000000" w:rsidRPr="00000000" w14:paraId="0000009B">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+12.5%</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9C">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Mykonos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9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~640,000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9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844,000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9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829,500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A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807,000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A1">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8b1a1a"/>
                <w:sz w:val="18"/>
                <w:szCs w:val="18"/>
                <w:rtl w:val="0"/>
              </w:rPr>
              <w:t xml:space="preserve">−2.7%</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2">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Santorini</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~1,050,000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1,372,500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1,388,000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1,438,500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A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+3.6%</w:t>
            </w:r>
            <w:r w:rsidDel="00000000" w:rsidR="00000000" w:rsidRPr="00000000">
              <w:rPr>
                <w:rtl w:val="0"/>
              </w:rPr>
            </w:r>
          </w:p>
        </w:tc>
      </w:tr>
    </w:tbl>
    <w:p w:rsidR="00000000" w:rsidDel="00000000" w:rsidP="00000000" w:rsidRDefault="00000000" w:rsidRPr="00000000" w14:paraId="000000A8">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Paros arrivals have grown 4.6× in eight years — from 37,000 in 2016 to 171,500 in 2024 — while Mykonos is declining and Santorini growing only modestly. Source: ΥΠΑΑ, ΑΙΑ, Fraport.</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Three Structural Tailwinds — Not Reflected in This Model</w:t>
      </w:r>
      <w:r w:rsidDel="00000000" w:rsidR="00000000" w:rsidRPr="00000000">
        <w:rPr>
          <w:rtl w:val="0"/>
        </w:rPr>
      </w:r>
    </w:p>
    <w:p w:rsidR="00000000" w:rsidDel="00000000" w:rsidP="00000000" w:rsidRDefault="00000000" w:rsidRPr="00000000" w14:paraId="000000AB">
      <w:pPr>
        <w:spacing w:after="60" w:before="0" w:line="288" w:lineRule="auto"/>
        <w:jc w:val="left"/>
        <w:rPr/>
      </w:pPr>
      <w:r w:rsidDel="00000000" w:rsidR="00000000" w:rsidRPr="00000000">
        <w:rPr>
          <w:rFonts w:ascii="Arial" w:cs="Arial" w:eastAsia="Arial" w:hAnsi="Arial"/>
          <w:b w:val="1"/>
          <w:bCs w:val="1"/>
          <w:i w:val="0"/>
          <w:iCs w:val="0"/>
          <w:smallCaps w:val="0"/>
          <w:color w:val="2d2d2d"/>
          <w:sz w:val="20"/>
          <w:szCs w:val="20"/>
          <w:rtl w:val="0"/>
        </w:rPr>
        <w:t xml:space="preserve">Inflation and ADR drift:  </w:t>
      </w:r>
      <w:r w:rsidDel="00000000" w:rsidR="00000000" w:rsidRPr="00000000">
        <w:rPr>
          <w:rFonts w:ascii="Arial" w:cs="Arial" w:eastAsia="Arial" w:hAnsi="Arial"/>
          <w:b w:val="0"/>
          <w:bCs w:val="0"/>
          <w:i w:val="0"/>
          <w:iCs w:val="0"/>
          <w:smallCaps w:val="0"/>
          <w:color w:val="2d2d2d"/>
          <w:sz w:val="20"/>
          <w:szCs w:val="20"/>
          <w:rtl w:val="0"/>
        </w:rPr>
        <w:t xml:space="preserve">Luxury pricing in the Aegean has consistently outpaced inflation. The model uses today's ADR with zero upward adjustment through 2028.</w:t>
      </w:r>
      <w:r w:rsidDel="00000000" w:rsidR="00000000" w:rsidRPr="00000000">
        <w:rPr>
          <w:rtl w:val="0"/>
        </w:rPr>
      </w:r>
    </w:p>
    <w:p w:rsidR="00000000" w:rsidDel="00000000" w:rsidP="00000000" w:rsidRDefault="00000000" w:rsidRPr="00000000" w14:paraId="000000AC">
      <w:pPr>
        <w:spacing w:after="60" w:before="0" w:line="288" w:lineRule="auto"/>
        <w:jc w:val="left"/>
        <w:rPr/>
      </w:pPr>
      <w:r w:rsidDel="00000000" w:rsidR="00000000" w:rsidRPr="00000000">
        <w:rPr>
          <w:rFonts w:ascii="Arial" w:cs="Arial" w:eastAsia="Arial" w:hAnsi="Arial"/>
          <w:b w:val="1"/>
          <w:bCs w:val="1"/>
          <w:i w:val="0"/>
          <w:iCs w:val="0"/>
          <w:smallCaps w:val="0"/>
          <w:color w:val="2d2d2d"/>
          <w:sz w:val="20"/>
          <w:szCs w:val="20"/>
          <w:rtl w:val="0"/>
        </w:rPr>
        <w:t xml:space="preserve">Paros international airport:  </w:t>
      </w:r>
      <w:r w:rsidDel="00000000" w:rsidR="00000000" w:rsidRPr="00000000">
        <w:rPr>
          <w:rFonts w:ascii="Arial" w:cs="Arial" w:eastAsia="Arial" w:hAnsi="Arial"/>
          <w:b w:val="0"/>
          <w:bCs w:val="0"/>
          <w:i w:val="0"/>
          <w:iCs w:val="0"/>
          <w:smallCaps w:val="0"/>
          <w:color w:val="2d2d2d"/>
          <w:sz w:val="20"/>
          <w:szCs w:val="20"/>
          <w:rtl w:val="0"/>
        </w:rPr>
        <w:t xml:space="preserve">Infrastructure works to upgrade Paros Airport for direct European flights are already underway. On Mykonos, Santorini, and Zakynthos — islands with established international access — the premium season comfortably exceeds 150 nights. Paros currently runs 90–120 nights. International connectivity will close that gap and materially lift the bookable-nights ceiling per property per year.</w:t>
      </w:r>
      <w:r w:rsidDel="00000000" w:rsidR="00000000" w:rsidRPr="00000000">
        <w:rPr>
          <w:rtl w:val="0"/>
        </w:rPr>
      </w:r>
    </w:p>
    <w:p w:rsidR="00000000" w:rsidDel="00000000" w:rsidP="00000000" w:rsidRDefault="00000000" w:rsidRPr="00000000" w14:paraId="000000AD">
      <w:pPr>
        <w:spacing w:after="80" w:before="0" w:line="288" w:lineRule="auto"/>
        <w:jc w:val="left"/>
        <w:rPr/>
      </w:pPr>
      <w:r w:rsidDel="00000000" w:rsidR="00000000" w:rsidRPr="00000000">
        <w:rPr>
          <w:rFonts w:ascii="Arial" w:cs="Arial" w:eastAsia="Arial" w:hAnsi="Arial"/>
          <w:b w:val="1"/>
          <w:bCs w:val="1"/>
          <w:i w:val="0"/>
          <w:iCs w:val="0"/>
          <w:smallCaps w:val="0"/>
          <w:color w:val="2d2d2d"/>
          <w:sz w:val="20"/>
          <w:szCs w:val="20"/>
          <w:rtl w:val="0"/>
        </w:rPr>
        <w:t xml:space="preserve">Compounding demand:  </w:t>
      </w:r>
      <w:r w:rsidDel="00000000" w:rsidR="00000000" w:rsidRPr="00000000">
        <w:rPr>
          <w:rFonts w:ascii="Arial" w:cs="Arial" w:eastAsia="Arial" w:hAnsi="Arial"/>
          <w:b w:val="0"/>
          <w:bCs w:val="0"/>
          <w:i w:val="0"/>
          <w:iCs w:val="0"/>
          <w:smallCaps w:val="0"/>
          <w:color w:val="2d2d2d"/>
          <w:sz w:val="20"/>
          <w:szCs w:val="20"/>
          <w:rtl w:val="0"/>
        </w:rPr>
        <w:t xml:space="preserve">Villa Lev has grown at 15–20%/year for five consecutive seasons. The model assumes a static stabilised year. By Summer 2028, two more years of compounding will have accumulated on top of an already record pace.</w:t>
      </w:r>
      <w:r w:rsidDel="00000000" w:rsidR="00000000" w:rsidRPr="00000000">
        <w:rPr>
          <w:rtl w:val="0"/>
        </w:rPr>
      </w:r>
    </w:p>
    <w:p w:rsidR="00000000" w:rsidDel="00000000" w:rsidP="00000000" w:rsidRDefault="00000000" w:rsidRPr="00000000" w14:paraId="000000AE">
      <w:pPr>
        <w:pBdr>
          <w:left w:color="b8962e" w:space="0" w:sz="20" w:val="single"/>
        </w:pBdr>
        <w:spacing w:after="120" w:before="120" w:lineRule="auto"/>
        <w:ind w:left="280" w:right="0" w:firstLine="0"/>
        <w:rPr/>
      </w:pPr>
      <w:r w:rsidDel="00000000" w:rsidR="00000000" w:rsidRPr="00000000">
        <w:rPr>
          <w:rFonts w:ascii="Arial" w:cs="Arial" w:eastAsia="Arial" w:hAnsi="Arial"/>
          <w:b w:val="0"/>
          <w:bCs w:val="0"/>
          <w:i w:val="1"/>
          <w:iCs w:val="1"/>
          <w:smallCaps w:val="0"/>
          <w:color w:val="2d2d2d"/>
          <w:sz w:val="19"/>
          <w:szCs w:val="19"/>
          <w:rtl w:val="0"/>
        </w:rPr>
        <w:t xml:space="preserve">None of these tailwinds appear in the financial model. The projections are built on the documented current season length and ADR. Each factor represents independent, unmodelled upside over the operating period.</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Hotel ADR Benchmarks — 4 &amp; 5-Star (Paros/Antiparos, Peak Season)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B1">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Room Category</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B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Average Peak ADR (Jul–Aug)</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B3">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Range</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B4">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Standard rooms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B5">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€909</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B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€421 – €2,250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B7">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Premium rooms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B8">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€1,423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B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€665 – €2,655</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BA">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Luxury suites</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BB">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€2,087</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B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€930 – €3,375</w:t>
            </w:r>
            <w:r w:rsidDel="00000000" w:rsidR="00000000" w:rsidRPr="00000000">
              <w:rPr>
                <w:rtl w:val="0"/>
              </w:rPr>
            </w:r>
          </w:p>
        </w:tc>
      </w:tr>
    </w:tbl>
    <w:p w:rsidR="00000000" w:rsidDel="00000000" w:rsidP="00000000" w:rsidRDefault="00000000" w:rsidRPr="00000000" w14:paraId="000000BD">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Property B boutique suites are priced at €700–€1,000 peak — at or below the baseline 4–5-star room rate of €909. The boutique model carries a fraction of a hotel's fixed cost structure, producing comparable or better net margins at a lower price point.</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Competitive Villa Landscape — AirDNA (Top 35 Villas, Paros/Antiparos)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80"/>
        <w:gridCol w:w="1980"/>
        <w:gridCol w:w="2700"/>
        <w:tblGridChange w:id="0">
          <w:tblGrid>
            <w:gridCol w:w="2700"/>
            <w:gridCol w:w="1980"/>
            <w:gridCol w:w="1980"/>
            <w:gridCol w:w="270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C0">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Segment</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C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Average ADR</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C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Nights Sold/yr</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C3">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Avg Annual Revenue</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4">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Top 10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€2,800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~105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€295,000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C8">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Top 20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C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€2,300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C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~91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C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€209,000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C">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All 35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€2,230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~80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C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€179,000</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D0">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Villa Lev 2026</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D1">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€4,000+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D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86+ nights (growing)</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D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€325,000+</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0D5">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THE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0D6">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4</w:t>
            </w: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Three plots in the Agios Georgios neighbourhood of Antiparos — the same neighbourhood as Villa Lev. All three sit within the official village building limits (οικισμός) under Government Gazette (FEK) designation. Buildability is not a matter of interpretation: it is a direct consequence of the FEK. Permit risk is structurally mitigated through phased financing and conditional Phase 2 drawdown following permit issuance. If permits were delayed, the plots themselves — acquired with Phase 1 funds — serve as collateral for the interim period. All plots have panoramic sea views and are within walking distance of the beach. Negotiations are at an advanced stage on all three.</w:t>
      </w:r>
      <w:r w:rsidDel="00000000" w:rsidR="00000000" w:rsidRPr="00000000">
        <w:rPr>
          <w:rtl w:val="0"/>
        </w:rPr>
      </w:r>
    </w:p>
    <w:p w:rsidR="00000000" w:rsidDel="00000000" w:rsidP="00000000" w:rsidRDefault="00000000" w:rsidRPr="00000000" w14:paraId="000000D9">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Portfolio Overview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840"/>
        <w:gridCol w:w="2320"/>
        <w:gridCol w:w="2500"/>
        <w:tblGridChange w:id="0">
          <w:tblGrid>
            <w:gridCol w:w="2600"/>
            <w:gridCol w:w="1100"/>
            <w:gridCol w:w="840"/>
            <w:gridCol w:w="2320"/>
            <w:gridCol w:w="250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DA">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Property</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DB">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Plot Cost</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DC">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Built Area</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DD">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Programme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0D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Total Investment</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DF">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Property A — Plot 1: Twin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~350m²</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3-bed + 4-bed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€2,171,000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4">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Property A — Plot 2: Twin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~350m²</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3-bed + 4-bed villas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8">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€2,171,000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9">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Property B — Boutique Suites &amp; Wellness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~250m²</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 suites + hamam/sauna/gym + events space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0ED">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€1,682,000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E">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Acquisition legal &amp; due diligence (×3 plots)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E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F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F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Notary, transfer taxes, title search + permit preparation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0F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€150,000</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F3">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TOTAL PORTFOLIO</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F4">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€1,200,000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F5">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950m²</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F6">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4 villas + 4 suites + wellness hub</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0F7">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{{TOTAL_CAPEX}}</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Property A — Two Independent Luxury Villas (× 2 Plots)</w:t>
      </w:r>
      <w:r w:rsidDel="00000000" w:rsidR="00000000" w:rsidRPr="00000000">
        <w:rPr>
          <w:rtl w:val="0"/>
        </w:rPr>
      </w:r>
    </w:p>
    <w:p w:rsidR="00000000" w:rsidDel="00000000" w:rsidP="00000000" w:rsidRDefault="00000000" w:rsidRPr="00000000" w14:paraId="000000FA">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Each plot carries two fully independent luxury villas — a 3-bedroom (~150m²) and a 4-bedroom (~200m²) — designed for the HNW/UHNW segment. Each villa has its own entrance, kitchen, living areas and private pool. Both can be rented independently or combined as a 7-bedroom estate for larger groups. The programme is identical on both plots.</w:t>
      </w:r>
      <w:r w:rsidDel="00000000" w:rsidR="00000000" w:rsidRPr="00000000">
        <w:rPr>
          <w:rtl w:val="0"/>
        </w:rPr>
      </w:r>
    </w:p>
    <w:p w:rsidR="00000000" w:rsidDel="00000000" w:rsidP="00000000" w:rsidRDefault="00000000" w:rsidRPr="00000000" w14:paraId="000000FB">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Target ADR: €3,500/night combined (net, blended seasonal). Target occupancy: 95 nights/year (mature). Reference: Villa Lev 2026 achieved €4,000 ADR and 86+ nights. Construction basis of €4,000/m² validated by a civil engineer with direct experience in this exact area.</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tl w:val="0"/>
        </w:rPr>
      </w:r>
    </w:p>
    <w:p w:rsidR="00000000" w:rsidDel="00000000" w:rsidP="00000000" w:rsidRDefault="00000000" w:rsidRPr="00000000" w14:paraId="000000FD">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CAPEX — Detailed Cost Breakdown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0FE">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Cost Category</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0FF">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A (per project)</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00">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B</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1">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Land acquisition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4">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Construction (350m² / 250m² × €4,000/m²)</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€1,400,000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€1,000,000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7">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FF&amp;E (bedrooms, gym, wellness equipment)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€120,000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€100,000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A">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Legal &amp; notary fees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€20,000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0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D">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Architect + interior design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0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€32,000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10">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Civil engineer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1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€35,000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1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€25,000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13">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Contingency (10% of construction + FF&amp;E)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14">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€152,000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15">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€110,000</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16">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TOTAL INVESTMENT</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17">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€2,171,000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18">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€1,682,000</w:t>
            </w:r>
            <w:r w:rsidDel="00000000" w:rsidR="00000000" w:rsidRPr="00000000">
              <w:rPr>
                <w:rtl w:val="0"/>
              </w:rPr>
            </w:r>
          </w:p>
        </w:tc>
      </w:tr>
    </w:tbl>
    <w:p w:rsidR="00000000" w:rsidDel="00000000" w:rsidP="00000000" w:rsidRDefault="00000000" w:rsidRPr="00000000" w14:paraId="00000119">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Contingency at 10% of construction + FF&amp;E — industry standard for new builds on island sites.</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Property B — Boutique Suites, Wellness &amp; Events Hub</w:t>
      </w:r>
      <w:r w:rsidDel="00000000" w:rsidR="00000000" w:rsidRPr="00000000">
        <w:rPr>
          <w:rtl w:val="0"/>
        </w:rPr>
      </w:r>
    </w:p>
    <w:p w:rsidR="00000000" w:rsidDel="00000000" w:rsidP="00000000" w:rsidRDefault="00000000" w:rsidRPr="00000000" w14:paraId="0000011C">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Four independently bookable luxury suites — 2 Standard (40m²) and 2 Double (65m²) — with shared wellness facilities: hamam, sauna, semi-outdoor gym. The outdoor areas are purpose-designed for weddings and private events of 70–120 guests. Villa Lev receives over 40 wedding enquiries per year for a single property. With multiple properties and a purpose-built event space, that demand becomes a structured revenue stream.</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40"/>
        <w:gridCol w:w="1500"/>
        <w:gridCol w:w="1600"/>
        <w:gridCol w:w="3220"/>
        <w:tblGridChange w:id="0">
          <w:tblGrid>
            <w:gridCol w:w="2200"/>
            <w:gridCol w:w="840"/>
            <w:gridCol w:w="1500"/>
            <w:gridCol w:w="1600"/>
            <w:gridCol w:w="322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1D">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Suite Type</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1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Area</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1F">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Peak ADR (Jul–Aug)</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20">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Blended Seasonal ADR</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2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Positioning</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22">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Standard Suite (×2)</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2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40m²</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2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€700/night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25">
            <w:pPr>
              <w:spacing w:after="80" w:before="0" w:line="276" w:lineRule="auto"/>
              <w:jc w:val="center"/>
              <w:rPr/>
            </w:pPr>
            <w:r w:rsidDel="00000000" w:rsidR="00000000" w:rsidRPr="00000000">
              <w:rPr>
                <w:rFonts w:ascii="Arial" w:cs="Arial" w:eastAsia="Arial" w:hAnsi="Arial"/>
                <w:b w:val="0"/>
                <w:bCs w:val="0"/>
                <w:i w:val="1"/>
                <w:iCs w:val="1"/>
                <w:smallCaps w:val="0"/>
                <w:color w:val="2d2d2d"/>
                <w:sz w:val="18"/>
                <w:szCs w:val="18"/>
                <w:rtl w:val="0"/>
              </w:rPr>
              <w:t xml:space="preserve">~€608/night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2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At hotel entry-level (avg 4–5★: €909)</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27">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Double Suite (×2)</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2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65m²</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2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€1,000/night</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2A">
            <w:pPr>
              <w:spacing w:after="80" w:before="0" w:line="276" w:lineRule="auto"/>
              <w:jc w:val="center"/>
              <w:rPr/>
            </w:pPr>
            <w:r w:rsidDel="00000000" w:rsidR="00000000" w:rsidRPr="00000000">
              <w:rPr>
                <w:rFonts w:ascii="Arial" w:cs="Arial" w:eastAsia="Arial" w:hAnsi="Arial"/>
                <w:b w:val="0"/>
                <w:bCs w:val="0"/>
                <w:i w:val="1"/>
                <w:iCs w:val="1"/>
                <w:smallCaps w:val="0"/>
                <w:color w:val="2d2d2d"/>
                <w:sz w:val="18"/>
                <w:szCs w:val="18"/>
                <w:rtl w:val="0"/>
              </w:rPr>
              <w:t xml:space="preserve">~€869/night</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2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Premium — 43% above standard suite</w:t>
            </w:r>
            <w:r w:rsidDel="00000000" w:rsidR="00000000" w:rsidRPr="00000000">
              <w:rPr>
                <w:rtl w:val="0"/>
              </w:rPr>
            </w:r>
          </w:p>
        </w:tc>
      </w:tr>
    </w:tbl>
    <w:p w:rsidR="00000000" w:rsidDel="00000000" w:rsidP="00000000" w:rsidRDefault="00000000" w:rsidRPr="00000000" w14:paraId="0000012C">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All ADR figures are net of OTA commissions, VAT, and guest taxes. ΤΑΚ climate resilience tax is collected from guests and remitted — no P&amp;L impact.</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Weddings, Events &amp; Retreats — Unmodelled Upside</w:t>
      </w:r>
      <w:r w:rsidDel="00000000" w:rsidR="00000000" w:rsidRPr="00000000">
        <w:rPr>
          <w:rtl w:val="0"/>
        </w:rPr>
      </w:r>
    </w:p>
    <w:p w:rsidR="00000000" w:rsidDel="00000000" w:rsidP="00000000" w:rsidRDefault="00000000" w:rsidRPr="00000000" w14:paraId="0000012F">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The platform extends into retreat and shoulder-season demand that Property B is specifically designed to serve: hamam, sauna, gym, and a semi-enclosed events space that accommodates groups of 8–30 in formats that retreat operators actively seek. The Cyclades shoulder seasons — April and October — are increasingly booked by wellness operators for exactly this format. None of this revenue is in the model.</w:t>
      </w:r>
      <w:r w:rsidDel="00000000" w:rsidR="00000000" w:rsidRPr="00000000">
        <w:rPr>
          <w:rtl w:val="0"/>
        </w:rPr>
      </w:r>
    </w:p>
    <w:p w:rsidR="00000000" w:rsidDel="00000000" w:rsidP="00000000" w:rsidRDefault="00000000" w:rsidRPr="00000000" w14:paraId="00000130">
      <w:pPr>
        <w:pBdr>
          <w:left w:color="b8962e" w:space="0" w:sz="20" w:val="single"/>
        </w:pBdr>
        <w:spacing w:after="120" w:before="120" w:lineRule="auto"/>
        <w:ind w:left="280" w:right="0" w:firstLine="0"/>
        <w:rPr/>
      </w:pPr>
      <w:r w:rsidDel="00000000" w:rsidR="00000000" w:rsidRPr="00000000">
        <w:rPr>
          <w:rFonts w:ascii="Arial" w:cs="Arial" w:eastAsia="Arial" w:hAnsi="Arial"/>
          <w:b w:val="0"/>
          <w:bCs w:val="0"/>
          <w:i w:val="1"/>
          <w:iCs w:val="1"/>
          <w:smallCaps w:val="0"/>
          <w:color w:val="2d2d2d"/>
          <w:sz w:val="19"/>
          <w:szCs w:val="19"/>
          <w:rtl w:val="0"/>
        </w:rPr>
        <w:t xml:space="preserve">The projections are built on a conservative May–September window. Every euro from retreats, shoulder-season bookings, events beyond the 10 modelled annually, and ancillary services (chef, boat, car) is structural upside — not a projection.</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132">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FINANCIAL PROJECTIONS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133">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5</w:t>
            </w:r>
            <w:r w:rsidDel="00000000" w:rsidR="00000000" w:rsidRPr="00000000">
              <w:rPr>
                <w:rtl w:val="0"/>
              </w:rPr>
            </w:r>
          </w:p>
        </w:tc>
      </w:tr>
    </w:tbl>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pBdr>
          <w:left w:color="b8962e" w:space="0" w:sz="20" w:val="single"/>
        </w:pBdr>
        <w:spacing w:after="120" w:before="120" w:lineRule="auto"/>
        <w:ind w:left="280" w:firstLine="0"/>
        <w:rPr/>
      </w:pPr>
      <w:r w:rsidDel="00000000" w:rsidR="00000000" w:rsidRPr="00000000">
        <w:rPr>
          <w:rFonts w:ascii="Arial" w:cs="Arial" w:eastAsia="Arial" w:hAnsi="Arial"/>
          <w:b w:val="1"/>
          <w:bCs w:val="1"/>
          <w:i w:val="1"/>
          <w:iCs w:val="1"/>
          <w:smallCaps w:val="0"/>
          <w:color w:val="1f3864"/>
          <w:sz w:val="19"/>
          <w:szCs w:val="19"/>
          <w:rtl w:val="0"/>
        </w:rPr>
        <w:t xml:space="preserve">Static assumptions throughout — no compounding applied.  </w:t>
      </w:r>
      <w:r w:rsidDel="00000000" w:rsidR="00000000" w:rsidRPr="00000000">
        <w:rPr>
          <w:rFonts w:ascii="Arial" w:cs="Arial" w:eastAsia="Arial" w:hAnsi="Arial"/>
          <w:b w:val="0"/>
          <w:bCs w:val="0"/>
          <w:i w:val="1"/>
          <w:iCs w:val="1"/>
          <w:smallCaps w:val="0"/>
          <w:color w:val="2d2d2d"/>
          <w:sz w:val="19"/>
          <w:szCs w:val="19"/>
          <w:rtl w:val="0"/>
        </w:rPr>
        <w:t xml:space="preserve">Current ADR at Villa Lev (€4,000 in 2026) already exceeds the Realistic model assumption (€3,500). All ADR figures are net of OTA commissions, VAT, and guest taxes. Events and retreats revenue beyond the 10 modelled annually is excluded entirely.</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Ramp-Up Profile</w:t>
      </w:r>
      <w:r w:rsidDel="00000000" w:rsidR="00000000" w:rsidRPr="00000000">
        <w:rPr>
          <w:rtl w:val="0"/>
        </w:rPr>
      </w:r>
    </w:p>
    <w:p w:rsidR="00000000" w:rsidDel="00000000" w:rsidP="00000000" w:rsidRDefault="00000000" w:rsidRPr="00000000" w14:paraId="00000138">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Year 1 (2028) reflects a partial season at 75% of mature revenue, with full OPEX from Day 1. Full debt service (€492,943/yr) begins in 2029; the 2-year grace period covers the entire construction phase.</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1440"/>
        <w:gridCol w:w="1360"/>
        <w:gridCol w:w="1440"/>
        <w:gridCol w:w="1440"/>
        <w:gridCol w:w="1040"/>
        <w:tblGridChange w:id="0">
          <w:tblGrid>
            <w:gridCol w:w="2280"/>
            <w:gridCol w:w="1440"/>
            <w:gridCol w:w="1360"/>
            <w:gridCol w:w="1440"/>
            <w:gridCol w:w="1440"/>
            <w:gridCol w:w="104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9">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Year</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A">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Revenue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B">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Total OPEX</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C">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EBITDA</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D">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Debt Service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3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DSCR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3F">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2028  (Y1 — 75% ramp)</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{{Y1_REVENUE}}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{{Y1_OPEX}}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{{Y1_EBITDA}}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{{Y1_DS}}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4">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{{Y1_DSCR}}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5">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2029  (Y2 — 88% ramp)</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{{Y2_REVENUE}}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{{Y2_OPEX}}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8">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{{Y2_EBITDA}}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{{ANNUAL_DS}}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4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{{Y2_DSCR}}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B">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2030  (Y3 — stabilising)</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{{Y3_REVENUE}}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{{Y3_OPEX}}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E">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{{Y3_EBITDA}}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4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{{ANNUAL_DS}}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50">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{{Y3_DSCR}}</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1">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2031+  (stabilised)</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{{STAB_REVENUE}}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{{STAB_OPEX}}</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4">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{{STAB_EBITDA}}</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5">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{{ANNUAL_DS}}</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56">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{{STAB_DSCR}}</w:t>
            </w:r>
            <w:r w:rsidDel="00000000" w:rsidR="00000000" w:rsidRPr="00000000">
              <w:rPr>
                <w:rtl w:val="0"/>
              </w:rPr>
            </w:r>
          </w:p>
        </w:tc>
      </w:tr>
    </w:tbl>
    <w:p w:rsidR="00000000" w:rsidDel="00000000" w:rsidP="00000000" w:rsidRDefault="00000000" w:rsidRPr="00000000" w14:paraId="00000157">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Revenue: villas (2×95nts×€3,500 net), suites (100nts×blended ADR), 10 events×€6,000 net, ancillary €75,000 base +10%/yr. OPEX phased maintenance: 0.5% construction Y1–2, 1.0% Y3, 1.5% Y4+.</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tl w:val="0"/>
        </w:rPr>
      </w:r>
    </w:p>
    <w:p w:rsidR="00000000" w:rsidDel="00000000" w:rsidP="00000000" w:rsidRDefault="00000000" w:rsidRPr="00000000" w14:paraId="00000159">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Operating Cost Structure — Stabilised Year (2031+)</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5A">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OPEX Category</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5B">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A (per project)</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5C">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B</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5D">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Housekeeping — seasonal, shared team</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5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5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€13,000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0">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Maintenance &amp; repairs (1.5% of construction Y4+)</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€21,000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3">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Utilities (electricity, water, internet, pool/spa)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€12,000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€12,000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6">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Insurance (property + liability)</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€2,500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9">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tax — ENFIA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C">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Marketing &amp; distribution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6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6F">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Management fee — Bucket 2A (5% gross rev; min €24k/villa)</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7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€24,000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7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€24,000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72">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Consumables, linen &amp; spa supplies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7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7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75">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Accounting &amp; administration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7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€7,000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7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€7,000</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78">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TOTAL ANNUAL OPEX</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79">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€94,500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7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€86,500</w:t>
            </w:r>
            <w:r w:rsidDel="00000000" w:rsidR="00000000" w:rsidRPr="00000000">
              <w:rPr>
                <w:rtl w:val="0"/>
              </w:rPr>
            </w:r>
          </w:p>
        </w:tc>
      </w:tr>
    </w:tbl>
    <w:p w:rsidR="00000000" w:rsidDel="00000000" w:rsidP="00000000" w:rsidRDefault="00000000" w:rsidRPr="00000000" w14:paraId="0000017B">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Portfolio OPEX = 2×€94,500 + €86,500 = €275,500/yr stabilised. Events staffing self-funded from events revenue. Management fee (Bucket 2A) = 5% of gross revenue; structural minimum €24,000/villa. Bucket 2B incentive fee (10% of GOP above 8% hurdle yield on initial equity) is a performance distribution — not in OPEX.</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Realistic Scenario — Stabilised Year (2031)</w:t>
      </w:r>
      <w:r w:rsidDel="00000000" w:rsidR="00000000" w:rsidRPr="00000000">
        <w:rPr>
          <w:rtl w:val="0"/>
        </w:rPr>
      </w:r>
    </w:p>
    <w:p w:rsidR="00000000" w:rsidDel="00000000" w:rsidP="00000000" w:rsidRDefault="00000000" w:rsidRPr="00000000" w14:paraId="0000017E">
      <w:pPr>
        <w:spacing w:after="60" w:before="0" w:line="276" w:lineRule="auto"/>
        <w:jc w:val="left"/>
        <w:rPr/>
      </w:pPr>
      <w:r w:rsidDel="00000000" w:rsidR="00000000" w:rsidRPr="00000000">
        <w:rPr>
          <w:rFonts w:ascii="Arial" w:cs="Arial" w:eastAsia="Arial" w:hAnsi="Arial"/>
          <w:b w:val="0"/>
          <w:bCs w:val="0"/>
          <w:i w:val="1"/>
          <w:iCs w:val="1"/>
          <w:smallCaps w:val="0"/>
          <w:color w:val="888888"/>
          <w:sz w:val="18"/>
          <w:szCs w:val="18"/>
          <w:rtl w:val="0"/>
        </w:rPr>
        <w:t xml:space="preserve">95 villa nights/yr × €3,500 net ADR  ·  100 suite nights × blended €650/€920  ·  10 events × €6,000  ·  Ancillary net €99,825</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1800"/>
        <w:gridCol w:w="1800"/>
        <w:tblGridChange w:id="0">
          <w:tblGrid>
            <w:gridCol w:w="3960"/>
            <w:gridCol w:w="1800"/>
            <w:gridCol w:w="1800"/>
            <w:gridCol w:w="180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7F">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Revenue Stream</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80">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Annual Revenue</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8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Annual OPEX</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18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EBITDA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3">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A — Villa Project 1 (95 nts × €3,500)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{{PROP_A1_REVENUE}}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{{PROP_A1_OPEX}}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6">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{{PROP_A1_EBITDA}}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87">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A — Villa Project 2 (95 nts × €3,500)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8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{{PROP_A2_REVENUE}}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8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{{PROP_A2_OPEX}}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8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{{PROP_A2_EBITDA}}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B">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B — 4 Suites (100 nts × blended net ADR)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{{PROP_B_REVENUE}}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{{PROP_B_OPEX}}</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8E">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{{PROP_B_EBITDA}}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8F">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Events — 10 events/year (net profit)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9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{{EVENTS_REVENUE}}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9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9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€60,000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93">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Ancillary Services — chef, boat, car (net profit)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9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€99,825</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9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96">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€99,825</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97">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PORTFOLIO TOTAL</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98">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€1,138,825</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99">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€275,500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9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€863,325</w:t>
            </w:r>
            <w:r w:rsidDel="00000000" w:rsidR="00000000" w:rsidRPr="00000000">
              <w:rPr>
                <w:rtl w:val="0"/>
              </w:rPr>
            </w:r>
          </w:p>
        </w:tc>
      </w:tr>
    </w:tbl>
    <w:p w:rsidR="00000000" w:rsidDel="00000000" w:rsidP="00000000" w:rsidRDefault="00000000" w:rsidRPr="00000000" w14:paraId="0000019B">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EBITDA margin: {{EBITDA_MARGIN}}. DSCR: {{STAB_DSCR}}. NCF post-VAT (7% effective net rate after input credits): {{STAB_NCF}}. VAT of {{VAT_PAYABLE}} is a cash deduction below EBITDA and does not affect DSCR. Margin, DSCR and NCF reflect the 2031 P&amp;L timeline (98 villa nights / 103 suite nights, incorporating +3 nights/year growth from Year 3); the component breakdown above uses the mature base assumption of 95 nights per project.</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tl w:val="0"/>
        </w:rPr>
      </w:r>
    </w:p>
    <w:p w:rsidR="00000000" w:rsidDel="00000000" w:rsidP="00000000" w:rsidRDefault="00000000" w:rsidRPr="00000000" w14:paraId="0000019D">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Upside Scenario — Stabilised Year (2031)</w:t>
      </w:r>
      <w:r w:rsidDel="00000000" w:rsidR="00000000" w:rsidRPr="00000000">
        <w:rPr>
          <w:rtl w:val="0"/>
        </w:rPr>
      </w:r>
    </w:p>
    <w:p w:rsidR="00000000" w:rsidDel="00000000" w:rsidP="00000000" w:rsidRDefault="00000000" w:rsidRPr="00000000" w14:paraId="0000019E">
      <w:pPr>
        <w:spacing w:after="60" w:before="0" w:line="276" w:lineRule="auto"/>
        <w:jc w:val="left"/>
        <w:rPr/>
      </w:pPr>
      <w:r w:rsidDel="00000000" w:rsidR="00000000" w:rsidRPr="00000000">
        <w:rPr>
          <w:rFonts w:ascii="Arial" w:cs="Arial" w:eastAsia="Arial" w:hAnsi="Arial"/>
          <w:b w:val="0"/>
          <w:bCs w:val="0"/>
          <w:i w:val="1"/>
          <w:iCs w:val="1"/>
          <w:smallCaps w:val="0"/>
          <w:color w:val="888888"/>
          <w:sz w:val="18"/>
          <w:szCs w:val="18"/>
          <w:rtl w:val="0"/>
        </w:rPr>
        <w:t xml:space="preserve">108 villa nights × €3,800 net ADR  ·  110 suite nights × blended €700/€1,000  ·  12 events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1800"/>
        <w:gridCol w:w="1800"/>
        <w:tblGridChange w:id="0">
          <w:tblGrid>
            <w:gridCol w:w="3960"/>
            <w:gridCol w:w="1800"/>
            <w:gridCol w:w="1800"/>
            <w:gridCol w:w="180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9F">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Revenue Stream</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A0">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Annual Revenue</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A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Annual OPEX</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1A2">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EBITDA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3">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A × 2 Villas (108 nts × €3,800)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€820,800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€189,000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6">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€631,800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A7">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Property B — 4 Suites (110 nts × blended ADR)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A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€374,000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A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€86,500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A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€287,500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B">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Events — 12 events/year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€72,000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AE">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€72,000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AF">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Ancillary Services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B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€99,825</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B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B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€99,825</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B3">
            <w:pPr>
              <w:spacing w:after="80" w:before="0" w:line="276" w:lineRule="auto"/>
              <w:jc w:val="left"/>
              <w:rPr/>
            </w:pPr>
            <w:r w:rsidDel="00000000" w:rsidR="00000000" w:rsidRPr="00000000">
              <w:rPr>
                <w:rFonts w:ascii="Arial" w:cs="Arial" w:eastAsia="Arial" w:hAnsi="Arial"/>
                <w:b w:val="1"/>
                <w:bCs w:val="1"/>
                <w:i w:val="0"/>
                <w:iCs w:val="0"/>
                <w:smallCaps w:val="0"/>
                <w:color w:val="0b5563"/>
                <w:sz w:val="18"/>
                <w:szCs w:val="18"/>
                <w:rtl w:val="0"/>
              </w:rPr>
              <w:t xml:space="preserve">PORTFOLIO TOTAL</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B4">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€1,366,625</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B5">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€275,500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B6">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€1,091,125</w:t>
            </w:r>
            <w:r w:rsidDel="00000000" w:rsidR="00000000" w:rsidRPr="00000000">
              <w:rPr>
                <w:rtl w:val="0"/>
              </w:rPr>
            </w:r>
          </w:p>
        </w:tc>
      </w:tr>
    </w:tbl>
    <w:p w:rsidR="00000000" w:rsidDel="00000000" w:rsidP="00000000" w:rsidRDefault="00000000" w:rsidRPr="00000000" w14:paraId="000001B7">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EBITDA margin: {{EBITDA_MARGIN_UP}}. DSCR: {{DSCR_UPSIDE}}.</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tl w:val="0"/>
        </w:rPr>
      </w:r>
    </w:p>
    <w:p w:rsidR="00000000" w:rsidDel="00000000" w:rsidP="00000000" w:rsidRDefault="00000000" w:rsidRPr="00000000" w14:paraId="000001B9">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Downside Stress Scenario</w:t>
      </w:r>
      <w:r w:rsidDel="00000000" w:rsidR="00000000" w:rsidRPr="00000000">
        <w:rPr>
          <w:rtl w:val="0"/>
        </w:rPr>
      </w:r>
    </w:p>
    <w:p w:rsidR="00000000" w:rsidDel="00000000" w:rsidP="00000000" w:rsidRDefault="00000000" w:rsidRPr="00000000" w14:paraId="000001BA">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A simultaneous stress across all three drivers — not a linear revenue compression, but a compounded operational degradation scenario.</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8b1a1a" w:space="0" w:sz="8" w:val="single"/>
              <w:left w:color="8b1a1a" w:space="0" w:sz="8" w:val="single"/>
              <w:bottom w:color="8b1a1a" w:space="0" w:sz="8" w:val="single"/>
              <w:right w:color="000000" w:space="0" w:sz="0" w:val="nil"/>
            </w:tcBorders>
            <w:shd w:fill="fdf2f2" w:val="clear"/>
            <w:tcMar>
              <w:top w:w="120.0" w:type="dxa"/>
              <w:left w:w="180.0" w:type="dxa"/>
              <w:bottom w:w="120.0" w:type="dxa"/>
              <w:right w:w="180.0" w:type="dxa"/>
            </w:tcMar>
            <w:vAlign w:val="center"/>
          </w:tcPr>
          <w:p w:rsidR="00000000" w:rsidDel="00000000" w:rsidP="00000000" w:rsidRDefault="00000000" w:rsidRPr="00000000" w14:paraId="000001BB">
            <w:pPr>
              <w:spacing w:after="2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8b1a1a"/>
                <w:sz w:val="20"/>
                <w:szCs w:val="20"/>
                <w:rtl w:val="0"/>
              </w:rPr>
              <w:t xml:space="preserve">−10% Occupancy</w:t>
            </w:r>
            <w:r w:rsidDel="00000000" w:rsidR="00000000" w:rsidRPr="00000000">
              <w:rPr>
                <w:rtl w:val="0"/>
              </w:rPr>
            </w:r>
          </w:p>
          <w:p w:rsidR="00000000" w:rsidDel="00000000" w:rsidP="00000000" w:rsidRDefault="00000000" w:rsidRPr="00000000" w14:paraId="000001BC">
            <w:pPr>
              <w:spacing w:after="80" w:before="0" w:line="276" w:lineRule="auto"/>
              <w:jc w:val="center"/>
              <w:rPr/>
            </w:pPr>
            <w:r w:rsidDel="00000000" w:rsidR="00000000" w:rsidRPr="00000000">
              <w:rPr>
                <w:rFonts w:ascii="Arial" w:cs="Arial" w:eastAsia="Arial" w:hAnsi="Arial"/>
                <w:b w:val="0"/>
                <w:bCs w:val="0"/>
                <w:i w:val="1"/>
                <w:iCs w:val="1"/>
                <w:smallCaps w:val="0"/>
                <w:color w:val="aa4444"/>
                <w:sz w:val="16"/>
                <w:szCs w:val="16"/>
                <w:rtl w:val="0"/>
              </w:rPr>
              <w:t xml:space="preserve">88 villa nights · 93 suite nights</w:t>
            </w:r>
            <w:r w:rsidDel="00000000" w:rsidR="00000000" w:rsidRPr="00000000">
              <w:rPr>
                <w:rtl w:val="0"/>
              </w:rPr>
            </w:r>
          </w:p>
        </w:tc>
        <w:tc>
          <w:tcPr>
            <w:tcBorders>
              <w:top w:color="8b1a1a" w:space="0" w:sz="8" w:val="single"/>
              <w:left w:color="cc8888" w:space="0" w:sz="4" w:val="single"/>
              <w:bottom w:color="8b1a1a" w:space="0" w:sz="8" w:val="single"/>
              <w:right w:color="000000" w:space="0" w:sz="0" w:val="nil"/>
            </w:tcBorders>
            <w:shd w:fill="fdf2f2" w:val="clear"/>
            <w:tcMar>
              <w:top w:w="120.0" w:type="dxa"/>
              <w:left w:w="180.0" w:type="dxa"/>
              <w:bottom w:w="120.0" w:type="dxa"/>
              <w:right w:w="180.0" w:type="dxa"/>
            </w:tcMar>
            <w:vAlign w:val="center"/>
          </w:tcPr>
          <w:p w:rsidR="00000000" w:rsidDel="00000000" w:rsidP="00000000" w:rsidRDefault="00000000" w:rsidRPr="00000000" w14:paraId="000001BD">
            <w:pPr>
              <w:spacing w:after="2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8b1a1a"/>
                <w:sz w:val="20"/>
                <w:szCs w:val="20"/>
                <w:rtl w:val="0"/>
              </w:rPr>
              <w:t xml:space="preserve">−5% Net ADR</w:t>
            </w:r>
            <w:r w:rsidDel="00000000" w:rsidR="00000000" w:rsidRPr="00000000">
              <w:rPr>
                <w:rtl w:val="0"/>
              </w:rPr>
            </w:r>
          </w:p>
          <w:p w:rsidR="00000000" w:rsidDel="00000000" w:rsidP="00000000" w:rsidRDefault="00000000" w:rsidRPr="00000000" w14:paraId="000001BE">
            <w:pPr>
              <w:spacing w:after="80" w:before="0" w:line="276" w:lineRule="auto"/>
              <w:jc w:val="center"/>
              <w:rPr/>
            </w:pPr>
            <w:r w:rsidDel="00000000" w:rsidR="00000000" w:rsidRPr="00000000">
              <w:rPr>
                <w:rFonts w:ascii="Arial" w:cs="Arial" w:eastAsia="Arial" w:hAnsi="Arial"/>
                <w:b w:val="0"/>
                <w:bCs w:val="0"/>
                <w:i w:val="1"/>
                <w:iCs w:val="1"/>
                <w:smallCaps w:val="0"/>
                <w:color w:val="aa4444"/>
                <w:sz w:val="16"/>
                <w:szCs w:val="16"/>
                <w:rtl w:val="0"/>
              </w:rPr>
              <w:t xml:space="preserve">Villas €3,325 · Suites adjusted</w:t>
            </w:r>
            <w:r w:rsidDel="00000000" w:rsidR="00000000" w:rsidRPr="00000000">
              <w:rPr>
                <w:rtl w:val="0"/>
              </w:rPr>
            </w:r>
          </w:p>
        </w:tc>
        <w:tc>
          <w:tcPr>
            <w:tcBorders>
              <w:top w:color="8b1a1a" w:space="0" w:sz="8" w:val="single"/>
              <w:left w:color="cc8888" w:space="0" w:sz="4" w:val="single"/>
              <w:bottom w:color="8b1a1a" w:space="0" w:sz="8" w:val="single"/>
              <w:right w:color="8b1a1a" w:space="0" w:sz="8" w:val="single"/>
            </w:tcBorders>
            <w:shd w:fill="fdf2f2" w:val="clear"/>
            <w:tcMar>
              <w:top w:w="120.0" w:type="dxa"/>
              <w:left w:w="180.0" w:type="dxa"/>
              <w:bottom w:w="120.0" w:type="dxa"/>
              <w:right w:w="180.0" w:type="dxa"/>
            </w:tcMar>
            <w:vAlign w:val="center"/>
          </w:tcPr>
          <w:p w:rsidR="00000000" w:rsidDel="00000000" w:rsidP="00000000" w:rsidRDefault="00000000" w:rsidRPr="00000000" w14:paraId="000001BF">
            <w:pPr>
              <w:spacing w:after="20" w:before="0" w:line="276" w:lineRule="auto"/>
              <w:jc w:val="center"/>
              <w:rPr/>
            </w:pPr>
            <w:r w:rsidDel="00000000" w:rsidR="00000000" w:rsidRPr="00000000">
              <w:rPr>
                <w:rFonts w:ascii="Arial" w:cs="Arial" w:eastAsia="Arial" w:hAnsi="Arial"/>
                <w:b w:val="1"/>
                <w:bCs w:val="1"/>
                <w:i w:val="0"/>
                <w:iCs w:val="0"/>
                <w:smallCaps w:val="0"/>
                <w:color w:val="8b1a1a"/>
                <w:sz w:val="20"/>
                <w:szCs w:val="20"/>
                <w:rtl w:val="0"/>
              </w:rPr>
              <w:t xml:space="preserve">4 Events / Year</w:t>
            </w:r>
            <w:r w:rsidDel="00000000" w:rsidR="00000000" w:rsidRPr="00000000">
              <w:rPr>
                <w:rtl w:val="0"/>
              </w:rPr>
            </w:r>
          </w:p>
          <w:p w:rsidR="00000000" w:rsidDel="00000000" w:rsidP="00000000" w:rsidRDefault="00000000" w:rsidRPr="00000000" w14:paraId="000001C0">
            <w:pPr>
              <w:spacing w:after="80" w:before="0" w:line="276" w:lineRule="auto"/>
              <w:jc w:val="center"/>
              <w:rPr/>
            </w:pPr>
            <w:r w:rsidDel="00000000" w:rsidR="00000000" w:rsidRPr="00000000">
              <w:rPr>
                <w:rFonts w:ascii="Arial" w:cs="Arial" w:eastAsia="Arial" w:hAnsi="Arial"/>
                <w:b w:val="0"/>
                <w:bCs w:val="0"/>
                <w:i w:val="1"/>
                <w:iCs w:val="1"/>
                <w:smallCaps w:val="0"/>
                <w:color w:val="aa4444"/>
                <w:sz w:val="16"/>
                <w:szCs w:val="16"/>
                <w:rtl w:val="0"/>
              </w:rPr>
              <w:t xml:space="preserve">vs 10 in the realistic scenario</w:t>
            </w:r>
            <w:r w:rsidDel="00000000" w:rsidR="00000000" w:rsidRPr="00000000">
              <w:rPr>
                <w:rtl w:val="0"/>
              </w:rPr>
            </w:r>
          </w:p>
        </w:tc>
      </w:tr>
    </w:tbl>
    <w:p w:rsidR="00000000" w:rsidDel="00000000" w:rsidP="00000000" w:rsidRDefault="00000000" w:rsidRPr="00000000" w14:paraId="000001C1">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1560"/>
        <w:gridCol w:w="1360"/>
        <w:gridCol w:w="1560"/>
        <w:gridCol w:w="1440"/>
        <w:gridCol w:w="1160"/>
        <w:tblGridChange w:id="0">
          <w:tblGrid>
            <w:gridCol w:w="2280"/>
            <w:gridCol w:w="1560"/>
            <w:gridCol w:w="1360"/>
            <w:gridCol w:w="1560"/>
            <w:gridCol w:w="1440"/>
            <w:gridCol w:w="1160"/>
          </w:tblGrid>
        </w:tblGridChange>
      </w:tblGrid>
      <w:tr>
        <w:trPr>
          <w:cantSplit w:val="0"/>
          <w:tblHeader w:val="1"/>
        </w:trPr>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2">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Year</w:t>
            </w:r>
            <w:r w:rsidDel="00000000" w:rsidR="00000000" w:rsidRPr="00000000">
              <w:rPr>
                <w:rtl w:val="0"/>
              </w:rPr>
            </w:r>
          </w:p>
        </w:tc>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3">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Downside Revenue</w:t>
            </w:r>
            <w:r w:rsidDel="00000000" w:rsidR="00000000" w:rsidRPr="00000000">
              <w:rPr>
                <w:rtl w:val="0"/>
              </w:rPr>
            </w:r>
          </w:p>
        </w:tc>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4">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OPEX</w:t>
            </w:r>
            <w:r w:rsidDel="00000000" w:rsidR="00000000" w:rsidRPr="00000000">
              <w:rPr>
                <w:rtl w:val="0"/>
              </w:rPr>
            </w:r>
          </w:p>
        </w:tc>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5">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Downside EBITDA</w:t>
            </w:r>
            <w:r w:rsidDel="00000000" w:rsidR="00000000" w:rsidRPr="00000000">
              <w:rPr>
                <w:rtl w:val="0"/>
              </w:rPr>
            </w:r>
          </w:p>
        </w:tc>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6">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Debt Service</w:t>
            </w:r>
            <w:r w:rsidDel="00000000" w:rsidR="00000000" w:rsidRPr="00000000">
              <w:rPr>
                <w:rtl w:val="0"/>
              </w:rPr>
            </w:r>
          </w:p>
        </w:tc>
        <w:tc>
          <w:tcPr>
            <w:tcBorders>
              <w:top w:color="8b1a1a" w:space="0" w:sz="8" w:val="single"/>
              <w:left w:color="000000" w:space="0" w:sz="0" w:val="nil"/>
              <w:bottom w:color="8b1a1a" w:space="0" w:sz="4" w:val="single"/>
              <w:right w:color="000000" w:space="0" w:sz="0" w:val="nil"/>
            </w:tcBorders>
            <w:shd w:fill="8b1a1a" w:val="clear"/>
            <w:tcMar>
              <w:top w:w="80.0" w:type="dxa"/>
              <w:left w:w="140.0" w:type="dxa"/>
              <w:bottom w:w="80.0" w:type="dxa"/>
              <w:right w:w="140.0" w:type="dxa"/>
            </w:tcMar>
            <w:vAlign w:val="center"/>
          </w:tcPr>
          <w:p w:rsidR="00000000" w:rsidDel="00000000" w:rsidP="00000000" w:rsidRDefault="00000000" w:rsidRPr="00000000" w14:paraId="000001C7">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DSCR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8">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2028</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€696,409</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€237,500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€458,909</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€216,402 (grace)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CD">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2.12×</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CE">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2029 (first DS year)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C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€823,060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D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€237,500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D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€585,560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D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€492,943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1D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1.19×</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4">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2030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€942,720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€256,500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€686,220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€492,943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1D9">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1.39×</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A">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2031 (stabilised)</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B">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€976,897</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C">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€275,500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D">
            <w:pPr>
              <w:spacing w:after="80" w:before="0" w:line="276" w:lineRule="auto"/>
              <w:jc w:val="center"/>
              <w:rPr/>
            </w:pPr>
            <w:r w:rsidDel="00000000" w:rsidR="00000000" w:rsidRPr="00000000">
              <w:rPr>
                <w:rFonts w:ascii="Arial" w:cs="Arial" w:eastAsia="Arial" w:hAnsi="Arial"/>
                <w:b w:val="1"/>
                <w:bCs w:val="1"/>
                <w:i w:val="0"/>
                <w:iCs w:val="0"/>
                <w:smallCaps w:val="0"/>
                <w:color w:val="8b1a1a"/>
                <w:sz w:val="18"/>
                <w:szCs w:val="18"/>
                <w:rtl w:val="0"/>
              </w:rPr>
              <w:t>€701,397</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E">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€492,943</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1DF">
            <w:pPr>
              <w:spacing w:after="80" w:before="0" w:line="276" w:lineRule="auto"/>
              <w:jc w:val="center"/>
              <w:rPr/>
            </w:pPr>
            <w:r w:rsidDel="00000000" w:rsidR="00000000" w:rsidRPr="00000000">
              <w:rPr>
                <w:rFonts w:ascii="Arial" w:cs="Arial" w:eastAsia="Arial" w:hAnsi="Arial"/>
                <w:b w:val="1"/>
                <w:bCs w:val="1"/>
                <w:i w:val="0"/>
                <w:iCs w:val="0"/>
                <w:smallCaps w:val="0"/>
                <w:color w:val="8b1a1a"/>
                <w:sz w:val="18"/>
                <w:szCs w:val="18"/>
                <w:rtl w:val="0"/>
              </w:rPr>
              <w:t>1.42×</w:t>
            </w:r>
            <w:r w:rsidDel="00000000" w:rsidR="00000000" w:rsidRPr="00000000">
              <w:rPr>
                <w:rtl w:val="0"/>
              </w:rPr>
            </w:r>
          </w:p>
        </w:tc>
      </w:tr>
    </w:tbl>
    <w:p w:rsidR="00000000" w:rsidDel="00000000" w:rsidP="00000000" w:rsidRDefault="00000000" w:rsidRPr="00000000" w14:paraId="000001E0">
      <w:pPr>
        <w:pBdr>
          <w:left w:color="b8962e" w:space="0" w:sz="20" w:val="single"/>
        </w:pBdr>
        <w:spacing w:after="120" w:before="120" w:lineRule="auto"/>
        <w:ind w:left="280" w:right="0" w:firstLine="0"/>
        <w:rPr/>
      </w:pPr>
      <w:r w:rsidDel="00000000" w:rsidR="00000000" w:rsidRPr="00000000">
        <w:rPr>
          <w:rFonts w:ascii="Arial Unicode MS" w:cs="Arial Unicode MS" w:eastAsia="Arial Unicode MS" w:hAnsi="Arial Unicode MS"/>
          <w:b w:val="0"/>
          <w:bCs w:val="0"/>
          <w:i w:val="1"/>
          <w:iCs w:val="1"/>
          <w:smallCaps w:val="0"/>
          <w:color w:val="8b1a1a"/>
          <w:sz w:val="19"/>
          <w:szCs w:val="19"/>
          <w:rtl w:val="0"/>
        </w:rPr>
        <w:t>DSCR of {{DSCR_DOWNSIDE}} in the downside scenario (−10% occupancy, −5% ADR, 4 events). Revenue would need to fall a further {{DOWNSIDE_BUFFER_PCT}} from this already-stressed level before debt service coverage is broken — or approximately 34% from the realistic base case. In occupancy terms, break-even is reached at approximately 40 villa nights annually (commercial loan path; TEPIX Loan path: 51 nights), equivalent to ~26% of a 155-day operating season. The project maintains positive free cash flow after debt service in every year from opening.</w:t>
      </w: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1E2">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KEY RISKS &amp; MITIGATING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1E3">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6</w:t>
            </w:r>
            <w:r w:rsidDel="00000000" w:rsidR="00000000" w:rsidRPr="00000000">
              <w:rPr>
                <w:rtl w:val="0"/>
              </w:rPr>
            </w:r>
          </w:p>
        </w:tc>
      </w:tr>
    </w:tbl>
    <w:p w:rsidR="00000000" w:rsidDel="00000000" w:rsidP="00000000" w:rsidRDefault="00000000" w:rsidRPr="00000000" w14:paraId="000001E4">
      <w:pPr>
        <w:spacing w:after="80" w:before="80" w:lineRule="auto"/>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640"/>
        <w:gridCol w:w="1680"/>
        <w:gridCol w:w="1680"/>
        <w:gridCol w:w="1680"/>
        <w:gridCol w:w="1680"/>
        <w:tblGridChange w:id="0">
          <w:tblGrid>
            <w:gridCol w:w="2640"/>
            <w:gridCol w:w="1680"/>
            <w:gridCol w:w="1680"/>
            <w:gridCol w:w="1680"/>
            <w:gridCol w:w="1680"/>
          </w:tblGrid>
        </w:tblGridChange>
      </w:tblGrid>
      <w:tr>
        <w:trPr>
          <w:cantSplit w:val="0"/>
          <w:tblHeader w:val="0"/>
        </w:trPr>
        <w:tc>
          <w:tcPr>
            <w:tcBorders>
              <w:top w:color="1f3864" w:space="0" w:sz="8" w:val="single"/>
              <w:left w:color="000000" w:space="0" w:sz="0" w:val="nil"/>
              <w:bottom w:color="1f3864" w:space="0" w:sz="6" w:val="single"/>
              <w:right w:color="000000" w:space="0" w:sz="0" w:val="nil"/>
            </w:tcBorders>
            <w:shd w:fill="1f3864" w:val="clear"/>
            <w:tcMar>
              <w:top w:w="80.0" w:type="dxa"/>
              <w:left w:w="140.0" w:type="dxa"/>
              <w:bottom w:w="80.0" w:type="dxa"/>
              <w:right w:w="140.0" w:type="dxa"/>
            </w:tcMar>
          </w:tcPr>
          <w:p w:rsidR="00000000" w:rsidDel="00000000" w:rsidP="00000000" w:rsidRDefault="00000000" w:rsidRPr="00000000" w14:paraId="000001E5">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Metric</w:t>
            </w:r>
            <w:r w:rsidDel="00000000" w:rsidR="00000000" w:rsidRPr="00000000">
              <w:rPr>
                <w:rtl w:val="0"/>
              </w:rPr>
            </w:r>
          </w:p>
        </w:tc>
        <w:tc>
          <w:tcPr>
            <w:tcBorders>
              <w:top w:color="8b1a1a" w:space="0" w:sz="8" w:val="single"/>
              <w:left w:color="000000" w:space="0" w:sz="0" w:val="nil"/>
              <w:bottom w:color="8b1a1a" w:space="0" w:sz="6" w:val="single"/>
              <w:right w:color="000000" w:space="0" w:sz="0" w:val="nil"/>
            </w:tcBorders>
            <w:shd w:fill="8b1a1a" w:val="clear"/>
            <w:tcMar>
              <w:top w:w="80.0" w:type="dxa"/>
              <w:left w:w="140.0" w:type="dxa"/>
              <w:bottom w:w="80.0" w:type="dxa"/>
              <w:right w:w="140.0" w:type="dxa"/>
            </w:tcMar>
          </w:tcPr>
          <w:p w:rsidR="00000000" w:rsidDel="00000000" w:rsidP="00000000" w:rsidRDefault="00000000" w:rsidRPr="00000000" w14:paraId="000001E6">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Break-Even</w:t>
            </w:r>
            <w:r w:rsidDel="00000000" w:rsidR="00000000" w:rsidRPr="00000000">
              <w:rPr>
                <w:rtl w:val="0"/>
              </w:rPr>
            </w:r>
          </w:p>
        </w:tc>
        <w:tc>
          <w:tcPr>
            <w:tcBorders>
              <w:top w:color="1f3864" w:space="0" w:sz="8" w:val="single"/>
              <w:left w:color="000000" w:space="0" w:sz="0" w:val="nil"/>
              <w:bottom w:color="1f3864" w:space="0" w:sz="6" w:val="single"/>
              <w:right w:color="000000" w:space="0" w:sz="0" w:val="nil"/>
            </w:tcBorders>
            <w:shd w:fill="1f3864" w:val="clear"/>
            <w:tcMar>
              <w:top w:w="80.0" w:type="dxa"/>
              <w:left w:w="140.0" w:type="dxa"/>
              <w:bottom w:w="80.0" w:type="dxa"/>
              <w:right w:w="140.0" w:type="dxa"/>
            </w:tcMar>
          </w:tcPr>
          <w:p w:rsidR="00000000" w:rsidDel="00000000" w:rsidP="00000000" w:rsidRDefault="00000000" w:rsidRPr="00000000" w14:paraId="000001E7">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Downside</w:t>
            </w:r>
            <w:r w:rsidDel="00000000" w:rsidR="00000000" w:rsidRPr="00000000">
              <w:rPr>
                <w:rtl w:val="0"/>
              </w:rPr>
            </w:r>
          </w:p>
        </w:tc>
        <w:tc>
          <w:tcPr>
            <w:tcBorders>
              <w:top w:color="1f3864" w:space="0" w:sz="8" w:val="single"/>
              <w:left w:color="000000" w:space="0" w:sz="0" w:val="nil"/>
              <w:bottom w:color="1f3864" w:space="0" w:sz="6" w:val="single"/>
              <w:right w:color="000000" w:space="0" w:sz="0" w:val="nil"/>
            </w:tcBorders>
            <w:shd w:fill="1f3864" w:val="clear"/>
            <w:tcMar>
              <w:top w:w="80.0" w:type="dxa"/>
              <w:left w:w="140.0" w:type="dxa"/>
              <w:bottom w:w="80.0" w:type="dxa"/>
              <w:right w:w="140.0" w:type="dxa"/>
            </w:tcMar>
          </w:tcPr>
          <w:p w:rsidR="00000000" w:rsidDel="00000000" w:rsidP="00000000" w:rsidRDefault="00000000" w:rsidRPr="00000000" w14:paraId="000001E8">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Realistic</w:t>
            </w:r>
            <w:r w:rsidDel="00000000" w:rsidR="00000000" w:rsidRPr="00000000">
              <w:rPr>
                <w:rtl w:val="0"/>
              </w:rPr>
            </w:r>
          </w:p>
        </w:tc>
        <w:tc>
          <w:tcPr>
            <w:tcBorders>
              <w:top w:color="0b5563" w:space="0" w:sz="8" w:val="single"/>
              <w:left w:color="000000" w:space="0" w:sz="0" w:val="nil"/>
              <w:bottom w:color="0b5563" w:space="0" w:sz="6" w:val="single"/>
              <w:right w:color="000000" w:space="0" w:sz="0" w:val="nil"/>
            </w:tcBorders>
            <w:shd w:fill="0b5563" w:val="clear"/>
            <w:tcMar>
              <w:top w:w="80.0" w:type="dxa"/>
              <w:left w:w="140.0" w:type="dxa"/>
              <w:bottom w:w="80.0" w:type="dxa"/>
              <w:right w:w="140.0" w:type="dxa"/>
            </w:tcMar>
          </w:tcPr>
          <w:p w:rsidR="00000000" w:rsidDel="00000000" w:rsidP="00000000" w:rsidRDefault="00000000" w:rsidRPr="00000000" w14:paraId="000001E9">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Grant Path</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EA">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Annual revenue</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2f2" w:val="clear"/>
            <w:tcMar>
              <w:top w:w="80.0" w:type="dxa"/>
              <w:left w:w="140.0" w:type="dxa"/>
              <w:bottom w:w="80.0" w:type="dxa"/>
              <w:right w:w="140.0" w:type="dxa"/>
            </w:tcMar>
          </w:tcPr>
          <w:p w:rsidR="00000000" w:rsidDel="00000000" w:rsidP="00000000" w:rsidRDefault="00000000" w:rsidRPr="00000000" w14:paraId="000001EB">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€768,443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EC">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€976,897</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ED">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€1,138,825</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ebf5f7" w:val="clear"/>
            <w:tcMar>
              <w:top w:w="80.0" w:type="dxa"/>
              <w:left w:w="140.0" w:type="dxa"/>
              <w:bottom w:w="80.0" w:type="dxa"/>
              <w:right w:w="140.0" w:type="dxa"/>
            </w:tcMar>
          </w:tcPr>
          <w:p w:rsidR="00000000" w:rsidDel="00000000" w:rsidP="00000000" w:rsidRDefault="00000000" w:rsidRPr="00000000" w14:paraId="000001EE">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€1,138,825</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EF">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EBITDA</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8f8" w:val="clear"/>
            <w:tcMar>
              <w:top w:w="80.0" w:type="dxa"/>
              <w:left w:w="140.0" w:type="dxa"/>
              <w:bottom w:w="80.0" w:type="dxa"/>
              <w:right w:w="140.0" w:type="dxa"/>
            </w:tcMar>
          </w:tcPr>
          <w:p w:rsidR="00000000" w:rsidDel="00000000" w:rsidP="00000000" w:rsidRDefault="00000000" w:rsidRPr="00000000" w14:paraId="000001F0">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 xml:space="preserve">€492,943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F1">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€701,397</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F2">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€893,745</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f0f9fb" w:val="clear"/>
            <w:tcMar>
              <w:top w:w="80.0" w:type="dxa"/>
              <w:left w:w="140.0" w:type="dxa"/>
              <w:bottom w:w="80.0" w:type="dxa"/>
              <w:right w:w="140.0" w:type="dxa"/>
            </w:tcMar>
          </w:tcPr>
          <w:p w:rsidR="00000000" w:rsidDel="00000000" w:rsidP="00000000" w:rsidRDefault="00000000" w:rsidRPr="00000000" w14:paraId="000001F3">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€893,745</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F4">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Annual debt service</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2f2" w:val="clear"/>
            <w:tcMar>
              <w:top w:w="80.0" w:type="dxa"/>
              <w:left w:w="140.0" w:type="dxa"/>
              <w:bottom w:w="80.0" w:type="dxa"/>
              <w:right w:w="140.0" w:type="dxa"/>
            </w:tcMar>
          </w:tcPr>
          <w:p w:rsidR="00000000" w:rsidDel="00000000" w:rsidP="00000000" w:rsidRDefault="00000000" w:rsidRPr="00000000" w14:paraId="000001F5">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 xml:space="preserve">€492,943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F6">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€492,943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F7">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€492,943</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ebf5f7" w:val="clear"/>
            <w:tcMar>
              <w:top w:w="80.0" w:type="dxa"/>
              <w:left w:w="140.0" w:type="dxa"/>
              <w:bottom w:w="80.0" w:type="dxa"/>
              <w:right w:w="140.0" w:type="dxa"/>
            </w:tcMar>
          </w:tcPr>
          <w:p w:rsidR="00000000" w:rsidDel="00000000" w:rsidP="00000000" w:rsidRDefault="00000000" w:rsidRPr="00000000" w14:paraId="000001F8">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€261,849</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F9">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DSCR</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8f8" w:val="clear"/>
            <w:tcMar>
              <w:top w:w="80.0" w:type="dxa"/>
              <w:left w:w="140.0" w:type="dxa"/>
              <w:bottom w:w="80.0" w:type="dxa"/>
              <w:right w:w="140.0" w:type="dxa"/>
            </w:tcMar>
          </w:tcPr>
          <w:p w:rsidR="00000000" w:rsidDel="00000000" w:rsidP="00000000" w:rsidRDefault="00000000" w:rsidRPr="00000000" w14:paraId="000001FA">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 xml:space="preserve">1.00×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FB">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1.42×</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1FC">
            <w:pPr>
              <w:spacing w:after="80" w:before="0" w:line="276" w:lineRule="auto"/>
              <w:jc w:val="center"/>
              <w:rPr/>
            </w:pPr>
            <w:r w:rsidDel="00000000" w:rsidR="00000000" w:rsidRPr="00000000">
              <w:rPr>
                <w:rFonts w:ascii="Arial" w:cs="Arial" w:eastAsia="Arial" w:hAnsi="Arial"/>
                <w:b w:val="1"/>
                <w:bCs w:val="1"/>
                <w:i w:val="0"/>
                <w:iCs w:val="0"/>
                <w:smallCaps w:val="0"/>
                <w:color w:val="1f3864"/>
                <w:sz w:val="17"/>
                <w:szCs w:val="17"/>
                <w:rtl w:val="0"/>
              </w:rPr>
              <w:t>1.81×</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f0f9fb" w:val="clear"/>
            <w:tcMar>
              <w:top w:w="80.0" w:type="dxa"/>
              <w:left w:w="140.0" w:type="dxa"/>
              <w:bottom w:w="80.0" w:type="dxa"/>
              <w:right w:w="140.0" w:type="dxa"/>
            </w:tcMar>
          </w:tcPr>
          <w:p w:rsidR="00000000" w:rsidDel="00000000" w:rsidP="00000000" w:rsidRDefault="00000000" w:rsidRPr="00000000" w14:paraId="000001FD">
            <w:pPr>
              <w:spacing w:after="80" w:before="0" w:line="276" w:lineRule="auto"/>
              <w:jc w:val="center"/>
              <w:rPr/>
            </w:pPr>
            <w:r w:rsidDel="00000000" w:rsidR="00000000" w:rsidRPr="00000000">
              <w:rPr>
                <w:rFonts w:ascii="Arial" w:cs="Arial" w:eastAsia="Arial" w:hAnsi="Arial"/>
                <w:b w:val="1"/>
                <w:bCs w:val="1"/>
                <w:i w:val="0"/>
                <w:iCs w:val="0"/>
                <w:smallCaps w:val="0"/>
                <w:color w:val="0b5563"/>
                <w:sz w:val="17"/>
                <w:szCs w:val="17"/>
                <w:rtl w:val="0"/>
              </w:rPr>
              <w:t>3.41×</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1FE">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Villa nights / yr</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2f2" w:val="clear"/>
            <w:tcMar>
              <w:top w:w="80.0" w:type="dxa"/>
              <w:left w:w="140.0" w:type="dxa"/>
              <w:bottom w:w="80.0" w:type="dxa"/>
              <w:right w:w="140.0" w:type="dxa"/>
            </w:tcMar>
          </w:tcPr>
          <w:p w:rsidR="00000000" w:rsidDel="00000000" w:rsidP="00000000" w:rsidRDefault="00000000" w:rsidRPr="00000000" w14:paraId="000001FF">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~22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00">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86 nights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01">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95 nights</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ebf5f7" w:val="clear"/>
            <w:tcMar>
              <w:top w:w="80.0" w:type="dxa"/>
              <w:left w:w="140.0" w:type="dxa"/>
              <w:bottom w:w="80.0" w:type="dxa"/>
              <w:right w:w="140.0" w:type="dxa"/>
            </w:tcMar>
          </w:tcPr>
          <w:p w:rsidR="00000000" w:rsidDel="00000000" w:rsidP="00000000" w:rsidRDefault="00000000" w:rsidRPr="00000000" w14:paraId="00000202">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 xml:space="preserve">95 nights</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03">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Free cash flow (net)</w:t>
            </w:r>
            <w:r w:rsidDel="00000000" w:rsidR="00000000" w:rsidRPr="00000000">
              <w:rPr>
                <w:rtl w:val="0"/>
              </w:rPr>
            </w:r>
          </w:p>
        </w:tc>
        <w:tc>
          <w:tcPr>
            <w:tcBorders>
              <w:top w:color="ddbbbb" w:space="0" w:sz="4" w:val="single"/>
              <w:left w:color="000000" w:space="0" w:sz="0" w:val="nil"/>
              <w:bottom w:color="ddbbbb" w:space="0" w:sz="4" w:val="single"/>
              <w:right w:color="000000" w:space="0" w:sz="0" w:val="nil"/>
            </w:tcBorders>
            <w:shd w:fill="fdf8f8" w:val="clear"/>
            <w:tcMar>
              <w:top w:w="80.0" w:type="dxa"/>
              <w:left w:w="140.0" w:type="dxa"/>
              <w:bottom w:w="80.0" w:type="dxa"/>
              <w:right w:w="140.0" w:type="dxa"/>
            </w:tcMar>
          </w:tcPr>
          <w:p w:rsidR="00000000" w:rsidDel="00000000" w:rsidP="00000000" w:rsidRDefault="00000000" w:rsidRPr="00000000" w14:paraId="00000204">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 xml:space="preserve">€0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05">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€208,454</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06">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€318,955</w:t>
            </w:r>
            <w:r w:rsidDel="00000000" w:rsidR="00000000" w:rsidRPr="00000000">
              <w:rPr>
                <w:rtl w:val="0"/>
              </w:rPr>
            </w:r>
          </w:p>
        </w:tc>
        <w:tc>
          <w:tcPr>
            <w:tcBorders>
              <w:top w:color="aacccc" w:space="0" w:sz="4" w:val="single"/>
              <w:left w:color="000000" w:space="0" w:sz="0" w:val="nil"/>
              <w:bottom w:color="aacccc" w:space="0" w:sz="4" w:val="single"/>
              <w:right w:color="000000" w:space="0" w:sz="0" w:val="nil"/>
            </w:tcBorders>
            <w:shd w:fill="f0f9fb" w:val="clear"/>
            <w:tcMar>
              <w:top w:w="80.0" w:type="dxa"/>
              <w:left w:w="140.0" w:type="dxa"/>
              <w:bottom w:w="80.0" w:type="dxa"/>
              <w:right w:w="140.0" w:type="dxa"/>
            </w:tcMar>
          </w:tcPr>
          <w:p w:rsidR="00000000" w:rsidDel="00000000" w:rsidP="00000000" w:rsidRDefault="00000000" w:rsidRPr="00000000" w14:paraId="00000207">
            <w:pPr>
              <w:spacing w:after="80" w:before="0" w:line="276" w:lineRule="auto"/>
              <w:jc w:val="center"/>
              <w:rPr/>
            </w:pPr>
            <w:r w:rsidDel="00000000" w:rsidR="00000000" w:rsidRPr="00000000">
              <w:rPr>
                <w:rFonts w:ascii="Arial" w:cs="Arial" w:eastAsia="Arial" w:hAnsi="Arial"/>
                <w:b w:val="0"/>
                <w:bCs w:val="0"/>
                <w:i w:val="0"/>
                <w:iCs w:val="0"/>
                <w:smallCaps w:val="0"/>
                <w:color w:val="2d2d2d"/>
                <w:sz w:val="17"/>
                <w:szCs w:val="17"/>
                <w:rtl w:val="0"/>
              </w:rPr>
              <w:t>€550,049</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08">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Buffer to break-even</w:t>
            </w:r>
            <w:r w:rsidDel="00000000" w:rsidR="00000000" w:rsidRPr="00000000">
              <w:rPr>
                <w:rtl w:val="0"/>
              </w:rPr>
            </w:r>
          </w:p>
        </w:tc>
        <w:tc>
          <w:tcPr>
            <w:tcBorders>
              <w:top w:color="8b1a1a" w:space="0" w:sz="6" w:val="single"/>
              <w:left w:color="000000" w:space="0" w:sz="0" w:val="nil"/>
              <w:bottom w:color="8b1a1a" w:space="0" w:sz="6" w:val="single"/>
              <w:right w:color="000000" w:space="0" w:sz="0" w:val="nil"/>
            </w:tcBorders>
            <w:shd w:fill="fdf2f2" w:val="clear"/>
            <w:tcMar>
              <w:top w:w="80.0" w:type="dxa"/>
              <w:left w:w="140.0" w:type="dxa"/>
              <w:bottom w:w="80.0" w:type="dxa"/>
              <w:right w:w="140.0" w:type="dxa"/>
            </w:tcMar>
          </w:tcPr>
          <w:p w:rsidR="00000000" w:rsidDel="00000000" w:rsidP="00000000" w:rsidRDefault="00000000" w:rsidRPr="00000000" w14:paraId="00000209">
            <w:pPr>
              <w:spacing w:after="80" w:before="0" w:line="276" w:lineRule="auto"/>
              <w:jc w:val="center"/>
              <w:rPr/>
            </w:pPr>
            <w:r w:rsidDel="00000000" w:rsidR="00000000" w:rsidRPr="00000000">
              <w:rPr>
                <w:rFonts w:ascii="Arial" w:cs="Arial" w:eastAsia="Arial" w:hAnsi="Arial"/>
                <w:b w:val="1"/>
                <w:bCs w:val="1"/>
                <w:i w:val="0"/>
                <w:iCs w:val="0"/>
                <w:smallCaps w:val="0"/>
                <w:color w:val="8b1a1a"/>
                <w:sz w:val="17"/>
                <w:szCs w:val="17"/>
                <w:rtl w:val="0"/>
              </w:rPr>
              <w:t xml:space="preserv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0A">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7"/>
                <w:szCs w:val="17"/>
                <w:rtl w:val="0"/>
              </w:rPr>
              <w:t xml:space="preserve">−23%</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0B">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7"/>
                <w:szCs w:val="17"/>
                <w:rtl w:val="0"/>
              </w:rPr>
              <w:t xml:space="preserve">−34%</w:t>
            </w:r>
            <w:r w:rsidDel="00000000" w:rsidR="00000000" w:rsidRPr="00000000">
              <w:rPr>
                <w:rtl w:val="0"/>
              </w:rPr>
            </w:r>
          </w:p>
        </w:tc>
        <w:tc>
          <w:tcPr>
            <w:tcBorders>
              <w:top w:color="0b5563" w:space="0" w:sz="6" w:val="single"/>
              <w:left w:color="000000" w:space="0" w:sz="0" w:val="nil"/>
              <w:bottom w:color="0b5563" w:space="0" w:sz="6" w:val="single"/>
              <w:right w:color="000000" w:space="0" w:sz="0" w:val="nil"/>
            </w:tcBorders>
            <w:shd w:fill="ebf5f7" w:val="clear"/>
            <w:tcMar>
              <w:top w:w="80.0" w:type="dxa"/>
              <w:left w:w="140.0" w:type="dxa"/>
              <w:bottom w:w="80.0" w:type="dxa"/>
              <w:right w:w="140.0" w:type="dxa"/>
            </w:tcMar>
          </w:tcPr>
          <w:p w:rsidR="00000000" w:rsidDel="00000000" w:rsidP="00000000" w:rsidRDefault="00000000" w:rsidRPr="00000000" w14:paraId="0000020C">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7"/>
                <w:szCs w:val="17"/>
                <w:rtl w:val="0"/>
              </w:rPr>
              <w:t xml:space="preserve">−67%</w:t>
            </w:r>
            <w:r w:rsidDel="00000000" w:rsidR="00000000" w:rsidRPr="00000000">
              <w:rPr>
                <w:rtl w:val="0"/>
              </w:rPr>
            </w:r>
          </w:p>
        </w:tc>
      </w:tr>
    </w:tbl>
    <w:p w:rsidR="00000000" w:rsidDel="00000000" w:rsidP="00000000" w:rsidRDefault="00000000" w:rsidRPr="00000000" w14:paraId="0000020D">
      <w:pPr>
        <w:spacing w:after="60" w:before="60" w:lineRule="auto"/>
        <w:rPr/>
      </w:pPr>
      <w:r w:rsidDel="00000000" w:rsidR="00000000" w:rsidRPr="00000000">
        <w:rPr>
          <w:rtl w:val="0"/>
        </w:rPr>
      </w:r>
    </w:p>
    <w:p w:rsidR="00000000" w:rsidDel="00000000" w:rsidP="00000000" w:rsidRDefault="00000000" w:rsidRPr="00000000" w14:paraId="0000020E">
      <w:pPr>
        <w:pBdr>
          <w:left w:color="b8962e" w:space="0" w:sz="20" w:val="single"/>
        </w:pBdr>
        <w:spacing w:after="120" w:before="120" w:lineRule="auto"/>
        <w:ind w:left="280" w:right="0" w:firstLine="0"/>
        <w:rPr/>
      </w:pPr>
      <w:r w:rsidDel="00000000" w:rsidR="00000000" w:rsidRPr="00000000">
        <w:rPr>
          <w:rFonts w:ascii="Arial" w:cs="Arial" w:eastAsia="Arial" w:hAnsi="Arial"/>
          <w:b w:val="0"/>
          <w:bCs w:val="0"/>
          <w:i w:val="1"/>
          <w:iCs w:val="1"/>
          <w:smallCaps w:val="0"/>
          <w:color w:val="0b5563"/>
          <w:sz w:val="19"/>
          <w:szCs w:val="19"/>
          <w:rtl w:val="0"/>
        </w:rPr>
        <w:t>Break-even at ~{{BREAKEVEN_NIGHTS}} villa nights per year (grant path) — roughly equivalent to Villa Lev’s very first season in 20{{BREAKEVEN_NIGHTS}}, before any brand recognition was established. Revenue must fall {{BREAKEVEN_REVENUE_DROP_PCT}} from the realistic scenario before debt service is affected, or a further 23% from the already-stressed downside case.</w:t>
      </w:r>
      <w:r w:rsidDel="00000000" w:rsidR="00000000" w:rsidRPr="00000000">
        <w:rPr>
          <w:rtl w:val="0"/>
        </w:rPr>
      </w:r>
    </w:p>
    <w:p w:rsidR="00000000" w:rsidDel="00000000" w:rsidP="00000000" w:rsidRDefault="00000000" w:rsidRPr="00000000" w14:paraId="0000020F">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tcPr>
          <w:p w:rsidR="00000000" w:rsidDel="00000000" w:rsidP="00000000" w:rsidRDefault="00000000" w:rsidRPr="00000000" w14:paraId="00000210">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Risk</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tcPr>
          <w:p w:rsidR="00000000" w:rsidDel="00000000" w:rsidP="00000000" w:rsidRDefault="00000000" w:rsidRPr="00000000" w14:paraId="00000211">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Description</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0b5563" w:val="clear"/>
            <w:tcMar>
              <w:top w:w="80.0" w:type="dxa"/>
              <w:left w:w="140.0" w:type="dxa"/>
              <w:bottom w:w="80.0" w:type="dxa"/>
              <w:right w:w="140.0" w:type="dxa"/>
            </w:tcMar>
          </w:tcPr>
          <w:p w:rsidR="00000000" w:rsidDel="00000000" w:rsidP="00000000" w:rsidRDefault="00000000" w:rsidRPr="00000000" w14:paraId="00000212">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Mitigation</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13">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Construction cost &amp; timeline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14">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Cost overruns or delays could increase CAPEX or push the opening beyond Summer 2028.</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0f7f4" w:val="clear"/>
            <w:tcMar>
              <w:top w:w="80.0" w:type="dxa"/>
              <w:left w:w="140.0" w:type="dxa"/>
              <w:bottom w:w="80.0" w:type="dxa"/>
              <w:right w:w="140.0" w:type="dxa"/>
            </w:tcMar>
          </w:tcPr>
          <w:p w:rsidR="00000000" w:rsidDel="00000000" w:rsidP="00000000" w:rsidRDefault="00000000" w:rsidRPr="00000000" w14:paraId="00000215">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Contingency of 10% of construction + FF&amp;E built into CAPEX. Phase 2 drawdown conditional on permit issuance — lender exposure during construction is limited to Phase 1 plots (€1.35M), which serve as collateral for the interim period. Civil engineer has completed multiple luxury villas in this exact area.</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16">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Permit &amp; regulatory</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17">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Building permit delays could affect the construction schedule.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7fbf9" w:val="clear"/>
            <w:tcMar>
              <w:top w:w="80.0" w:type="dxa"/>
              <w:left w:w="140.0" w:type="dxa"/>
              <w:bottom w:w="80.0" w:type="dxa"/>
              <w:right w:w="140.0" w:type="dxa"/>
            </w:tcMar>
          </w:tcPr>
          <w:p w:rsidR="00000000" w:rsidDel="00000000" w:rsidP="00000000" w:rsidRDefault="00000000" w:rsidRPr="00000000" w14:paraId="00000218">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All three plots sit within the FEK-designated village building limits of Agios Georgios. Buildability is a direct consequence of the FEK designation, not subject to interpretation. Permit preparation begins immediately upon Phase 1 drawdown; Phase 2 funding is conditionally gated on permit issuance.</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19">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Revenue &amp; occupancy</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1A">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Lower-than-projected occupancy or ADR would reduce EBITDA and compress DSCR.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0f7f4" w:val="clear"/>
            <w:tcMar>
              <w:top w:w="80.0" w:type="dxa"/>
              <w:left w:w="140.0" w:type="dxa"/>
              <w:bottom w:w="80.0" w:type="dxa"/>
              <w:right w:w="140.0" w:type="dxa"/>
            </w:tcMar>
          </w:tcPr>
          <w:p w:rsidR="00000000" w:rsidDel="00000000" w:rsidP="00000000" w:rsidRDefault="00000000" w:rsidRPr="00000000" w14:paraId="0000021B">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Base case ADR (€3,500) is already 12.5% below current Villa Lev ADR (€4,000). Break-even occupancy is 40 nights — well below the 79 nights achieved in 2025 and 88+ nights in 2026. Five years of documented demand growth and an 18-month forward booking horizon provide empirical grounding for the projections.</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1C">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OPEX &amp; cost inflation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1D">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Operating cost increases — particularly energy, staffing, and maintenance — could compress margins.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7fbf9" w:val="clear"/>
            <w:tcMar>
              <w:top w:w="80.0" w:type="dxa"/>
              <w:left w:w="140.0" w:type="dxa"/>
              <w:bottom w:w="80.0" w:type="dxa"/>
              <w:right w:w="140.0" w:type="dxa"/>
            </w:tcMar>
          </w:tcPr>
          <w:p w:rsidR="00000000" w:rsidDel="00000000" w:rsidP="00000000" w:rsidRDefault="00000000" w:rsidRPr="00000000" w14:paraId="0000021E">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Inflation affects both sides of the P&amp;L: costs rise, but ADR rises with it. Villa Lev has grown ADR 5–10% per year across five seasons, consistently outpacing general cost inflation. The model uses today’s ADR with zero upward adjustment through 2028 — any inflationary ADR drift is pure margin upside. The project structurally benefits from moderate inflation. OPEX assumptions are conservative with no cost growth applied to the stabilised year.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1F">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Operational execution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20">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Consistent service quality is critical to sustaining ADR and repeat bookings.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0f7f4" w:val="clear"/>
            <w:tcMar>
              <w:top w:w="80.0" w:type="dxa"/>
              <w:left w:w="140.0" w:type="dxa"/>
              <w:bottom w:w="80.0" w:type="dxa"/>
              <w:right w:w="140.0" w:type="dxa"/>
            </w:tcMar>
          </w:tcPr>
          <w:p w:rsidR="00000000" w:rsidDel="00000000" w:rsidP="00000000" w:rsidRDefault="00000000" w:rsidRPr="00000000" w14:paraId="00000221">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Villa Lev Group Management has been operating in this market for five years with a team structured across dedicated functions (housekeeping, maintenance, concierge, revenue management). Day-to-day operations run independently of the founder, mitigating key-person risk.</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22">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Accessibility &amp; demand</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tcPr>
          <w:p w:rsidR="00000000" w:rsidDel="00000000" w:rsidP="00000000" w:rsidRDefault="00000000" w:rsidRPr="00000000" w14:paraId="00000223">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Dependence on air and ferry access could affect demand in disruption scenarios.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7fbf9" w:val="clear"/>
            <w:tcMar>
              <w:top w:w="80.0" w:type="dxa"/>
              <w:left w:w="140.0" w:type="dxa"/>
              <w:bottom w:w="80.0" w:type="dxa"/>
              <w:right w:w="140.0" w:type="dxa"/>
            </w:tcMar>
          </w:tcPr>
          <w:p w:rsidR="00000000" w:rsidDel="00000000" w:rsidP="00000000" w:rsidRDefault="00000000" w:rsidRPr="00000000" w14:paraId="00000224">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Paros serves diversified international source markets across Europe and the Middle East. The Paros Airport upgrade for direct international flights is underway, which structurally extends the season and diversifies access routes. Guest profile (UHNW/HNW) is demonstrably price-insensitive and historically resilient to cyclical demand shocks.</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25">
            <w:pPr>
              <w:spacing w:after="80" w:before="0" w:line="276" w:lineRule="auto"/>
              <w:jc w:val="left"/>
              <w:rPr/>
            </w:pPr>
            <w:r w:rsidDel="00000000" w:rsidR="00000000" w:rsidRPr="00000000">
              <w:rPr>
                <w:rFonts w:ascii="Arial" w:cs="Arial" w:eastAsia="Arial" w:hAnsi="Arial"/>
                <w:b w:val="1"/>
                <w:bCs w:val="1"/>
                <w:i w:val="0"/>
                <w:iCs w:val="0"/>
                <w:smallCaps w:val="0"/>
                <w:color w:val="1f3864"/>
                <w:sz w:val="17"/>
                <w:szCs w:val="17"/>
                <w:rtl w:val="0"/>
              </w:rPr>
              <w:t xml:space="preserve">Climate &amp; external factors</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tcPr>
          <w:p w:rsidR="00000000" w:rsidDel="00000000" w:rsidP="00000000" w:rsidRDefault="00000000" w:rsidRPr="00000000" w14:paraId="00000226">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Heatwaves, water stress, or low-probability macro disruptions (travel restrictions, geopolitical events) could temporarily affect activity.</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0f7f4" w:val="clear"/>
            <w:tcMar>
              <w:top w:w="80.0" w:type="dxa"/>
              <w:left w:w="140.0" w:type="dxa"/>
              <w:bottom w:w="80.0" w:type="dxa"/>
              <w:right w:w="140.0" w:type="dxa"/>
            </w:tcMar>
          </w:tcPr>
          <w:p w:rsidR="00000000" w:rsidDel="00000000" w:rsidP="00000000" w:rsidRDefault="00000000" w:rsidRPr="00000000" w14:paraId="00000227">
            <w:pPr>
              <w:spacing w:after="80" w:before="0" w:line="276" w:lineRule="auto"/>
              <w:jc w:val="left"/>
              <w:rPr/>
            </w:pPr>
            <w:r w:rsidDel="00000000" w:rsidR="00000000" w:rsidRPr="00000000">
              <w:rPr>
                <w:rFonts w:ascii="Arial" w:cs="Arial" w:eastAsia="Arial" w:hAnsi="Arial"/>
                <w:b w:val="0"/>
                <w:bCs w:val="0"/>
                <w:i w:val="0"/>
                <w:iCs w:val="0"/>
                <w:smallCaps w:val="0"/>
                <w:color w:val="2d2d2d"/>
                <w:sz w:val="17"/>
                <w:szCs w:val="17"/>
                <w:rtl w:val="0"/>
              </w:rPr>
              <w:t xml:space="preserve">Asset design integrates climate resilience. Extended shoulder seasons (April–May, October) are a structural advantage relative to higher-heat Mediterranean peers and partially offset peak-season variability. The project's low break-even and conservative financing structure provide buffer against short-term disruption. These risks are acknowledged and considered in the overall risk/return assessment.</w:t>
            </w:r>
            <w:r w:rsidDel="00000000" w:rsidR="00000000" w:rsidRPr="00000000">
              <w:rPr>
                <w:rtl w:val="0"/>
              </w:rPr>
            </w:r>
          </w:p>
        </w:tc>
      </w:tr>
    </w:tbl>
    <w:p w:rsidR="00000000" w:rsidDel="00000000" w:rsidP="00000000" w:rsidRDefault="00000000" w:rsidRPr="00000000" w14:paraId="00000228">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563" w:space="0" w:sz="8" w:val="single"/>
              <w:left w:color="0b5563" w:space="0" w:sz="8" w:val="single"/>
              <w:bottom w:color="0b5563" w:space="0" w:sz="8" w:val="single"/>
              <w:right w:color="0b5563" w:space="0" w:sz="8" w:val="single"/>
            </w:tcBorders>
            <w:shd w:fill="ebf5f7" w:val="clear"/>
            <w:tcMar>
              <w:top w:w="120.0" w:type="dxa"/>
              <w:left w:w="180.0" w:type="dxa"/>
              <w:bottom w:w="120.0" w:type="dxa"/>
              <w:right w:w="180.0" w:type="dxa"/>
            </w:tcMar>
          </w:tcPr>
          <w:p w:rsidR="00000000" w:rsidDel="00000000" w:rsidP="00000000" w:rsidRDefault="00000000" w:rsidRPr="00000000" w14:paraId="00000229">
            <w:pPr>
              <w:spacing w:after="60" w:before="0" w:line="276" w:lineRule="auto"/>
              <w:jc w:val="left"/>
              <w:rPr/>
            </w:pPr>
            <w:r w:rsidDel="00000000" w:rsidR="00000000" w:rsidRPr="00000000">
              <w:rPr>
                <w:rFonts w:ascii="Arial" w:cs="Arial" w:eastAsia="Arial" w:hAnsi="Arial"/>
                <w:b w:val="1"/>
                <w:bCs w:val="1"/>
                <w:i w:val="0"/>
                <w:iCs w:val="0"/>
                <w:smallCaps w:val="1"/>
                <w:color w:val="0b5563"/>
                <w:sz w:val="17"/>
                <w:szCs w:val="17"/>
                <w:rtl w:val="0"/>
              </w:rPr>
              <w:t xml:space="preserve">Stress-Test Summary</w:t>
            </w:r>
            <w:r w:rsidDel="00000000" w:rsidR="00000000" w:rsidRPr="00000000">
              <w:rPr>
                <w:rtl w:val="0"/>
              </w:rPr>
            </w:r>
          </w:p>
          <w:p w:rsidR="00000000" w:rsidDel="00000000" w:rsidP="00000000" w:rsidRDefault="00000000" w:rsidRPr="00000000" w14:paraId="0000022A">
            <w:pPr>
              <w:spacing w:after="80" w:before="0" w:line="276" w:lineRule="auto"/>
              <w:jc w:val="left"/>
              <w:rPr/>
            </w:pPr>
            <w:r w:rsidDel="00000000" w:rsidR="00000000" w:rsidRPr="00000000">
              <w:rPr>
                <w:rFonts w:ascii="Arial Unicode MS" w:cs="Arial Unicode MS" w:eastAsia="Arial Unicode MS" w:hAnsi="Arial Unicode MS"/>
                <w:b w:val="0"/>
                <w:bCs w:val="0"/>
                <w:i w:val="1"/>
                <w:iCs w:val="1"/>
                <w:smallCaps w:val="0"/>
                <w:color w:val="0b5563"/>
                <w:sz w:val="18"/>
                <w:szCs w:val="18"/>
                <w:rtl w:val="0"/>
              </w:rPr>
              <w:t>The project maintains debt service coverage with up to a ~34% reduction in revenues from the base case. In the formal downside scenario (−10% occupancy, −5% ADR, 4 events annually), DSCR remains 1.42× and the project generates over €208,000 in annual free cash flow after full debt service. Revenue must decline a further 29% from that stressed level before coverage is broken.</w:t>
            </w:r>
            <w:r w:rsidDel="00000000" w:rsidR="00000000" w:rsidRPr="00000000">
              <w:rPr>
                <w:rtl w:val="0"/>
              </w:rPr>
            </w:r>
          </w:p>
        </w:tc>
      </w:tr>
    </w:tbl>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Liquidity &amp; Debt Service Reserve</w:t>
      </w:r>
      <w:r w:rsidDel="00000000" w:rsidR="00000000" w:rsidRPr="00000000">
        <w:rPr>
          <w:rtl w:val="0"/>
        </w:rPr>
      </w:r>
    </w:p>
    <w:p w:rsidR="00000000" w:rsidDel="00000000" w:rsidP="00000000" w:rsidRDefault="00000000" w:rsidRPr="00000000" w14:paraId="0000022D">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The project structure includes a {{WC_FACILITY}} revolving working capital facility, equivalent to approximately 3.2 months of annual debt service. This facility serves as the primary liquidity buffer and de facto debt service reserve account (DSRA) during the construction and ramp-up phases. It will remain available throughout the loan term as a short-term draw-down reserve in the event of any revenue shortfall.</w:t>
      </w:r>
      <w:r w:rsidDel="00000000" w:rsidR="00000000" w:rsidRPr="00000000">
        <w:rPr>
          <w:rtl w:val="0"/>
        </w:rPr>
      </w:r>
    </w:p>
    <w:p w:rsidR="00000000" w:rsidDel="00000000" w:rsidP="00000000" w:rsidRDefault="00000000" w:rsidRPr="00000000" w14:paraId="0000022E">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Post-debt-service free cash flow in Year 1 (2028, grace period) is approximately {{Y1_FCF}}. In Year 2 — the first full repayment year — free cash flow after full debt service is approximately {{Y2_FCF}} at the 88% ramp level, growing to €318,955 in the stabilised year. The project does not rely on reserves to service debt in any modelled scenario; positive free cash flow is generated in every year from first opening.</w:t>
      </w:r>
      <w:r w:rsidDel="00000000" w:rsidR="00000000" w:rsidRPr="00000000">
        <w:rPr>
          <w:rtl w:val="0"/>
        </w:rPr>
      </w:r>
    </w:p>
    <w:p w:rsidR="00000000" w:rsidDel="00000000" w:rsidP="00000000" w:rsidRDefault="00000000" w:rsidRPr="00000000" w14:paraId="0000022F">
      <w:pPr>
        <w:spacing w:after="40" w:before="40" w:line="276" w:lineRule="auto"/>
        <w:ind w:left="120" w:right="0" w:firstLine="0"/>
        <w:jc w:val="left"/>
        <w:rPr/>
      </w:pPr>
      <w:r w:rsidDel="00000000" w:rsidR="00000000" w:rsidRPr="00000000">
        <w:rPr>
          <w:rFonts w:ascii="Arial Unicode MS" w:cs="Arial Unicode MS" w:eastAsia="Arial Unicode MS" w:hAnsi="Arial Unicode MS"/>
          <w:b w:val="0"/>
          <w:bCs w:val="0"/>
          <w:i w:val="1"/>
          <w:iCs w:val="1"/>
          <w:smallCaps w:val="0"/>
          <w:color w:val="888888"/>
          <w:sz w:val="15"/>
          <w:szCs w:val="15"/>
          <w:rtl w:val="0"/>
        </w:rPr>
        <w:t>* The revolving working capital facility is self-liquidating within the first operational season. A formal 3-month DSRA escrow (≈{{DSRA_AMOUNT}}) can be structured as a condition precedent to Phase 2 drawdown if required by the lender.</w:t>
      </w: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231">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LOAN STRUCTURE &amp; COLLATERAL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232">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7</w:t>
            </w:r>
            <w:r w:rsidDel="00000000" w:rsidR="00000000" w:rsidRPr="00000000">
              <w:rPr>
                <w:rtl w:val="0"/>
              </w:rPr>
            </w:r>
          </w:p>
        </w:tc>
      </w:tr>
    </w:tbl>
    <w:p w:rsidR="00000000" w:rsidDel="00000000" w:rsidP="00000000" w:rsidRDefault="00000000" w:rsidRPr="00000000" w14:paraId="00000233">
      <w:pPr>
        <w:spacing w:after="80" w:before="80" w:lineRule="auto"/>
        <w:rPr/>
      </w:pPr>
      <w:r w:rsidDel="00000000" w:rsidR="00000000" w:rsidRPr="00000000">
        <w:rPr>
          <w:rtl w:val="0"/>
        </w:rPr>
      </w:r>
    </w:p>
    <w:p w:rsidR="00000000" w:rsidDel="00000000" w:rsidP="00000000" w:rsidRDefault="00000000" w:rsidRPr="00000000" w14:paraId="00000234">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Financing Structure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35">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Parameter</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36">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A (per project)</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37">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Property B</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38">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Total project cost</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3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€2,171,000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3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€1,682,000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3B">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Loan (75%)</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3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€1,628,250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3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€1,261,500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3E">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Equity (25%)</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3F">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€542,750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4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€420,500</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41">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Annual DS (5% / 2yr grace / 13yr repayment)</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42">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1f3864"/>
                <w:sz w:val="18"/>
                <w:szCs w:val="18"/>
                <w:rtl w:val="0"/>
              </w:rPr>
              <w:t xml:space="preserve">≈€173,300/yr</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43">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1f3864"/>
                <w:sz w:val="18"/>
                <w:szCs w:val="18"/>
                <w:rtl w:val="0"/>
              </w:rPr>
              <w:t xml:space="preserve">≈€134,300/yr</w:t>
            </w:r>
            <w:r w:rsidDel="00000000" w:rsidR="00000000" w:rsidRPr="00000000">
              <w:rPr>
                <w:rtl w:val="0"/>
              </w:rPr>
            </w:r>
          </w:p>
        </w:tc>
      </w:tr>
    </w:tbl>
    <w:p w:rsidR="00000000" w:rsidDel="00000000" w:rsidP="00000000" w:rsidRDefault="00000000" w:rsidRPr="00000000" w14:paraId="00000244">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eef4f8" w:val="clear"/>
            <w:tcMar>
              <w:top w:w="120.0" w:type="dxa"/>
              <w:left w:w="180.0" w:type="dxa"/>
              <w:bottom w:w="120.0" w:type="dxa"/>
              <w:right w:w="180.0" w:type="dxa"/>
            </w:tcMar>
          </w:tcPr>
          <w:p w:rsidR="00000000" w:rsidDel="00000000" w:rsidP="00000000" w:rsidRDefault="00000000" w:rsidRPr="00000000" w14:paraId="00000245">
            <w:pPr>
              <w:spacing w:after="80" w:before="0" w:line="276" w:lineRule="auto"/>
              <w:jc w:val="left"/>
              <w:rPr/>
            </w:pPr>
            <w:r w:rsidDel="00000000" w:rsidR="00000000" w:rsidRPr="00000000">
              <w:rPr>
                <w:rFonts w:ascii="Arial" w:cs="Arial" w:eastAsia="Arial" w:hAnsi="Arial"/>
                <w:b w:val="1"/>
                <w:bCs w:val="1"/>
                <w:i w:val="0"/>
                <w:iCs w:val="0"/>
                <w:smallCaps w:val="0"/>
                <w:color w:val="1f3864"/>
                <w:sz w:val="19"/>
                <w:szCs w:val="19"/>
                <w:rtl w:val="0"/>
              </w:rPr>
              <w:t xml:space="preserve">Full Portfolio (A×2 + B):  </w:t>
            </w:r>
            <w:r w:rsidDel="00000000" w:rsidR="00000000" w:rsidRPr="00000000">
              <w:rPr>
                <w:rFonts w:ascii="Arial Unicode MS" w:cs="Arial Unicode MS" w:eastAsia="Arial Unicode MS" w:hAnsi="Arial Unicode MS"/>
                <w:b w:val="0"/>
                <w:bCs w:val="0"/>
                <w:i w:val="0"/>
                <w:iCs w:val="0"/>
                <w:smallCaps w:val="0"/>
                <w:color w:val="2d2d2d"/>
                <w:sz w:val="19"/>
                <w:szCs w:val="19"/>
                <w:rtl w:val="0"/>
              </w:rPr>
              <w:t xml:space="preserve">Total loan €4,630,500  ·  Total equity €1,543,500  ·  Annual DS from 2029: ≈€492,943/yr  ·  Working capital: €400,000 revolving</w:t>
            </w:r>
            <w:r w:rsidDel="00000000" w:rsidR="00000000" w:rsidRPr="00000000">
              <w:rPr>
                <w:rtl w:val="0"/>
              </w:rPr>
            </w:r>
          </w:p>
        </w:tc>
      </w:tr>
    </w:tbl>
    <w:p w:rsidR="00000000" w:rsidDel="00000000" w:rsidP="00000000" w:rsidRDefault="00000000" w:rsidRPr="00000000" w14:paraId="00000246">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Grace period of 24 months covers the full construction phase. Working capital facility is revolving and self-liquidating by end of the first operational season.</w:t>
      </w:r>
      <w:r w:rsidDel="00000000" w:rsidR="00000000" w:rsidRPr="00000000">
        <w:rPr>
          <w:rtl w:val="0"/>
        </w:rPr>
      </w:r>
    </w:p>
    <w:p w:rsidR="00000000" w:rsidDel="00000000" w:rsidP="00000000" w:rsidRDefault="00000000" w:rsidRPr="00000000" w14:paraId="00000247">
      <w:pPr>
        <w:spacing w:after="80" w:before="80" w:lineRule="auto"/>
        <w:rPr/>
      </w:pPr>
      <w:r w:rsidDel="00000000" w:rsidR="00000000" w:rsidRPr="00000000">
        <w:rPr>
          <w:rtl w:val="0"/>
        </w:rPr>
      </w:r>
    </w:p>
    <w:p w:rsidR="00000000" w:rsidDel="00000000" w:rsidP="00000000" w:rsidRDefault="00000000" w:rsidRPr="00000000" w14:paraId="00000248">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Collateral &amp; Asset Coverage</w:t>
      </w:r>
      <w:r w:rsidDel="00000000" w:rsidR="00000000" w:rsidRPr="00000000">
        <w:rPr>
          <w:rtl w:val="0"/>
        </w:rPr>
      </w:r>
    </w:p>
    <w:p w:rsidR="00000000" w:rsidDel="00000000" w:rsidP="00000000" w:rsidRDefault="00000000" w:rsidRPr="00000000" w14:paraId="00000249">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The collateral position is the central lending thesis. At completion, the portfolio is a premium real estate asset in one of Greece's fastest-growing luxury tourism markets.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960"/>
        <w:gridCol w:w="1760"/>
        <w:gridCol w:w="1240"/>
        <w:tblGridChange w:id="0">
          <w:tblGrid>
            <w:gridCol w:w="3200"/>
            <w:gridCol w:w="1200"/>
            <w:gridCol w:w="1960"/>
            <w:gridCol w:w="1760"/>
            <w:gridCol w:w="124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4A">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Portfolio</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4B">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Built m²</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4C">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Value at Completion</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4D">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Total Loan</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4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LTV</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4F">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Full portfolio — A×2 + B</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50">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950m²</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51">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0b5563"/>
                <w:sz w:val="18"/>
                <w:szCs w:val="18"/>
                <w:rtl w:val="0"/>
              </w:rPr>
              <w:t xml:space="preserve">≥€8,550,000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52">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€4,630,500</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53">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~54%</w:t>
            </w:r>
            <w:r w:rsidDel="00000000" w:rsidR="00000000" w:rsidRPr="00000000">
              <w:rPr>
                <w:rtl w:val="0"/>
              </w:rPr>
            </w:r>
          </w:p>
        </w:tc>
      </w:tr>
    </w:tbl>
    <w:p w:rsidR="00000000" w:rsidDel="00000000" w:rsidP="00000000" w:rsidRDefault="00000000" w:rsidRPr="00000000" w14:paraId="00000254">
      <w:pPr>
        <w:spacing w:after="60" w:before="6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b5563"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55">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 xml:space="preserve">1.85×</w:t>
            </w:r>
            <w:r w:rsidDel="00000000" w:rsidR="00000000" w:rsidRPr="00000000">
              <w:rPr>
                <w:rtl w:val="0"/>
              </w:rPr>
            </w:r>
          </w:p>
          <w:p w:rsidR="00000000" w:rsidDel="00000000" w:rsidP="00000000" w:rsidRDefault="00000000" w:rsidRPr="00000000" w14:paraId="00000256">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Asset Coverage</w:t>
            </w:r>
            <w:r w:rsidDel="00000000" w:rsidR="00000000" w:rsidRPr="00000000">
              <w:rPr>
                <w:rtl w:val="0"/>
              </w:rPr>
            </w:r>
          </w:p>
          <w:p w:rsidR="00000000" w:rsidDel="00000000" w:rsidP="00000000" w:rsidRDefault="00000000" w:rsidRPr="00000000" w14:paraId="00000257">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Value ÷ loan at completion</w:t>
            </w:r>
            <w:r w:rsidDel="00000000" w:rsidR="00000000" w:rsidRPr="00000000">
              <w:rPr>
                <w:rtl w:val="0"/>
              </w:rPr>
            </w:r>
          </w:p>
        </w:tc>
        <w:tc>
          <w:tcPr>
            <w:tcBorders>
              <w:top w:color="0b5563"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58">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 xml:space="preserve">~54%</w:t>
            </w:r>
            <w:r w:rsidDel="00000000" w:rsidR="00000000" w:rsidRPr="00000000">
              <w:rPr>
                <w:rtl w:val="0"/>
              </w:rPr>
            </w:r>
          </w:p>
          <w:p w:rsidR="00000000" w:rsidDel="00000000" w:rsidP="00000000" w:rsidRDefault="00000000" w:rsidRPr="00000000" w14:paraId="00000259">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LTV at Completion</w:t>
            </w:r>
            <w:r w:rsidDel="00000000" w:rsidR="00000000" w:rsidRPr="00000000">
              <w:rPr>
                <w:rtl w:val="0"/>
              </w:rPr>
            </w:r>
          </w:p>
          <w:p w:rsidR="00000000" w:rsidDel="00000000" w:rsidP="00000000" w:rsidRDefault="00000000" w:rsidRPr="00000000" w14:paraId="0000025A">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Well below typical commercial lending thresholds</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5B">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 xml:space="preserve">€7,650/m²</w:t>
            </w:r>
            <w:r w:rsidDel="00000000" w:rsidR="00000000" w:rsidRPr="00000000">
              <w:rPr>
                <w:rtl w:val="0"/>
              </w:rPr>
            </w:r>
          </w:p>
          <w:p w:rsidR="00000000" w:rsidDel="00000000" w:rsidP="00000000" w:rsidRDefault="00000000" w:rsidRPr="00000000" w14:paraId="0000025C">
            <w:pPr>
              <w:spacing w:after="8"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2d2d2d"/>
                <w:sz w:val="17"/>
                <w:szCs w:val="17"/>
                <w:rtl w:val="0"/>
              </w:rPr>
              <w:t xml:space="preserve">Stress Valuation (−15%)</w:t>
            </w:r>
            <w:r w:rsidDel="00000000" w:rsidR="00000000" w:rsidRPr="00000000">
              <w:rPr>
                <w:rtl w:val="0"/>
              </w:rPr>
            </w:r>
          </w:p>
          <w:p w:rsidR="00000000" w:rsidDel="00000000" w:rsidP="00000000" w:rsidRDefault="00000000" w:rsidRPr="00000000" w14:paraId="0000025D">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€7,267,500 — still €2.64M above the loan</w:t>
            </w:r>
            <w:r w:rsidDel="00000000" w:rsidR="00000000" w:rsidRPr="00000000">
              <w:rPr>
                <w:rtl w:val="0"/>
              </w:rPr>
            </w:r>
          </w:p>
        </w:tc>
      </w:tr>
    </w:tbl>
    <w:p w:rsidR="00000000" w:rsidDel="00000000" w:rsidP="00000000" w:rsidRDefault="00000000" w:rsidRPr="00000000" w14:paraId="0000025E">
      <w:pPr>
        <w:spacing w:after="60" w:before="60" w:lineRule="auto"/>
        <w:rPr/>
      </w:pPr>
      <w:r w:rsidDel="00000000" w:rsidR="00000000" w:rsidRPr="00000000">
        <w:rPr>
          <w:rtl w:val="0"/>
        </w:rPr>
      </w:r>
    </w:p>
    <w:p w:rsidR="00000000" w:rsidDel="00000000" w:rsidP="00000000" w:rsidRDefault="00000000" w:rsidRPr="00000000" w14:paraId="0000025F">
      <w:pPr>
        <w:pBdr>
          <w:left w:color="b8962e" w:space="0" w:sz="20" w:val="single"/>
        </w:pBdr>
        <w:spacing w:after="120" w:before="120" w:lineRule="auto"/>
        <w:ind w:left="280" w:right="0" w:firstLine="0"/>
        <w:rPr/>
      </w:pPr>
      <w:r w:rsidDel="00000000" w:rsidR="00000000" w:rsidRPr="00000000">
        <w:rPr>
          <w:rFonts w:ascii="Arial" w:cs="Arial" w:eastAsia="Arial" w:hAnsi="Arial"/>
          <w:b w:val="0"/>
          <w:bCs w:val="0"/>
          <w:i w:val="1"/>
          <w:iCs w:val="1"/>
          <w:smallCaps w:val="0"/>
          <w:color w:val="2d2d2d"/>
          <w:sz w:val="19"/>
          <w:szCs w:val="19"/>
          <w:rtl w:val="0"/>
        </w:rPr>
        <w:t>At a stress valuation of {{STRESS_PER_M2}} — 15% below the current Antiparos market rate — the completed portfolio value of {{STRESS_VALUE}} remains {{STRESS_BUFFER}} above the total loan. The lender's exposure is fully covered by asset value, independent of operational performance.</w:t>
      </w:r>
      <w:r w:rsidDel="00000000" w:rsidR="00000000" w:rsidRPr="00000000">
        <w:rPr>
          <w:rtl w:val="0"/>
        </w:rPr>
      </w:r>
    </w:p>
    <w:p w:rsidR="00000000" w:rsidDel="00000000" w:rsidP="00000000" w:rsidRDefault="00000000" w:rsidRPr="00000000" w14:paraId="00000260">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Valuation based on analysis of 40+ comparable properties currently listed in the Paros/Antiparos market. Detailed dataset available upon request.</w:t>
      </w:r>
      <w:r w:rsidDel="00000000" w:rsidR="00000000" w:rsidRPr="00000000">
        <w:rPr>
          <w:rtl w:val="0"/>
        </w:rPr>
      </w:r>
    </w:p>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Debt Service — For Reference</w:t>
      </w:r>
      <w:r w:rsidDel="00000000" w:rsidR="00000000" w:rsidRPr="00000000">
        <w:rPr>
          <w:rtl w:val="0"/>
        </w:rPr>
      </w:r>
    </w:p>
    <w:p w:rsidR="00000000" w:rsidDel="00000000" w:rsidP="00000000" w:rsidRDefault="00000000" w:rsidRPr="00000000" w14:paraId="00000263">
      <w:pPr>
        <w:spacing w:after="80" w:before="0" w:line="288" w:lineRule="auto"/>
        <w:jc w:val="left"/>
        <w:rPr/>
      </w:pPr>
      <w:r w:rsidDel="00000000" w:rsidR="00000000" w:rsidRPr="00000000">
        <w:rPr>
          <w:rFonts w:ascii="Arial Unicode MS" w:cs="Arial Unicode MS" w:eastAsia="Arial Unicode MS" w:hAnsi="Arial Unicode MS"/>
          <w:b w:val="0"/>
          <w:bCs w:val="0"/>
          <w:i w:val="0"/>
          <w:iCs w:val="0"/>
          <w:smallCaps w:val="0"/>
          <w:color w:val="2d2d2d"/>
          <w:sz w:val="20"/>
          <w:szCs w:val="20"/>
          <w:rtl w:val="0"/>
        </w:rPr>
        <w:t>Annual debt service of ≈{{ANNUAL_DS}} represents {{DS_PCT_EBITDA}} of stabilised EBITDA ({{STAB_EBITDA}}), leaving {{STAB_NCF}} in post-debt-service free cash flow (net of VAT). At the Upside EBITDA of €1,091,125, DSCR reaches 2.21× with free cash flow of €598,182. These figures are supporting reference; the primary security is the asset coverage position above, which is independent of cash flows.</w:t>
      </w:r>
      <w:r w:rsidDel="00000000" w:rsidR="00000000" w:rsidRPr="00000000">
        <w:rPr>
          <w:rtl w:val="0"/>
        </w:rPr>
      </w:r>
    </w:p>
    <w:p w:rsidR="00000000" w:rsidDel="00000000" w:rsidP="00000000" w:rsidRDefault="00000000" w:rsidRPr="00000000" w14:paraId="00000264">
      <w:pPr>
        <w:spacing w:after="80" w:before="80" w:lineRule="auto"/>
        <w:rPr/>
      </w:pPr>
      <w:r w:rsidDel="00000000" w:rsidR="00000000" w:rsidRPr="00000000">
        <w:rPr>
          <w:rtl w:val="0"/>
        </w:rPr>
      </w:r>
    </w:p>
    <w:p w:rsidR="00000000" w:rsidDel="00000000" w:rsidP="00000000" w:rsidRDefault="00000000" w:rsidRPr="00000000" w14:paraId="00000265">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Project Timeline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160"/>
        <w:gridCol w:w="3000"/>
        <w:tblGridChange w:id="0">
          <w:tblGrid>
            <w:gridCol w:w="4200"/>
            <w:gridCol w:w="2160"/>
            <w:gridCol w:w="300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66">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Phase</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67">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Duration</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68">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Target Dates</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69">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Loan approval &amp; Phase 1 drawdown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6A">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6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Q2 2026</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6C">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Plot acquisition (all 3 plots)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6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 months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6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Q2–Q3 2026</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6F">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Building permit preparation</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70">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 months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71">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Q2–Q4 2026</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7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Construction — Properties A×2 and B</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7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16–22 months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7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Q1 2027 – Q2 2028</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75">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Fit-out, commissioning &amp; pre-opening</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76">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~2 months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7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Q2–Q3 2028</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78">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Operational launch</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79">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7A">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Summer 2028 (target)</w:t>
            </w:r>
            <w:r w:rsidDel="00000000" w:rsidR="00000000" w:rsidRPr="00000000">
              <w:rPr>
                <w:rtl w:val="0"/>
              </w:rPr>
            </w:r>
          </w:p>
        </w:tc>
      </w:tr>
    </w:tbl>
    <w:p w:rsidR="00000000" w:rsidDel="00000000" w:rsidP="00000000" w:rsidRDefault="00000000" w:rsidRPr="00000000" w14:paraId="0000027B">
      <w:pPr>
        <w:rPr/>
      </w:pPr>
      <w:r w:rsidDel="00000000" w:rsidR="00000000" w:rsidRPr="00000000">
        <w:br w:type="page"/>
      </w: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27C">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GOVERNANCE, STRUCTURE &amp; REVENUE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27D">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8</w:t>
            </w:r>
            <w:r w:rsidDel="00000000" w:rsidR="00000000" w:rsidRPr="00000000">
              <w:rPr>
                <w:rtl w:val="0"/>
              </w:rPr>
            </w:r>
          </w:p>
        </w:tc>
      </w:tr>
    </w:tbl>
    <w:p w:rsidR="00000000" w:rsidDel="00000000" w:rsidP="00000000" w:rsidRDefault="00000000" w:rsidRPr="00000000" w14:paraId="0000027E">
      <w:pPr>
        <w:spacing w:after="80" w:before="80" w:lineRule="auto"/>
        <w:rPr/>
      </w:pPr>
      <w:r w:rsidDel="00000000" w:rsidR="00000000" w:rsidRPr="00000000">
        <w:rPr>
          <w:rtl w:val="0"/>
        </w:rPr>
      </w:r>
    </w:p>
    <w:p w:rsidR="00000000" w:rsidDel="00000000" w:rsidP="00000000" w:rsidRDefault="00000000" w:rsidRPr="00000000" w14:paraId="0000027F">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Corporate Structure</w:t>
      </w:r>
      <w:r w:rsidDel="00000000" w:rsidR="00000000" w:rsidRPr="00000000">
        <w:rPr>
          <w:rtl w:val="0"/>
        </w:rPr>
      </w:r>
    </w:p>
    <w:p w:rsidR="00000000" w:rsidDel="00000000" w:rsidP="00000000" w:rsidRDefault="00000000" w:rsidRPr="00000000" w14:paraId="00000280">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The borrower is a holding company currently being incorporated in Greece, with three shareholders: a Greek tax resident, a French tax resident, and an Israeli tax resident. The holding company controls dedicated operating subsidiaries — one per property — each a standalone Greek company (ΙΚΕ/ΑΕ) registered under KAD 55.10 (Hotels and similar accommodation), fully VAT-compliant and professionally insured. Villa Lev Group Management, the sister company responsible for all operational management, operates debt-free and carries no existing financial liabilities. Ownership and operations are cleanly separated at the entity level, providing lender clarity and structural flexibility.</w:t>
      </w:r>
      <w:r w:rsidDel="00000000" w:rsidR="00000000" w:rsidRPr="00000000">
        <w:rPr>
          <w:rtl w:val="0"/>
        </w:rPr>
      </w:r>
    </w:p>
    <w:p w:rsidR="00000000" w:rsidDel="00000000" w:rsidP="00000000" w:rsidRDefault="00000000" w:rsidRPr="00000000" w14:paraId="00000281">
      <w:pPr>
        <w:spacing w:after="60" w:before="60" w:lineRule="auto"/>
        <w:rPr/>
      </w:pPr>
      <w:r w:rsidDel="00000000" w:rsidR="00000000" w:rsidRPr="00000000">
        <w:rPr>
          <w:rtl w:val="0"/>
        </w:rPr>
      </w:r>
    </w:p>
    <w:p w:rsidR="00000000" w:rsidDel="00000000" w:rsidP="00000000" w:rsidRDefault="00000000" w:rsidRPr="00000000" w14:paraId="00000282">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Founder &amp; Executive Director</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962e" w:space="0" w:sz="8" w:val="single"/>
              <w:left w:color="1f3864" w:space="0" w:sz="6" w:val="single"/>
              <w:bottom w:color="1f3864" w:space="0" w:sz="8" w:val="single"/>
              <w:right w:color="000000" w:space="0" w:sz="0" w:val="nil"/>
            </w:tcBorders>
            <w:shd w:fill="f4f2ee" w:val="clear"/>
            <w:tcMar>
              <w:top w:w="120.0" w:type="dxa"/>
              <w:left w:w="180.0" w:type="dxa"/>
              <w:bottom w:w="120.0" w:type="dxa"/>
              <w:right w:w="180.0" w:type="dxa"/>
            </w:tcMar>
          </w:tcPr>
          <w:p w:rsidR="00000000" w:rsidDel="00000000" w:rsidP="00000000" w:rsidRDefault="00000000" w:rsidRPr="00000000" w14:paraId="00000283">
            <w:pPr>
              <w:spacing w:after="40" w:before="0" w:line="276" w:lineRule="auto"/>
              <w:jc w:val="left"/>
              <w:rPr/>
            </w:pPr>
            <w:r w:rsidDel="00000000" w:rsidR="00000000" w:rsidRPr="00000000">
              <w:rPr>
                <w:rFonts w:ascii="Arial" w:cs="Arial" w:eastAsia="Arial" w:hAnsi="Arial"/>
                <w:b w:val="1"/>
                <w:bCs w:val="1"/>
                <w:i w:val="0"/>
                <w:iCs w:val="0"/>
                <w:smallCaps w:val="0"/>
                <w:color w:val="1f3864"/>
                <w:sz w:val="22"/>
                <w:szCs w:val="22"/>
                <w:rtl w:val="0"/>
              </w:rPr>
              <w:t xml:space="preserve">Eytan Cohen</w:t>
            </w:r>
            <w:r w:rsidDel="00000000" w:rsidR="00000000" w:rsidRPr="00000000">
              <w:rPr>
                <w:rtl w:val="0"/>
              </w:rPr>
            </w:r>
          </w:p>
          <w:p w:rsidR="00000000" w:rsidDel="00000000" w:rsidP="00000000" w:rsidRDefault="00000000" w:rsidRPr="00000000" w14:paraId="00000284">
            <w:pPr>
              <w:spacing w:after="80" w:before="0" w:line="276" w:lineRule="auto"/>
              <w:jc w:val="left"/>
              <w:rPr/>
            </w:pPr>
            <w:r w:rsidDel="00000000" w:rsidR="00000000" w:rsidRPr="00000000">
              <w:rPr>
                <w:rFonts w:ascii="Arial" w:cs="Arial" w:eastAsia="Arial" w:hAnsi="Arial"/>
                <w:b w:val="1"/>
                <w:bCs w:val="1"/>
                <w:i w:val="0"/>
                <w:iCs w:val="0"/>
                <w:smallCaps w:val="0"/>
                <w:color w:val="888888"/>
                <w:sz w:val="18"/>
                <w:szCs w:val="18"/>
                <w:rtl w:val="0"/>
              </w:rPr>
              <w:t xml:space="preserve">Founder &amp; Executive Director</w:t>
            </w:r>
            <w:r w:rsidDel="00000000" w:rsidR="00000000" w:rsidRPr="00000000">
              <w:rPr>
                <w:rtl w:val="0"/>
              </w:rPr>
            </w:r>
          </w:p>
          <w:p w:rsidR="00000000" w:rsidDel="00000000" w:rsidP="00000000" w:rsidRDefault="00000000" w:rsidRPr="00000000" w14:paraId="00000285">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Eytan is a multi-sector entrepreneur who has led ventures across Europe, Africa, India, Israel and the U.S., building companies from inception to 8-figure revenues. Over 25 years, he has operated primarily in the tech industry, founding firms that grew to millions of users and managing a publicly listed telecom provider valued at €200 million.</w:t>
            </w:r>
            <w:r w:rsidDel="00000000" w:rsidR="00000000" w:rsidRPr="00000000">
              <w:rPr>
                <w:rtl w:val="0"/>
              </w:rPr>
            </w:r>
          </w:p>
          <w:p w:rsidR="00000000" w:rsidDel="00000000" w:rsidP="00000000" w:rsidRDefault="00000000" w:rsidRPr="00000000" w14:paraId="00000286">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In recent years, he expanded into boutique hospitality, developing Villa Lev — an 8-bedroom luxury property on Antiparos — which within two years became the #1 ranked rental property on the island and entered the global top 5% of all Airbnb listings. Villa Lev Group is the direct extension of that proven model.</w:t>
            </w:r>
            <w:r w:rsidDel="00000000" w:rsidR="00000000" w:rsidRPr="00000000">
              <w:rPr>
                <w:rtl w:val="0"/>
              </w:rPr>
            </w:r>
          </w:p>
          <w:p w:rsidR="00000000" w:rsidDel="00000000" w:rsidP="00000000" w:rsidRDefault="00000000" w:rsidRPr="00000000" w14:paraId="00000287">
            <w:pPr>
              <w:spacing w:after="80" w:before="0" w:line="276" w:lineRule="auto"/>
              <w:jc w:val="left"/>
              <w:rPr/>
            </w:pPr>
            <w:r w:rsidDel="00000000" w:rsidR="00000000" w:rsidRPr="00000000">
              <w:rPr>
                <w:rFonts w:ascii="Arial" w:cs="Arial" w:eastAsia="Arial" w:hAnsi="Arial"/>
                <w:b w:val="0"/>
                <w:bCs w:val="0"/>
                <w:i w:val="1"/>
                <w:iCs w:val="1"/>
                <w:smallCaps w:val="0"/>
                <w:color w:val="2d2d2d"/>
                <w:sz w:val="20"/>
                <w:szCs w:val="20"/>
                <w:rtl w:val="0"/>
              </w:rPr>
              <w:t xml:space="preserve">Eytan brings to this project a track record of building at scale, a deep understanding of the Antiparos luxury market from five years of hands-on operation, and a management infrastructure already in place — ready to operate all three new properties from Day 1.</w:t>
            </w:r>
            <w:r w:rsidDel="00000000" w:rsidR="00000000" w:rsidRPr="00000000">
              <w:rPr>
                <w:rtl w:val="0"/>
              </w:rPr>
            </w:r>
          </w:p>
        </w:tc>
      </w:tr>
    </w:tbl>
    <w:p w:rsidR="00000000" w:rsidDel="00000000" w:rsidP="00000000" w:rsidRDefault="00000000" w:rsidRPr="00000000" w14:paraId="00000288">
      <w:pPr>
        <w:spacing w:after="60" w:before="60" w:lineRule="auto"/>
        <w:rPr/>
      </w:pPr>
      <w:r w:rsidDel="00000000" w:rsidR="00000000" w:rsidRPr="00000000">
        <w:rPr>
          <w:rtl w:val="0"/>
        </w:rPr>
      </w:r>
    </w:p>
    <w:p w:rsidR="00000000" w:rsidDel="00000000" w:rsidP="00000000" w:rsidRDefault="00000000" w:rsidRPr="00000000" w14:paraId="00000289">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Management &amp; Team</w:t>
      </w:r>
      <w:r w:rsidDel="00000000" w:rsidR="00000000" w:rsidRPr="00000000">
        <w:rPr>
          <w:rtl w:val="0"/>
        </w:rPr>
      </w:r>
    </w:p>
    <w:p w:rsidR="00000000" w:rsidDel="00000000" w:rsidP="00000000" w:rsidRDefault="00000000" w:rsidRPr="00000000" w14:paraId="0000028A">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All properties are managed by Villa Lev Group Management under formal long-term exclusive contracts. The team has been built over five years of Villa Lev operations and covers housekeeping, maintenance, concierge, revenue management, marketing, wellness, and event logistics.</w:t>
      </w:r>
      <w:r w:rsidDel="00000000" w:rsidR="00000000" w:rsidRPr="00000000">
        <w:rPr>
          <w:rtl w:val="0"/>
        </w:rPr>
      </w:r>
    </w:p>
    <w:p w:rsidR="00000000" w:rsidDel="00000000" w:rsidP="00000000" w:rsidRDefault="00000000" w:rsidRPr="00000000" w14:paraId="0000028B">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There is no cold-start, no new team to hire, no client base to build. The operational infrastructure is in place and will be transferable to the first new property from its opening day.</w:t>
      </w:r>
      <w:r w:rsidDel="00000000" w:rsidR="00000000" w:rsidRPr="00000000">
        <w:rPr>
          <w:rtl w:val="0"/>
        </w:rPr>
      </w:r>
    </w:p>
    <w:p w:rsidR="00000000" w:rsidDel="00000000" w:rsidP="00000000" w:rsidRDefault="00000000" w:rsidRPr="00000000" w14:paraId="0000028C">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Key-person continuity: Villa Lev Group Management is structured as a team operation, not a single-person dependency. The management, bookings, housekeeping and maintenance functions each have dedicated responsible parties with multi-season operational history. The founder’s role is strategic and supervisory; day-to-day operations run independently.</w:t>
      </w:r>
      <w:r w:rsidDel="00000000" w:rsidR="00000000" w:rsidRPr="00000000">
        <w:rPr>
          <w:rtl w:val="0"/>
        </w:rPr>
      </w:r>
    </w:p>
    <w:p w:rsidR="00000000" w:rsidDel="00000000" w:rsidP="00000000" w:rsidRDefault="00000000" w:rsidRPr="00000000" w14:paraId="0000028D">
      <w:pPr>
        <w:spacing w:after="60" w:before="60" w:lineRule="auto"/>
        <w:rPr/>
      </w:pPr>
      <w:r w:rsidDel="00000000" w:rsidR="00000000" w:rsidRPr="00000000">
        <w:rPr>
          <w:rtl w:val="0"/>
        </w:rPr>
      </w:r>
    </w:p>
    <w:p w:rsidR="00000000" w:rsidDel="00000000" w:rsidP="00000000" w:rsidRDefault="00000000" w:rsidRPr="00000000" w14:paraId="0000028E">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Operator Alignment Mechanism</w:t>
      </w:r>
      <w:r w:rsidDel="00000000" w:rsidR="00000000" w:rsidRPr="00000000">
        <w:rPr>
          <w:rtl w:val="0"/>
        </w:rPr>
      </w:r>
    </w:p>
    <w:p w:rsidR="00000000" w:rsidDel="00000000" w:rsidP="00000000" w:rsidRDefault="00000000" w:rsidRPr="00000000" w14:paraId="0000028F">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Villa Lev Group Management operates all properties under long-term exclusive management contracts as a sister company, without direct equity in the property entities. Operator economics are structured across three buckets to align commitment fully with performance and provide lender comfort.</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0"/>
        <w:gridCol w:w="3480"/>
        <w:tblGridChange w:id="0">
          <w:tblGrid>
            <w:gridCol w:w="5880"/>
            <w:gridCol w:w="348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90">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Alignment Mechanism</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9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Minimum Threshold</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9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Annual revenue floor — per property (×3)</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9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€80,000 / property / year</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94">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Total portfolio revenue floor</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95">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€240,000 / year</w:t>
            </w:r>
            <w:r w:rsidDel="00000000" w:rsidR="00000000" w:rsidRPr="00000000">
              <w:rPr>
                <w:rtl w:val="0"/>
              </w:rPr>
            </w:r>
          </w:p>
        </w:tc>
      </w:tr>
    </w:tbl>
    <w:p w:rsidR="00000000" w:rsidDel="00000000" w:rsidP="00000000" w:rsidRDefault="00000000" w:rsidRPr="00000000" w14:paraId="00000296">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Bucket 1A: Eytan pledges up to €1,000,000 personal collateral during construction — not a fee, but skin-in-the-game documentation for lender. Bucket 1B — Deferred advisory fee: 10% of the TEPIX III grant amount, payable as an advisory fee from operating cash flow in the first three years post-disbursement (2029–2031). Structured outside grant proceeds to comply with GBER eligible-use rules. Bucket 1C: Performance ratchet at exit — 0% if IRR &lt;8%, +9% if 8–22%, +29% if ≥22%; earned equity cap 33%, total cap 75%. Bucket 2A: 5% of gross revenue annually (structural minimum €24,000/villa, senior to debt service). Bucket 2B: 10% of GOP above 8% hurdle yield on initial equity — paid only when hurdle is exceeded.</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298">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FINANCING OPTIONALITY — GRANT &amp; RRF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299">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9</w:t>
            </w:r>
            <w:r w:rsidDel="00000000" w:rsidR="00000000" w:rsidRPr="00000000">
              <w:rPr>
                <w:rtl w:val="0"/>
              </w:rPr>
            </w:r>
          </w:p>
        </w:tc>
      </w:tr>
    </w:tbl>
    <w:p w:rsidR="00000000" w:rsidDel="00000000" w:rsidP="00000000" w:rsidRDefault="00000000" w:rsidRPr="00000000" w14:paraId="0000029A">
      <w:pPr>
        <w:spacing w:after="80" w:before="80" w:lineRule="auto"/>
        <w:rPr/>
      </w:pPr>
      <w:r w:rsidDel="00000000" w:rsidR="00000000" w:rsidRPr="00000000">
        <w:rPr>
          <w:rtl w:val="0"/>
        </w:rPr>
      </w:r>
    </w:p>
    <w:p w:rsidR="00000000" w:rsidDel="00000000" w:rsidP="00000000" w:rsidRDefault="00000000" w:rsidRPr="00000000" w14:paraId="0000029B">
      <w:pPr>
        <w:pBdr>
          <w:left w:color="b8962e" w:space="0" w:sz="20" w:val="single"/>
        </w:pBdr>
        <w:spacing w:after="120" w:before="120" w:lineRule="auto"/>
        <w:ind w:left="280" w:firstLine="0"/>
        <w:rPr/>
      </w:pPr>
      <w:r w:rsidDel="00000000" w:rsidR="00000000" w:rsidRPr="00000000">
        <w:rPr>
          <w:rFonts w:ascii="Arial" w:cs="Arial" w:eastAsia="Arial" w:hAnsi="Arial"/>
          <w:b w:val="1"/>
          <w:bCs w:val="1"/>
          <w:i w:val="1"/>
          <w:iCs w:val="1"/>
          <w:smallCaps w:val="0"/>
          <w:color w:val="1f3864"/>
          <w:sz w:val="19"/>
          <w:szCs w:val="19"/>
          <w:rtl w:val="0"/>
        </w:rPr>
        <w:t xml:space="preserve">The commercial loan case is the base case and stands independently.  </w:t>
      </w:r>
      <w:r w:rsidDel="00000000" w:rsidR="00000000" w:rsidRPr="00000000">
        <w:rPr>
          <w:rFonts w:ascii="Arial" w:cs="Arial" w:eastAsia="Arial" w:hAnsi="Arial"/>
          <w:b w:val="0"/>
          <w:bCs w:val="0"/>
          <w:i w:val="1"/>
          <w:iCs w:val="1"/>
          <w:smallCaps w:val="0"/>
          <w:color w:val="2d2d2d"/>
          <w:sz w:val="19"/>
          <w:szCs w:val="19"/>
          <w:rtl w:val="0"/>
        </w:rPr>
        <w:t xml:space="preserve">The instruments below represent structural upside that would materially improve the economics if secured — neither is a prerequisite for viability.</w:t>
      </w:r>
      <w:r w:rsidDel="00000000" w:rsidR="00000000" w:rsidRPr="00000000">
        <w:rPr>
          <w:rtl w:val="0"/>
        </w:rPr>
      </w:r>
    </w:p>
    <w:p w:rsidR="00000000" w:rsidDel="00000000" w:rsidP="00000000" w:rsidRDefault="00000000" w:rsidRPr="00000000" w14:paraId="0000029C">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9D">
            <w:pPr>
              <w:spacing w:after="80" w:before="0" w:line="276" w:lineRule="auto"/>
              <w:jc w:val="left"/>
              <w:rPr/>
            </w:pP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9E">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Development Law 4887/2022 Grant</w:t>
            </w:r>
            <w:r w:rsidDel="00000000" w:rsidR="00000000" w:rsidRPr="00000000">
              <w:rPr>
                <w:rtl w:val="0"/>
              </w:rPr>
            </w:r>
          </w:p>
        </w:tc>
        <w:tc>
          <w:tcPr>
            <w:tcBorders>
              <w:top w:color="0b5563" w:space="0" w:sz="8" w:val="single"/>
              <w:left w:color="000000" w:space="0" w:sz="0" w:val="nil"/>
              <w:bottom w:color="0b5563" w:space="0" w:sz="4" w:val="single"/>
              <w:right w:color="000000" w:space="0" w:sz="0" w:val="nil"/>
            </w:tcBorders>
            <w:shd w:fill="0b5563" w:val="clear"/>
            <w:tcMar>
              <w:top w:w="80.0" w:type="dxa"/>
              <w:left w:w="140.0" w:type="dxa"/>
              <w:bottom w:w="80.0" w:type="dxa"/>
              <w:right w:w="140.0" w:type="dxa"/>
            </w:tcMar>
            <w:vAlign w:val="center"/>
          </w:tcPr>
          <w:p w:rsidR="00000000" w:rsidDel="00000000" w:rsidP="00000000" w:rsidRDefault="00000000" w:rsidRPr="00000000" w14:paraId="0000029F">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RRF 2 (Recovery &amp; Resilience Facility)</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0">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Instrument type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1">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Cash grant — non-repayable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2">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Subsidised loan at 0.35%</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3">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Coverage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60% of non-plot eligible costs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5">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50% of total project cost</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6">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Eligibility</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7">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Confirmed — Antiparos: max regional aid intensity zone (island &lt;3,100 inhabitants)</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Application to be filed — opening expected imminently</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9">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Benefit (full portfolio)</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A">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€2,894,400 non-repayable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AB">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8"/>
                <w:szCs w:val="18"/>
                <w:rtl w:val="0"/>
              </w:rPr>
              <w:t xml:space="preserve">≈€50,700/yr lower annual DS vs commercial rate</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C">
            <w:pPr>
              <w:spacing w:after="80" w:before="0" w:line="276" w:lineRule="auto"/>
              <w:jc w:val="left"/>
              <w:rPr/>
            </w:pPr>
            <w:r w:rsidDel="00000000" w:rsidR="00000000" w:rsidRPr="00000000">
              <w:rPr>
                <w:rFonts w:ascii="Arial" w:cs="Arial" w:eastAsia="Arial" w:hAnsi="Arial"/>
                <w:b w:val="0"/>
                <w:bCs w:val="0"/>
                <w:i w:val="0"/>
                <w:iCs w:val="0"/>
                <w:smallCaps w:val="0"/>
                <w:color w:val="2d2d2d"/>
                <w:sz w:val="18"/>
                <w:szCs w:val="18"/>
                <w:rtl w:val="0"/>
              </w:rPr>
              <w:t xml:space="preserve">Structural impact on loan</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D">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Applied to loan reduction upon receipt — before Phase 2 drawdown</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AE">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Replaces portion of commercial loan at 0.35% vs 5%</w:t>
            </w:r>
            <w:r w:rsidDel="00000000" w:rsidR="00000000" w:rsidRPr="00000000">
              <w:rPr>
                <w:rtl w:val="0"/>
              </w:rPr>
            </w:r>
          </w:p>
        </w:tc>
      </w:tr>
    </w:tbl>
    <w:p w:rsidR="00000000" w:rsidDel="00000000" w:rsidP="00000000" w:rsidRDefault="00000000" w:rsidRPr="00000000" w14:paraId="000002AF">
      <w:pPr>
        <w:spacing w:after="80" w:before="80" w:lineRule="auto"/>
        <w:rPr/>
      </w:pPr>
      <w:r w:rsidDel="00000000" w:rsidR="00000000" w:rsidRPr="00000000">
        <w:rPr>
          <w:rtl w:val="0"/>
        </w:rPr>
      </w:r>
    </w:p>
    <w:p w:rsidR="00000000" w:rsidDel="00000000" w:rsidP="00000000" w:rsidRDefault="00000000" w:rsidRPr="00000000" w14:paraId="000002B0">
      <w:pPr>
        <w:pBdr>
          <w:bottom w:color="b8962e" w:space="0" w:sz="6" w:val="single"/>
        </w:pBdr>
        <w:spacing w:after="100" w:before="240" w:lineRule="auto"/>
        <w:rPr/>
      </w:pPr>
      <w:r w:rsidDel="00000000" w:rsidR="00000000" w:rsidRPr="00000000">
        <w:rPr>
          <w:rFonts w:ascii="Arial" w:cs="Arial" w:eastAsia="Arial" w:hAnsi="Arial"/>
          <w:b w:val="1"/>
          <w:bCs w:val="1"/>
          <w:i w:val="0"/>
          <w:iCs w:val="0"/>
          <w:smallCaps w:val="0"/>
          <w:color w:val="1f3864"/>
          <w:sz w:val="21"/>
          <w:szCs w:val="21"/>
          <w:rtl w:val="0"/>
        </w:rPr>
        <w:t xml:space="preserve">Impact on Loan Economics — Development Law Grant</w:t>
      </w: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b5563" w:space="0" w:sz="8" w:val="single"/>
              <w:left w:color="000000" w:space="0" w:sz="0" w:val="nil"/>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B1">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 xml:space="preserve">€2,894,400</w:t>
            </w:r>
            <w:r w:rsidDel="00000000" w:rsidR="00000000" w:rsidRPr="00000000">
              <w:rPr>
                <w:rtl w:val="0"/>
              </w:rPr>
            </w:r>
          </w:p>
          <w:p w:rsidR="00000000" w:rsidDel="00000000" w:rsidP="00000000" w:rsidRDefault="00000000" w:rsidRPr="00000000" w14:paraId="000002B2">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Grant Received</w:t>
            </w:r>
            <w:r w:rsidDel="00000000" w:rsidR="00000000" w:rsidRPr="00000000">
              <w:rPr>
                <w:rtl w:val="0"/>
              </w:rPr>
            </w:r>
          </w:p>
          <w:p w:rsidR="00000000" w:rsidDel="00000000" w:rsidP="00000000" w:rsidRDefault="00000000" w:rsidRPr="00000000" w14:paraId="000002B3">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Non-repayable · applied to loan reduction</w:t>
            </w:r>
            <w:r w:rsidDel="00000000" w:rsidR="00000000" w:rsidRPr="00000000">
              <w:rPr>
                <w:rtl w:val="0"/>
              </w:rPr>
            </w:r>
          </w:p>
        </w:tc>
        <w:tc>
          <w:tcPr>
            <w:tcBorders>
              <w:top w:color="0b5563"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B4">
            <w:pPr>
              <w:spacing w:after="20" w:before="0" w:line="276" w:lineRule="auto"/>
              <w:jc w:val="center"/>
              <w:rPr/>
            </w:pPr>
            <w:r w:rsidDel="00000000" w:rsidR="00000000" w:rsidRPr="00000000">
              <w:rPr>
                <w:rFonts w:ascii="Arial" w:cs="Arial" w:eastAsia="Arial" w:hAnsi="Arial"/>
                <w:b w:val="1"/>
                <w:bCs w:val="1"/>
                <w:i w:val="0"/>
                <w:iCs w:val="0"/>
                <w:smallCaps w:val="0"/>
                <w:color w:val="0b5563"/>
                <w:sz w:val="32"/>
                <w:szCs w:val="32"/>
                <w:rtl w:val="0"/>
              </w:rPr>
              <w:t xml:space="preserve">€2,459,700</w:t>
            </w:r>
            <w:r w:rsidDel="00000000" w:rsidR="00000000" w:rsidRPr="00000000">
              <w:rPr>
                <w:rtl w:val="0"/>
              </w:rPr>
            </w:r>
          </w:p>
          <w:p w:rsidR="00000000" w:rsidDel="00000000" w:rsidP="00000000" w:rsidRDefault="00000000" w:rsidRPr="00000000" w14:paraId="000002B5">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Remaining Loan After Grant</w:t>
            </w:r>
            <w:r w:rsidDel="00000000" w:rsidR="00000000" w:rsidRPr="00000000">
              <w:rPr>
                <w:rtl w:val="0"/>
              </w:rPr>
            </w:r>
          </w:p>
          <w:p w:rsidR="00000000" w:rsidDel="00000000" w:rsidP="00000000" w:rsidRDefault="00000000" w:rsidRPr="00000000" w14:paraId="000002B6">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 xml:space="preserve">vs €4,630,500 commercial base case</w:t>
            </w:r>
            <w:r w:rsidDel="00000000" w:rsidR="00000000" w:rsidRPr="00000000">
              <w:rPr>
                <w:rtl w:val="0"/>
              </w:rPr>
            </w:r>
          </w:p>
        </w:tc>
        <w:tc>
          <w:tcPr>
            <w:tcBorders>
              <w:top w:color="0b5563"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B7">
            <w:pPr>
              <w:spacing w:after="2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0b5563"/>
                <w:sz w:val="32"/>
                <w:szCs w:val="32"/>
                <w:rtl w:val="0"/>
              </w:rPr>
              <w:t xml:space="preserve">≈€261,849</w:t>
            </w:r>
            <w:r w:rsidDel="00000000" w:rsidR="00000000" w:rsidRPr="00000000">
              <w:rPr>
                <w:rtl w:val="0"/>
              </w:rPr>
            </w:r>
          </w:p>
          <w:p w:rsidR="00000000" w:rsidDel="00000000" w:rsidP="00000000" w:rsidRDefault="00000000" w:rsidRPr="00000000" w14:paraId="000002B8">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Annual Debt Service After Grant</w:t>
            </w:r>
            <w:r w:rsidDel="00000000" w:rsidR="00000000" w:rsidRPr="00000000">
              <w:rPr>
                <w:rtl w:val="0"/>
              </w:rPr>
            </w:r>
          </w:p>
          <w:p w:rsidR="00000000" w:rsidDel="00000000" w:rsidP="00000000" w:rsidRDefault="00000000" w:rsidRPr="00000000" w14:paraId="000002B9">
            <w:pPr>
              <w:spacing w:after="80" w:before="0" w:line="276" w:lineRule="auto"/>
              <w:jc w:val="center"/>
              <w:rPr/>
            </w:pPr>
            <w:r w:rsidDel="00000000" w:rsidR="00000000" w:rsidRPr="00000000">
              <w:rPr>
                <w:rFonts w:ascii="Arial Unicode MS" w:cs="Arial Unicode MS" w:eastAsia="Arial Unicode MS" w:hAnsi="Arial Unicode MS"/>
                <w:b w:val="0"/>
                <w:bCs w:val="0"/>
                <w:i w:val="1"/>
                <w:iCs w:val="1"/>
                <w:smallCaps w:val="0"/>
                <w:color w:val="888888"/>
                <w:sz w:val="15"/>
                <w:szCs w:val="15"/>
                <w:rtl w:val="0"/>
              </w:rPr>
              <w:t xml:space="preserve">vs ≈€492,943/yr — 47% reduction</w:t>
            </w:r>
            <w:r w:rsidDel="00000000" w:rsidR="00000000" w:rsidRPr="00000000">
              <w:rPr>
                <w:rtl w:val="0"/>
              </w:rPr>
            </w:r>
          </w:p>
        </w:tc>
        <w:tc>
          <w:tcPr>
            <w:tcBorders>
              <w:top w:color="b8962e" w:space="0" w:sz="8" w:val="single"/>
              <w:left w:color="eeeeee" w:space="0" w:sz="4" w:val="single"/>
              <w:bottom w:color="dddddd" w:space="0" w:sz="4" w:val="single"/>
              <w:right w:color="000000" w:space="0" w:sz="0" w:val="nil"/>
            </w:tcBorders>
            <w:shd w:fill="fafaf8" w:val="clear"/>
            <w:tcMar>
              <w:top w:w="120.0" w:type="dxa"/>
              <w:left w:w="180.0" w:type="dxa"/>
              <w:bottom w:w="120.0" w:type="dxa"/>
              <w:right w:w="180.0" w:type="dxa"/>
            </w:tcMar>
            <w:vAlign w:val="center"/>
          </w:tcPr>
          <w:p w:rsidR="00000000" w:rsidDel="00000000" w:rsidP="00000000" w:rsidRDefault="00000000" w:rsidRPr="00000000" w14:paraId="000002BA">
            <w:pPr>
              <w:spacing w:after="20" w:before="0" w:line="276" w:lineRule="auto"/>
              <w:jc w:val="center"/>
              <w:rPr/>
            </w:pPr>
            <w:r w:rsidDel="00000000" w:rsidR="00000000" w:rsidRPr="00000000">
              <w:rPr>
                <w:rFonts w:ascii="Arial" w:cs="Arial" w:eastAsia="Arial" w:hAnsi="Arial"/>
                <w:b w:val="1"/>
                <w:bCs w:val="1"/>
                <w:i w:val="0"/>
                <w:iCs w:val="0"/>
                <w:smallCaps w:val="0"/>
                <w:color w:val="b8962e"/>
                <w:sz w:val="32"/>
                <w:szCs w:val="32"/>
                <w:rtl w:val="0"/>
              </w:rPr>
              <w:t>3.41×</w:t>
            </w:r>
            <w:r w:rsidDel="00000000" w:rsidR="00000000" w:rsidRPr="00000000">
              <w:rPr>
                <w:rtl w:val="0"/>
              </w:rPr>
            </w:r>
          </w:p>
          <w:p w:rsidR="00000000" w:rsidDel="00000000" w:rsidP="00000000" w:rsidRDefault="00000000" w:rsidRPr="00000000" w14:paraId="000002BB">
            <w:pPr>
              <w:spacing w:after="8" w:before="0" w:line="276" w:lineRule="auto"/>
              <w:jc w:val="center"/>
              <w:rPr/>
            </w:pPr>
            <w:r w:rsidDel="00000000" w:rsidR="00000000" w:rsidRPr="00000000">
              <w:rPr>
                <w:rFonts w:ascii="Arial" w:cs="Arial" w:eastAsia="Arial" w:hAnsi="Arial"/>
                <w:b w:val="1"/>
                <w:bCs w:val="1"/>
                <w:i w:val="0"/>
                <w:iCs w:val="0"/>
                <w:smallCaps w:val="0"/>
                <w:color w:val="2d2d2d"/>
                <w:sz w:val="17"/>
                <w:szCs w:val="17"/>
                <w:rtl w:val="0"/>
              </w:rPr>
              <w:t xml:space="preserve">DSCR After Grant</w:t>
            </w:r>
            <w:r w:rsidDel="00000000" w:rsidR="00000000" w:rsidRPr="00000000">
              <w:rPr>
                <w:rtl w:val="0"/>
              </w:rPr>
            </w:r>
          </w:p>
          <w:p w:rsidR="00000000" w:rsidDel="00000000" w:rsidP="00000000" w:rsidRDefault="00000000" w:rsidRPr="00000000" w14:paraId="000002BC">
            <w:pPr>
              <w:spacing w:after="80" w:before="0" w:line="276" w:lineRule="auto"/>
              <w:jc w:val="center"/>
              <w:rPr/>
            </w:pPr>
            <w:r w:rsidDel="00000000" w:rsidR="00000000" w:rsidRPr="00000000">
              <w:rPr>
                <w:rFonts w:ascii="Arial" w:cs="Arial" w:eastAsia="Arial" w:hAnsi="Arial"/>
                <w:b w:val="0"/>
                <w:bCs w:val="0"/>
                <w:i w:val="1"/>
                <w:iCs w:val="1"/>
                <w:smallCaps w:val="0"/>
                <w:color w:val="888888"/>
                <w:sz w:val="15"/>
                <w:szCs w:val="15"/>
                <w:rtl w:val="0"/>
              </w:rPr>
              <w:t>Realistic scenario — vs 1.81× commercial</w:t>
            </w:r>
            <w:r w:rsidDel="00000000" w:rsidR="00000000" w:rsidRPr="00000000">
              <w:rPr>
                <w:rtl w:val="0"/>
              </w:rPr>
            </w:r>
          </w:p>
        </w:tc>
      </w:tr>
    </w:tbl>
    <w:p w:rsidR="00000000" w:rsidDel="00000000" w:rsidP="00000000" w:rsidRDefault="00000000" w:rsidRPr="00000000" w14:paraId="000002BD">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1"/>
        </w:trPr>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BE">
            <w:pPr>
              <w:spacing w:after="80" w:before="0" w:line="276" w:lineRule="auto"/>
              <w:jc w:val="left"/>
              <w:rPr/>
            </w:pPr>
            <w:r w:rsidDel="00000000" w:rsidR="00000000" w:rsidRPr="00000000">
              <w:rPr>
                <w:rFonts w:ascii="Arial" w:cs="Arial" w:eastAsia="Arial" w:hAnsi="Arial"/>
                <w:b w:val="1"/>
                <w:bCs w:val="1"/>
                <w:i w:val="0"/>
                <w:iCs w:val="0"/>
                <w:smallCaps w:val="0"/>
                <w:color w:val="ffffff"/>
                <w:sz w:val="17"/>
                <w:szCs w:val="17"/>
                <w:rtl w:val="0"/>
              </w:rPr>
              <w:t xml:space="preserve">Metric</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BF">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Commercial Loan</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C0">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 RRF Path</w:t>
            </w:r>
            <w:r w:rsidDel="00000000" w:rsidR="00000000" w:rsidRPr="00000000">
              <w:rPr>
                <w:rtl w:val="0"/>
              </w:rPr>
            </w:r>
          </w:p>
        </w:tc>
        <w:tc>
          <w:tcPr>
            <w:tcBorders>
              <w:top w:color="1f3864" w:space="0" w:sz="8" w:val="single"/>
              <w:left w:color="000000" w:space="0" w:sz="0" w:val="nil"/>
              <w:bottom w:color="1f3864" w:space="0" w:sz="4" w:val="single"/>
              <w:right w:color="000000" w:space="0" w:sz="0" w:val="nil"/>
            </w:tcBorders>
            <w:shd w:fill="1f3864" w:val="clear"/>
            <w:tcMar>
              <w:top w:w="80.0" w:type="dxa"/>
              <w:left w:w="140.0" w:type="dxa"/>
              <w:bottom w:w="80.0" w:type="dxa"/>
              <w:right w:w="140.0" w:type="dxa"/>
            </w:tcMar>
            <w:vAlign w:val="center"/>
          </w:tcPr>
          <w:p w:rsidR="00000000" w:rsidDel="00000000" w:rsidP="00000000" w:rsidRDefault="00000000" w:rsidRPr="00000000" w14:paraId="000002C1">
            <w:pPr>
              <w:spacing w:after="80" w:before="0" w:line="276" w:lineRule="auto"/>
              <w:jc w:val="center"/>
              <w:rPr/>
            </w:pPr>
            <w:r w:rsidDel="00000000" w:rsidR="00000000" w:rsidRPr="00000000">
              <w:rPr>
                <w:rFonts w:ascii="Arial" w:cs="Arial" w:eastAsia="Arial" w:hAnsi="Arial"/>
                <w:b w:val="1"/>
                <w:bCs w:val="1"/>
                <w:i w:val="0"/>
                <w:iCs w:val="0"/>
                <w:smallCaps w:val="0"/>
                <w:color w:val="ffffff"/>
                <w:sz w:val="17"/>
                <w:szCs w:val="17"/>
                <w:rtl w:val="0"/>
              </w:rPr>
              <w:t xml:space="preserve">+ Dev. Law Grant</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Total loan drawn (€)</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3">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€4,630,500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4">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€4,939,200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5">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€2,459,700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6">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Equity required (€)</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7">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€1,543,500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€1,234,800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9">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 xml:space="preserve">€819,900</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A">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Equity saving vs. commercial (€)</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B">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C">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€308,700</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CD">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0b5563"/>
                <w:sz w:val="18"/>
                <w:szCs w:val="18"/>
                <w:rtl w:val="0"/>
              </w:rPr>
              <w:t xml:space="preserve">€723,600  (−47%)</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E">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Annual debt service (€)</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CF">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8"/>
                <w:szCs w:val="18"/>
                <w:rtl w:val="0"/>
              </w:rPr>
              <w:t xml:space="preserve">≈€492,943/yr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D0">
            <w:pPr>
              <w:spacing w:after="80" w:before="0" w:line="276" w:lineRule="auto"/>
              <w:jc w:val="center"/>
              <w:rPr/>
            </w:pPr>
            <w:r w:rsidDel="00000000" w:rsidR="00000000" w:rsidRPr="00000000">
              <w:rPr>
                <w:rFonts w:ascii="Arial Unicode MS" w:cs="Arial Unicode MS" w:eastAsia="Arial Unicode MS" w:hAnsi="Arial Unicode MS"/>
                <w:b w:val="0"/>
                <w:bCs w:val="0"/>
                <w:i w:val="0"/>
                <w:iCs w:val="0"/>
                <w:smallCaps w:val="0"/>
                <w:color w:val="2d2d2d"/>
                <w:sz w:val="18"/>
                <w:szCs w:val="18"/>
                <w:rtl w:val="0"/>
              </w:rPr>
              <w:t xml:space="preserve">≈€439,700/yr</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D1">
            <w:pPr>
              <w:spacing w:after="80" w:before="0" w:line="276" w:lineRule="auto"/>
              <w:jc w:val="center"/>
              <w:rPr/>
            </w:pPr>
            <w:r w:rsidDel="00000000" w:rsidR="00000000" w:rsidRPr="00000000">
              <w:rPr>
                <w:rFonts w:ascii="Arial Unicode MS" w:cs="Arial Unicode MS" w:eastAsia="Arial Unicode MS" w:hAnsi="Arial Unicode MS"/>
                <w:b w:val="1"/>
                <w:bCs w:val="1"/>
                <w:i w:val="0"/>
                <w:iCs w:val="0"/>
                <w:smallCaps w:val="0"/>
                <w:color w:val="0b5563"/>
                <w:sz w:val="18"/>
                <w:szCs w:val="18"/>
                <w:rtl w:val="0"/>
              </w:rPr>
              <w:t xml:space="preserve">≈€261,849/yr</w:t>
            </w:r>
            <w:r w:rsidDel="00000000" w:rsidR="00000000" w:rsidRPr="00000000">
              <w:rPr>
                <w:rtl w:val="0"/>
              </w:rPr>
            </w:r>
          </w:p>
        </w:tc>
      </w:tr>
      <w:tr>
        <w:trPr>
          <w:cantSplit w:val="0"/>
          <w:tblHeader w:val="0"/>
        </w:trPr>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D2">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DSCR — Realistic (2031)</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D3">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1.81×</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D4">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 xml:space="preserve">2.06×</w:t>
            </w:r>
            <w:r w:rsidDel="00000000" w:rsidR="00000000" w:rsidRPr="00000000">
              <w:rPr>
                <w:rtl w:val="0"/>
              </w:rPr>
            </w:r>
          </w:p>
        </w:tc>
        <w:tc>
          <w:tcPr>
            <w:tcBorders>
              <w:top w:color="e8e6e2" w:space="0" w:sz="4" w:val="single"/>
              <w:left w:color="000000" w:space="0" w:sz="0" w:val="nil"/>
              <w:bottom w:color="e8e6e2" w:space="0" w:sz="4" w:val="single"/>
              <w:right w:color="000000" w:space="0" w:sz="0" w:val="nil"/>
            </w:tcBorders>
            <w:shd w:fill="f4f2ee" w:val="clear"/>
            <w:tcMar>
              <w:top w:w="80.0" w:type="dxa"/>
              <w:left w:w="140.0" w:type="dxa"/>
              <w:bottom w:w="80.0" w:type="dxa"/>
              <w:right w:w="140.0" w:type="dxa"/>
            </w:tcMar>
            <w:vAlign w:val="center"/>
          </w:tcPr>
          <w:p w:rsidR="00000000" w:rsidDel="00000000" w:rsidP="00000000" w:rsidRDefault="00000000" w:rsidRPr="00000000" w14:paraId="000002D5">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3.41×</w:t>
            </w:r>
            <w:r w:rsidDel="00000000" w:rsidR="00000000" w:rsidRPr="00000000">
              <w:rPr>
                <w:rtl w:val="0"/>
              </w:rPr>
            </w:r>
          </w:p>
        </w:tc>
      </w:tr>
      <w:tr>
        <w:trPr>
          <w:cantSplit w:val="0"/>
          <w:tblHeader w:val="0"/>
        </w:trPr>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D6">
            <w:pPr>
              <w:spacing w:after="80" w:before="0" w:line="276" w:lineRule="auto"/>
              <w:jc w:val="left"/>
              <w:rPr/>
            </w:pPr>
            <w:r w:rsidDel="00000000" w:rsidR="00000000" w:rsidRPr="00000000">
              <w:rPr>
                <w:rFonts w:ascii="Arial" w:cs="Arial" w:eastAsia="Arial" w:hAnsi="Arial"/>
                <w:b w:val="1"/>
                <w:bCs w:val="1"/>
                <w:i w:val="0"/>
                <w:iCs w:val="0"/>
                <w:smallCaps w:val="0"/>
                <w:color w:val="1f3864"/>
                <w:sz w:val="18"/>
                <w:szCs w:val="18"/>
                <w:rtl w:val="0"/>
              </w:rPr>
              <w:t xml:space="preserve">Net portfolio CF post-VAT (2031)</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D7">
            <w:pPr>
              <w:spacing w:after="80" w:before="0" w:line="276" w:lineRule="auto"/>
              <w:jc w:val="center"/>
              <w:rPr/>
            </w:pPr>
            <w:r w:rsidDel="00000000" w:rsidR="00000000" w:rsidRPr="00000000">
              <w:rPr>
                <w:rFonts w:ascii="Arial" w:cs="Arial" w:eastAsia="Arial" w:hAnsi="Arial"/>
                <w:b w:val="1"/>
                <w:bCs w:val="1"/>
                <w:i w:val="0"/>
                <w:iCs w:val="0"/>
                <w:smallCaps w:val="0"/>
                <w:color w:val="1f3864"/>
                <w:sz w:val="18"/>
                <w:szCs w:val="18"/>
                <w:rtl w:val="0"/>
              </w:rPr>
              <w:t>€318,955</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fafaf8" w:val="clear"/>
            <w:tcMar>
              <w:top w:w="80.0" w:type="dxa"/>
              <w:left w:w="140.0" w:type="dxa"/>
              <w:bottom w:w="80.0" w:type="dxa"/>
              <w:right w:w="140.0" w:type="dxa"/>
            </w:tcMar>
            <w:vAlign w:val="center"/>
          </w:tcPr>
          <w:p w:rsidR="00000000" w:rsidDel="00000000" w:rsidP="00000000" w:rsidRDefault="00000000" w:rsidRPr="00000000" w14:paraId="000002D8">
            <w:pPr>
              <w:spacing w:after="80" w:before="0" w:line="276" w:lineRule="auto"/>
              <w:jc w:val="center"/>
              <w:rPr/>
            </w:pPr>
            <w:r w:rsidDel="00000000" w:rsidR="00000000" w:rsidRPr="00000000">
              <w:rPr>
                <w:rFonts w:ascii="Arial" w:cs="Arial" w:eastAsia="Arial" w:hAnsi="Arial"/>
                <w:b w:val="0"/>
                <w:bCs w:val="0"/>
                <w:i w:val="0"/>
                <w:iCs w:val="0"/>
                <w:smallCaps w:val="0"/>
                <w:color w:val="2d2d2d"/>
                <w:sz w:val="18"/>
                <w:szCs w:val="18"/>
                <w:rtl w:val="0"/>
              </w:rPr>
              <w:t xml:space="preserve">—</w:t>
            </w:r>
            <w:r w:rsidDel="00000000" w:rsidR="00000000" w:rsidRPr="00000000">
              <w:rPr>
                <w:rtl w:val="0"/>
              </w:rPr>
            </w:r>
          </w:p>
        </w:tc>
        <w:tc>
          <w:tcPr>
            <w:tcBorders>
              <w:top w:color="1f3864" w:space="0" w:sz="6" w:val="single"/>
              <w:left w:color="000000" w:space="0" w:sz="0" w:val="nil"/>
              <w:bottom w:color="1f3864" w:space="0" w:sz="6" w:val="single"/>
              <w:right w:color="000000" w:space="0" w:sz="0" w:val="nil"/>
            </w:tcBorders>
            <w:shd w:fill="eef3f8" w:val="clear"/>
            <w:tcMar>
              <w:top w:w="80.0" w:type="dxa"/>
              <w:left w:w="140.0" w:type="dxa"/>
              <w:bottom w:w="80.0" w:type="dxa"/>
              <w:right w:w="140.0" w:type="dxa"/>
            </w:tcMar>
            <w:vAlign w:val="center"/>
          </w:tcPr>
          <w:p w:rsidR="00000000" w:rsidDel="00000000" w:rsidP="00000000" w:rsidRDefault="00000000" w:rsidRPr="00000000" w14:paraId="000002D9">
            <w:pPr>
              <w:spacing w:after="80" w:before="0" w:line="276" w:lineRule="auto"/>
              <w:jc w:val="center"/>
              <w:rPr/>
            </w:pPr>
            <w:r w:rsidDel="00000000" w:rsidR="00000000" w:rsidRPr="00000000">
              <w:rPr>
                <w:rFonts w:ascii="Arial" w:cs="Arial" w:eastAsia="Arial" w:hAnsi="Arial"/>
                <w:b w:val="1"/>
                <w:bCs w:val="1"/>
                <w:i w:val="0"/>
                <w:iCs w:val="0"/>
                <w:smallCaps w:val="0"/>
                <w:color w:val="0b5563"/>
                <w:sz w:val="18"/>
                <w:szCs w:val="18"/>
                <w:rtl w:val="0"/>
              </w:rPr>
              <w:t>€550,049</w:t>
            </w:r>
            <w:r w:rsidDel="00000000" w:rsidR="00000000" w:rsidRPr="00000000">
              <w:rPr>
                <w:rtl w:val="0"/>
              </w:rPr>
            </w:r>
          </w:p>
        </w:tc>
      </w:tr>
    </w:tbl>
    <w:p w:rsidR="00000000" w:rsidDel="00000000" w:rsidP="00000000" w:rsidRDefault="00000000" w:rsidRPr="00000000" w14:paraId="000002DA">
      <w:pPr>
        <w:spacing w:after="40" w:before="40" w:line="276" w:lineRule="auto"/>
        <w:ind w:left="120" w:right="0" w:firstLine="0"/>
        <w:jc w:val="left"/>
        <w:rPr/>
      </w:pPr>
      <w:r w:rsidDel="00000000" w:rsidR="00000000" w:rsidRPr="00000000">
        <w:rPr>
          <w:rFonts w:ascii="Arial" w:cs="Arial" w:eastAsia="Arial" w:hAnsi="Arial"/>
          <w:b w:val="0"/>
          <w:bCs w:val="0"/>
          <w:i w:val="1"/>
          <w:iCs w:val="1"/>
          <w:smallCaps w:val="0"/>
          <w:color w:val="888888"/>
          <w:sz w:val="15"/>
          <w:szCs w:val="15"/>
          <w:rtl w:val="0"/>
        </w:rPr>
        <w:t xml:space="preserve">* Grant path figures reflect the grant being received before Phase 2 drawdown. At that point only Phase 1 equity of €337,500 has been injected. Both instruments are being applied for in parallel with this loan request. Rate: 5% on commercial and co-financing tranches; 0.35% for the RRF tranche. 2-year grace, 13-year repayment in all scenarios.</w:t>
      </w:r>
      <w:r w:rsidDel="00000000" w:rsidR="00000000" w:rsidRPr="00000000">
        <w:rPr>
          <w:rtl w:val="0"/>
        </w:rPr>
      </w:r>
    </w:p>
    <w:p w:rsidR="00000000" w:rsidDel="00000000" w:rsidP="00000000" w:rsidRDefault="00000000" w:rsidRPr="00000000" w14:paraId="000002DB">
      <w:pPr>
        <w:rPr/>
      </w:pPr>
      <w:r w:rsidDel="00000000" w:rsidR="00000000" w:rsidRPr="00000000">
        <w:br w:type="page"/>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00"/>
        <w:gridCol w:w="1560"/>
        <w:tblGridChange w:id="0">
          <w:tblGrid>
            <w:gridCol w:w="78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00.0" w:type="dxa"/>
              <w:bottom w:w="140.0" w:type="dxa"/>
              <w:right w:w="80.0" w:type="dxa"/>
            </w:tcMar>
            <w:vAlign w:val="center"/>
          </w:tcPr>
          <w:p w:rsidR="00000000" w:rsidDel="00000000" w:rsidP="00000000" w:rsidRDefault="00000000" w:rsidRPr="00000000" w14:paraId="000002DC">
            <w:pPr>
              <w:spacing w:after="80" w:before="0" w:line="276" w:lineRule="auto"/>
              <w:jc w:val="left"/>
              <w:rPr/>
            </w:pPr>
            <w:r w:rsidDel="00000000" w:rsidR="00000000" w:rsidRPr="00000000">
              <w:rPr>
                <w:rFonts w:ascii="Arial" w:cs="Arial" w:eastAsia="Arial" w:hAnsi="Arial"/>
                <w:b w:val="1"/>
                <w:bCs w:val="1"/>
                <w:i w:val="0"/>
                <w:iCs w:val="0"/>
                <w:smallCaps w:val="0"/>
                <w:color w:val="ffffff"/>
                <w:sz w:val="22"/>
                <w:szCs w:val="22"/>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962e" w:val="clear"/>
            <w:tcMar>
              <w:top w:w="140.0" w:type="dxa"/>
              <w:left w:w="80.0" w:type="dxa"/>
              <w:bottom w:w="140.0" w:type="dxa"/>
              <w:right w:w="200.0" w:type="dxa"/>
            </w:tcMar>
            <w:vAlign w:val="center"/>
          </w:tcPr>
          <w:p w:rsidR="00000000" w:rsidDel="00000000" w:rsidP="00000000" w:rsidRDefault="00000000" w:rsidRPr="00000000" w14:paraId="000002DD">
            <w:pPr>
              <w:spacing w:after="80" w:before="0" w:line="276" w:lineRule="auto"/>
              <w:jc w:val="right"/>
              <w:rPr/>
            </w:pPr>
            <w:r w:rsidDel="00000000" w:rsidR="00000000" w:rsidRPr="00000000">
              <w:rPr>
                <w:rFonts w:ascii="Arial" w:cs="Arial" w:eastAsia="Arial" w:hAnsi="Arial"/>
                <w:b w:val="1"/>
                <w:bCs w:val="1"/>
                <w:i w:val="0"/>
                <w:iCs w:val="0"/>
                <w:smallCaps w:val="0"/>
                <w:color w:val="ffffff"/>
                <w:sz w:val="22"/>
                <w:szCs w:val="22"/>
                <w:rtl w:val="0"/>
              </w:rPr>
              <w:t xml:space="preserve">§ 10</w:t>
            </w:r>
            <w:r w:rsidDel="00000000" w:rsidR="00000000" w:rsidRPr="00000000">
              <w:rPr>
                <w:rtl w:val="0"/>
              </w:rPr>
            </w:r>
          </w:p>
        </w:tc>
      </w:tr>
    </w:tbl>
    <w:p w:rsidR="00000000" w:rsidDel="00000000" w:rsidP="00000000" w:rsidRDefault="00000000" w:rsidRPr="00000000" w14:paraId="000002DE">
      <w:pPr>
        <w:spacing w:after="80" w:before="80" w:lineRule="auto"/>
        <w:rPr/>
      </w:pPr>
      <w:r w:rsidDel="00000000" w:rsidR="00000000" w:rsidRPr="00000000">
        <w:rPr>
          <w:rtl w:val="0"/>
        </w:rPr>
      </w:r>
    </w:p>
    <w:p w:rsidR="00000000" w:rsidDel="00000000" w:rsidP="00000000" w:rsidRDefault="00000000" w:rsidRPr="00000000" w14:paraId="000002DF">
      <w:pPr>
        <w:spacing w:after="80" w:before="0" w:line="288" w:lineRule="auto"/>
        <w:jc w:val="left"/>
        <w:rPr/>
      </w:pPr>
      <w:r w:rsidDel="00000000" w:rsidR="00000000" w:rsidRPr="00000000">
        <w:rPr>
          <w:rFonts w:ascii="Arial" w:cs="Arial" w:eastAsia="Arial" w:hAnsi="Arial"/>
          <w:b w:val="0"/>
          <w:bCs w:val="0"/>
          <w:i w:val="0"/>
          <w:iCs w:val="0"/>
          <w:smallCaps w:val="0"/>
          <w:color w:val="2d2d2d"/>
          <w:sz w:val="20"/>
          <w:szCs w:val="20"/>
          <w:rtl w:val="0"/>
        </w:rPr>
        <w:t xml:space="preserve">This project combines a proven hospitality operation with a disciplined land acquisition strategy and a well-structured commercial financing thesis. The demand is documented and growing. The plots are sourced and in advanced negotiation. The collateral position is strong. The commercial loan case stands on its own merits — and if the Development Law grant or RRF facility is secured, both the financing structure and the equity requirement improve substantially.</w:t>
      </w:r>
      <w:r w:rsidDel="00000000" w:rsidR="00000000" w:rsidRPr="00000000">
        <w:rPr>
          <w:rtl w:val="0"/>
        </w:rPr>
      </w:r>
    </w:p>
    <w:p w:rsidR="00000000" w:rsidDel="00000000" w:rsidP="00000000" w:rsidRDefault="00000000" w:rsidRPr="00000000" w14:paraId="000002E0">
      <w:pPr>
        <w:spacing w:after="60" w:before="60" w:lineRule="auto"/>
        <w:rPr/>
      </w:pPr>
      <w:r w:rsidDel="00000000" w:rsidR="00000000" w:rsidRPr="00000000">
        <w:rPr>
          <w:rtl w:val="0"/>
        </w:rPr>
      </w:r>
    </w:p>
    <w:p w:rsidR="00000000" w:rsidDel="00000000" w:rsidP="00000000" w:rsidRDefault="00000000" w:rsidRPr="00000000" w14:paraId="000002E1">
      <w:pPr>
        <w:spacing w:after="60" w:before="0" w:line="288" w:lineRule="auto"/>
        <w:jc w:val="left"/>
        <w:rPr/>
      </w:pPr>
      <w:r w:rsidDel="00000000" w:rsidR="00000000" w:rsidRPr="00000000">
        <w:rPr>
          <w:rFonts w:ascii="Arial" w:cs="Arial" w:eastAsia="Arial" w:hAnsi="Arial"/>
          <w:b w:val="1"/>
          <w:bCs w:val="1"/>
          <w:i w:val="0"/>
          <w:iCs w:val="0"/>
          <w:smallCaps w:val="0"/>
          <w:color w:val="1f3864"/>
          <w:sz w:val="20"/>
          <w:szCs w:val="20"/>
          <w:rtl w:val="0"/>
        </w:rPr>
        <w:t xml:space="preserve">Proven demand.  </w:t>
      </w:r>
      <w:r w:rsidDel="00000000" w:rsidR="00000000" w:rsidRPr="00000000">
        <w:rPr>
          <w:rFonts w:ascii="Arial" w:cs="Arial" w:eastAsia="Arial" w:hAnsi="Arial"/>
          <w:b w:val="0"/>
          <w:bCs w:val="0"/>
          <w:i w:val="0"/>
          <w:iCs w:val="0"/>
          <w:smallCaps w:val="0"/>
          <w:color w:val="2d2d2d"/>
          <w:sz w:val="20"/>
          <w:szCs w:val="20"/>
          <w:rtl w:val="0"/>
        </w:rPr>
        <w:t xml:space="preserve">Refused bookings exceeded €300,000 in 2025 and approach €500,000 in 2026. The demand is real, growing and documented. This project does not create a new market — it provides capacity for one that already exists and is turning business away every season.</w:t>
      </w:r>
      <w:r w:rsidDel="00000000" w:rsidR="00000000" w:rsidRPr="00000000">
        <w:rPr>
          <w:rtl w:val="0"/>
        </w:rPr>
      </w:r>
    </w:p>
    <w:p w:rsidR="00000000" w:rsidDel="00000000" w:rsidP="00000000" w:rsidRDefault="00000000" w:rsidRPr="00000000" w14:paraId="000002E2">
      <w:pPr>
        <w:spacing w:after="60" w:before="0" w:line="288" w:lineRule="auto"/>
        <w:jc w:val="left"/>
        <w:rPr/>
      </w:pPr>
      <w:r w:rsidDel="00000000" w:rsidR="00000000" w:rsidRPr="00000000">
        <w:rPr>
          <w:rFonts w:ascii="Arial" w:cs="Arial" w:eastAsia="Arial" w:hAnsi="Arial"/>
          <w:b w:val="1"/>
          <w:bCs w:val="1"/>
          <w:i w:val="0"/>
          <w:iCs w:val="0"/>
          <w:smallCaps w:val="0"/>
          <w:color w:val="1f3864"/>
          <w:sz w:val="20"/>
          <w:szCs w:val="20"/>
          <w:rtl w:val="0"/>
        </w:rPr>
        <w:t xml:space="preserve">Scarce land.  </w:t>
      </w:r>
      <w:r w:rsidDel="00000000" w:rsidR="00000000" w:rsidRPr="00000000">
        <w:rPr>
          <w:rFonts w:ascii="Arial" w:cs="Arial" w:eastAsia="Arial" w:hAnsi="Arial"/>
          <w:b w:val="0"/>
          <w:bCs w:val="0"/>
          <w:i w:val="0"/>
          <w:iCs w:val="0"/>
          <w:smallCaps w:val="0"/>
          <w:color w:val="2d2d2d"/>
          <w:sz w:val="20"/>
          <w:szCs w:val="20"/>
          <w:rtl w:val="0"/>
        </w:rPr>
        <w:t xml:space="preserve">Panoramic, beach-proximate, buildable plots inside villa limits in this neighbourhood are genuinely finite. Three have been sourced, negotiations are at an advanced stage, and the window is now. This combination of attributes does not regularly come to market on Antiparos.</w:t>
      </w:r>
      <w:r w:rsidDel="00000000" w:rsidR="00000000" w:rsidRPr="00000000">
        <w:rPr>
          <w:rtl w:val="0"/>
        </w:rPr>
      </w:r>
    </w:p>
    <w:p w:rsidR="00000000" w:rsidDel="00000000" w:rsidP="00000000" w:rsidRDefault="00000000" w:rsidRPr="00000000" w14:paraId="000002E3">
      <w:pPr>
        <w:spacing w:after="60" w:before="0" w:line="288" w:lineRule="auto"/>
        <w:jc w:val="left"/>
        <w:rPr/>
      </w:pPr>
      <w:r w:rsidDel="00000000" w:rsidR="00000000" w:rsidRPr="00000000">
        <w:rPr>
          <w:rFonts w:ascii="Arial" w:cs="Arial" w:eastAsia="Arial" w:hAnsi="Arial"/>
          <w:b w:val="1"/>
          <w:bCs w:val="1"/>
          <w:i w:val="0"/>
          <w:iCs w:val="0"/>
          <w:smallCaps w:val="0"/>
          <w:color w:val="1f3864"/>
          <w:sz w:val="20"/>
          <w:szCs w:val="20"/>
          <w:rtl w:val="0"/>
        </w:rPr>
        <w:t xml:space="preserve">Strong collateral.  </w:t>
      </w:r>
      <w:r w:rsidDel="00000000" w:rsidR="00000000" w:rsidRPr="00000000">
        <w:rPr>
          <w:rFonts w:ascii="Arial Unicode MS" w:cs="Arial Unicode MS" w:eastAsia="Arial Unicode MS" w:hAnsi="Arial Unicode MS"/>
          <w:b w:val="0"/>
          <w:bCs w:val="0"/>
          <w:i w:val="0"/>
          <w:iCs w:val="0"/>
          <w:smallCaps w:val="0"/>
          <w:color w:val="2d2d2d"/>
          <w:sz w:val="20"/>
          <w:szCs w:val="20"/>
          <w:rtl w:val="0"/>
        </w:rPr>
        <w:t>A {{LOAN_AMOUNT}} facility secured against completed assets valued at ≥{{PORTFOLIO_VALUE}} — LTV {{LTV}}, asset coverage {{ASSET_COVERAGE}}. Even at a 15% stressed valuation, asset value remains {{STRESS_BUFFER_SHORT}} above the loan. The lender's exposure is covered by asset value alone, independent of operating performance.</w:t>
      </w:r>
      <w:r w:rsidDel="00000000" w:rsidR="00000000" w:rsidRPr="00000000">
        <w:rPr>
          <w:rtl w:val="0"/>
        </w:rPr>
      </w:r>
    </w:p>
    <w:p w:rsidR="00000000" w:rsidDel="00000000" w:rsidP="00000000" w:rsidRDefault="00000000" w:rsidRPr="00000000" w14:paraId="000002E4">
      <w:pPr>
        <w:spacing w:after="60" w:before="0" w:line="288" w:lineRule="auto"/>
        <w:jc w:val="left"/>
        <w:rPr/>
      </w:pPr>
      <w:r w:rsidDel="00000000" w:rsidR="00000000" w:rsidRPr="00000000">
        <w:rPr>
          <w:rFonts w:ascii="Arial" w:cs="Arial" w:eastAsia="Arial" w:hAnsi="Arial"/>
          <w:b w:val="1"/>
          <w:bCs w:val="1"/>
          <w:i w:val="0"/>
          <w:iCs w:val="0"/>
          <w:smallCaps w:val="0"/>
          <w:color w:val="1f3864"/>
          <w:sz w:val="20"/>
          <w:szCs w:val="20"/>
          <w:rtl w:val="0"/>
        </w:rPr>
        <w:t xml:space="preserve">Operational infrastructure.  </w:t>
      </w:r>
      <w:r w:rsidDel="00000000" w:rsidR="00000000" w:rsidRPr="00000000">
        <w:rPr>
          <w:rFonts w:ascii="Arial" w:cs="Arial" w:eastAsia="Arial" w:hAnsi="Arial"/>
          <w:b w:val="0"/>
          <w:bCs w:val="0"/>
          <w:i w:val="0"/>
          <w:iCs w:val="0"/>
          <w:smallCaps w:val="0"/>
          <w:color w:val="2d2d2d"/>
          <w:sz w:val="20"/>
          <w:szCs w:val="20"/>
          <w:rtl w:val="0"/>
        </w:rPr>
        <w:t xml:space="preserve">Every property launches under long-term exclusive management contracts with Villa Lev Group, backed by five years of proven operations, an existing client base, and a formal operator alignment mechanism. There is no cold start, no team to build, no market to develop.</w:t>
      </w:r>
      <w:r w:rsidDel="00000000" w:rsidR="00000000" w:rsidRPr="00000000">
        <w:rPr>
          <w:rtl w:val="0"/>
        </w:rPr>
      </w:r>
    </w:p>
    <w:p w:rsidR="00000000" w:rsidDel="00000000" w:rsidP="00000000" w:rsidRDefault="00000000" w:rsidRPr="00000000" w14:paraId="000002E5">
      <w:pPr>
        <w:spacing w:after="80" w:before="0" w:line="288" w:lineRule="auto"/>
        <w:jc w:val="left"/>
        <w:rPr/>
      </w:pPr>
      <w:r w:rsidDel="00000000" w:rsidR="00000000" w:rsidRPr="00000000">
        <w:rPr>
          <w:rFonts w:ascii="Arial" w:cs="Arial" w:eastAsia="Arial" w:hAnsi="Arial"/>
          <w:b w:val="1"/>
          <w:bCs w:val="1"/>
          <w:i w:val="0"/>
          <w:iCs w:val="0"/>
          <w:smallCaps w:val="0"/>
          <w:color w:val="1f3864"/>
          <w:sz w:val="20"/>
          <w:szCs w:val="20"/>
          <w:rtl w:val="0"/>
        </w:rPr>
        <w:t>Financing optionality.  The Development Law grant (€2,894,400, eligibility confirmed) would be received before Phase 2 begins — when only Phase 1 equity of €337,500 has been injected. The grant absorbs the bulk of construction costs, leaving a total equity requirement of €819,900 — €723,600 less than the commercial loan standalone. Annual debt service drops 47% and DSCR improves from 1.81× to 3.41×.</w:t>
      </w:r>
      <w:r w:rsidDel="00000000" w:rsidR="00000000" w:rsidRPr="00000000">
        <w:rPr>
          <w:rFonts w:ascii="Arial" w:cs="Arial" w:eastAsia="Arial" w:hAnsi="Arial"/>
          <w:b w:val="0"/>
          <w:bCs w:val="0"/>
          <w:i w:val="0"/>
          <w:iCs w:val="0"/>
          <w:smallCaps w:val="0"/>
          <w:color w:val="2d2d2d"/>
          <w:sz w:val="20"/>
          <w:szCs w:val="20"/>
          <w:rtl w:val="0"/>
        </w:rPr>
      </w:r>
      <w:r w:rsidDel="00000000" w:rsidR="00000000" w:rsidRPr="00000000">
        <w:rPr>
          <w:rtl w:val="0"/>
        </w:rPr>
      </w:r>
    </w:p>
    <w:p w:rsidR="00000000" w:rsidDel="00000000" w:rsidP="00000000" w:rsidRDefault="00000000" w:rsidRPr="00000000" w14:paraId="000002E6">
      <w:pPr>
        <w:spacing w:after="40" w:before="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3864" w:space="0" w:sz="8" w:val="single"/>
              <w:left w:color="1f3864" w:space="0" w:sz="8" w:val="single"/>
              <w:bottom w:color="1f3864" w:space="0" w:sz="8" w:val="single"/>
              <w:right w:color="cccccc" w:space="0" w:sz="4" w:val="single"/>
            </w:tcBorders>
            <w:shd w:fill="f4f2ee" w:val="clear"/>
            <w:tcMar>
              <w:top w:w="120.0" w:type="dxa"/>
              <w:left w:w="180.0" w:type="dxa"/>
              <w:bottom w:w="120.0" w:type="dxa"/>
              <w:right w:w="180.0" w:type="dxa"/>
            </w:tcMar>
          </w:tcPr>
          <w:p w:rsidR="00000000" w:rsidDel="00000000" w:rsidP="00000000" w:rsidRDefault="00000000" w:rsidRPr="00000000" w14:paraId="000002E7">
            <w:pPr>
              <w:spacing w:after="80" w:before="0" w:line="276" w:lineRule="auto"/>
              <w:jc w:val="left"/>
              <w:rPr/>
            </w:pPr>
            <w:r w:rsidDel="00000000" w:rsidR="00000000" w:rsidRPr="00000000">
              <w:rPr>
                <w:rFonts w:ascii="Arial" w:cs="Arial" w:eastAsia="Arial" w:hAnsi="Arial"/>
                <w:b w:val="1"/>
                <w:bCs w:val="1"/>
                <w:i w:val="0"/>
                <w:iCs w:val="0"/>
                <w:smallCaps w:val="1"/>
                <w:color w:val="1f3864"/>
                <w:sz w:val="16"/>
                <w:szCs w:val="16"/>
                <w:rtl w:val="0"/>
              </w:rPr>
              <w:t xml:space="preserve">PORTFOLIO AT A GLANCE</w:t>
            </w:r>
            <w:r w:rsidDel="00000000" w:rsidR="00000000" w:rsidRPr="00000000">
              <w:rPr>
                <w:rtl w:val="0"/>
              </w:rPr>
            </w:r>
          </w:p>
          <w:p w:rsidR="00000000" w:rsidDel="00000000" w:rsidP="00000000" w:rsidRDefault="00000000" w:rsidRPr="00000000" w14:paraId="000002E8">
            <w:pPr>
              <w:spacing w:after="30" w:before="0" w:line="288" w:lineRule="auto"/>
              <w:jc w:val="left"/>
              <w:rPr/>
            </w:pPr>
            <w:r w:rsidDel="00000000" w:rsidR="00000000" w:rsidRPr="00000000">
              <w:rPr>
                <w:rFonts w:ascii="Arial" w:cs="Arial" w:eastAsia="Arial" w:hAnsi="Arial"/>
                <w:b w:val="0"/>
                <w:bCs w:val="0"/>
                <w:i w:val="0"/>
                <w:iCs w:val="0"/>
                <w:smallCaps w:val="0"/>
                <w:color w:val="888888"/>
                <w:sz w:val="18"/>
                <w:szCs w:val="18"/>
                <w:rtl w:val="0"/>
              </w:rPr>
              <w:t xml:space="preserve">Total investment:  </w:t>
            </w:r>
            <w:r w:rsidDel="00000000" w:rsidR="00000000" w:rsidRPr="00000000">
              <w:rPr>
                <w:rFonts w:ascii="Arial" w:cs="Arial" w:eastAsia="Arial" w:hAnsi="Arial"/>
                <w:b w:val="1"/>
                <w:bCs w:val="1"/>
                <w:i w:val="0"/>
                <w:iCs w:val="0"/>
                <w:smallCaps w:val="0"/>
                <w:color w:val="1f3864"/>
                <w:sz w:val="18"/>
                <w:szCs w:val="18"/>
                <w:rtl w:val="0"/>
              </w:rPr>
              <w:t xml:space="preserve">€6,174,000</w:t>
            </w:r>
            <w:r w:rsidDel="00000000" w:rsidR="00000000" w:rsidRPr="00000000">
              <w:rPr>
                <w:rtl w:val="0"/>
              </w:rPr>
            </w:r>
          </w:p>
          <w:p w:rsidR="00000000" w:rsidDel="00000000" w:rsidP="00000000" w:rsidRDefault="00000000" w:rsidRPr="00000000" w14:paraId="000002E9">
            <w:pPr>
              <w:spacing w:after="80" w:before="0" w:line="276" w:lineRule="auto"/>
              <w:jc w:val="left"/>
              <w:rPr/>
            </w:pPr>
            <w:r w:rsidDel="00000000" w:rsidR="00000000" w:rsidRPr="00000000">
              <w:rPr>
                <w:rFonts w:ascii="Arial" w:cs="Arial" w:eastAsia="Arial" w:hAnsi="Arial"/>
                <w:b w:val="0"/>
                <w:bCs w:val="0"/>
                <w:i w:val="1"/>
                <w:iCs w:val="1"/>
                <w:smallCaps w:val="0"/>
                <w:color w:val="888888"/>
                <w:sz w:val="17"/>
                <w:szCs w:val="17"/>
                <w:rtl w:val="0"/>
              </w:rPr>
              <w:t xml:space="preserve">3 plots · 950m² · 4 villas + 4 suites + wellness hub</w:t>
            </w:r>
            <w:r w:rsidDel="00000000" w:rsidR="00000000" w:rsidRPr="00000000">
              <w:rPr>
                <w:rtl w:val="0"/>
              </w:rPr>
            </w:r>
          </w:p>
          <w:p w:rsidR="00000000" w:rsidDel="00000000" w:rsidP="00000000" w:rsidRDefault="00000000" w:rsidRPr="00000000" w14:paraId="000002EA">
            <w:pPr>
              <w:spacing w:after="30" w:before="0" w:line="276" w:lineRule="auto"/>
              <w:jc w:val="left"/>
              <w:rPr/>
            </w:pPr>
            <w:r w:rsidDel="00000000" w:rsidR="00000000" w:rsidRPr="00000000">
              <w:rPr>
                <w:rFonts w:ascii="Arial" w:cs="Arial" w:eastAsia="Arial" w:hAnsi="Arial"/>
                <w:b w:val="1"/>
                <w:bCs w:val="1"/>
                <w:i w:val="0"/>
                <w:iCs w:val="0"/>
                <w:smallCaps w:val="1"/>
                <w:color w:val="888888"/>
                <w:sz w:val="15"/>
                <w:szCs w:val="15"/>
                <w:rtl w:val="0"/>
              </w:rPr>
              <w:t xml:space="preserve">COMMERCIAL LOAN</w:t>
            </w:r>
            <w:r w:rsidDel="00000000" w:rsidR="00000000" w:rsidRPr="00000000">
              <w:rPr>
                <w:rtl w:val="0"/>
              </w:rPr>
            </w:r>
          </w:p>
          <w:p w:rsidR="00000000" w:rsidDel="00000000" w:rsidP="00000000" w:rsidRDefault="00000000" w:rsidRPr="00000000" w14:paraId="000002EB">
            <w:pPr>
              <w:spacing w:after="2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Equity required:  </w:t>
            </w:r>
            <w:r w:rsidDel="00000000" w:rsidR="00000000" w:rsidRPr="00000000">
              <w:rPr>
                <w:rFonts w:ascii="Arial" w:cs="Arial" w:eastAsia="Arial" w:hAnsi="Arial"/>
                <w:b w:val="1"/>
                <w:bCs w:val="1"/>
                <w:i w:val="0"/>
                <w:iCs w:val="0"/>
                <w:smallCaps w:val="0"/>
                <w:color w:val="2d2d2d"/>
                <w:sz w:val="17"/>
                <w:szCs w:val="17"/>
                <w:rtl w:val="0"/>
              </w:rPr>
              <w:t xml:space="preserve">€1,543,500</w:t>
            </w:r>
            <w:r w:rsidDel="00000000" w:rsidR="00000000" w:rsidRPr="00000000">
              <w:rPr>
                <w:rtl w:val="0"/>
              </w:rPr>
            </w:r>
          </w:p>
          <w:p w:rsidR="00000000" w:rsidDel="00000000" w:rsidP="00000000" w:rsidRDefault="00000000" w:rsidRPr="00000000" w14:paraId="000002EC">
            <w:pPr>
              <w:spacing w:after="2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Debt service:  </w:t>
            </w:r>
            <w:r w:rsidDel="00000000" w:rsidR="00000000" w:rsidRPr="00000000">
              <w:rPr>
                <w:rFonts w:ascii="Arial Unicode MS" w:cs="Arial Unicode MS" w:eastAsia="Arial Unicode MS" w:hAnsi="Arial Unicode MS"/>
                <w:b w:val="1"/>
                <w:bCs w:val="1"/>
                <w:i w:val="0"/>
                <w:iCs w:val="0"/>
                <w:smallCaps w:val="0"/>
                <w:color w:val="2d2d2d"/>
                <w:sz w:val="17"/>
                <w:szCs w:val="17"/>
                <w:rtl w:val="0"/>
              </w:rPr>
              <w:t xml:space="preserve">≈€492,943/yr</w:t>
            </w:r>
            <w:r w:rsidDel="00000000" w:rsidR="00000000" w:rsidRPr="00000000">
              <w:rPr>
                <w:rtl w:val="0"/>
              </w:rPr>
            </w:r>
          </w:p>
          <w:p w:rsidR="00000000" w:rsidDel="00000000" w:rsidP="00000000" w:rsidRDefault="00000000" w:rsidRPr="00000000" w14:paraId="000002ED">
            <w:pPr>
              <w:spacing w:after="2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DSCR (realistic):  </w:t>
            </w:r>
            <w:r w:rsidDel="00000000" w:rsidR="00000000" w:rsidRPr="00000000">
              <w:rPr>
                <w:rFonts w:ascii="Arial" w:cs="Arial" w:eastAsia="Arial" w:hAnsi="Arial"/>
                <w:b w:val="1"/>
                <w:bCs w:val="1"/>
                <w:i w:val="0"/>
                <w:iCs w:val="0"/>
                <w:smallCaps w:val="0"/>
                <w:color w:val="1f3864"/>
                <w:sz w:val="17"/>
                <w:szCs w:val="17"/>
                <w:rtl w:val="0"/>
              </w:rPr>
              <w:t>1.81×</w:t>
            </w:r>
            <w:r w:rsidDel="00000000" w:rsidR="00000000" w:rsidRPr="00000000">
              <w:rPr>
                <w:rtl w:val="0"/>
              </w:rPr>
            </w:r>
          </w:p>
          <w:p w:rsidR="00000000" w:rsidDel="00000000" w:rsidP="00000000" w:rsidRDefault="00000000" w:rsidRPr="00000000" w14:paraId="000002EE">
            <w:pPr>
              <w:spacing w:after="8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DSCR (downside):  </w:t>
            </w:r>
            <w:r w:rsidDel="00000000" w:rsidR="00000000" w:rsidRPr="00000000">
              <w:rPr>
                <w:rFonts w:ascii="Arial" w:cs="Arial" w:eastAsia="Arial" w:hAnsi="Arial"/>
                <w:b w:val="1"/>
                <w:bCs w:val="1"/>
                <w:i w:val="0"/>
                <w:iCs w:val="0"/>
                <w:smallCaps w:val="0"/>
                <w:color w:val="1f3864"/>
                <w:sz w:val="17"/>
                <w:szCs w:val="17"/>
                <w:rtl w:val="0"/>
              </w:rPr>
              <w:t>1.42×</w:t>
            </w:r>
            <w:r w:rsidDel="00000000" w:rsidR="00000000" w:rsidRPr="00000000">
              <w:rPr>
                <w:rtl w:val="0"/>
              </w:rPr>
            </w:r>
          </w:p>
        </w:tc>
        <w:tc>
          <w:tcPr>
            <w:tcBorders>
              <w:top w:color="1f3864" w:space="0" w:sz="8" w:val="single"/>
              <w:left w:color="cccccc" w:space="0" w:sz="4" w:val="single"/>
              <w:bottom w:color="1f3864" w:space="0" w:sz="8" w:val="single"/>
              <w:right w:color="1f3864" w:space="0" w:sz="8" w:val="single"/>
            </w:tcBorders>
            <w:shd w:fill="eef4f8" w:val="clear"/>
            <w:tcMar>
              <w:top w:w="120.0" w:type="dxa"/>
              <w:left w:w="180.0" w:type="dxa"/>
              <w:bottom w:w="120.0" w:type="dxa"/>
              <w:right w:w="180.0" w:type="dxa"/>
            </w:tcMar>
          </w:tcPr>
          <w:p w:rsidR="00000000" w:rsidDel="00000000" w:rsidP="00000000" w:rsidRDefault="00000000" w:rsidRPr="00000000" w14:paraId="000002EF">
            <w:pPr>
              <w:spacing w:after="80" w:before="0" w:line="276" w:lineRule="auto"/>
              <w:jc w:val="left"/>
              <w:rPr/>
            </w:pPr>
            <w:r w:rsidDel="00000000" w:rsidR="00000000" w:rsidRPr="00000000">
              <w:rPr>
                <w:rFonts w:ascii="Arial" w:cs="Arial" w:eastAsia="Arial" w:hAnsi="Arial"/>
                <w:b w:val="1"/>
                <w:bCs w:val="1"/>
                <w:i w:val="0"/>
                <w:iCs w:val="0"/>
                <w:smallCaps w:val="1"/>
                <w:color w:val="0b5563"/>
                <w:sz w:val="16"/>
                <w:szCs w:val="16"/>
                <w:rtl w:val="0"/>
              </w:rPr>
              <w:t xml:space="preserve">STABILISED OPERATIONS (2031+)</w:t>
            </w:r>
            <w:r w:rsidDel="00000000" w:rsidR="00000000" w:rsidRPr="00000000">
              <w:rPr>
                <w:rtl w:val="0"/>
              </w:rPr>
            </w:r>
          </w:p>
          <w:p w:rsidR="00000000" w:rsidDel="00000000" w:rsidP="00000000" w:rsidRDefault="00000000" w:rsidRPr="00000000" w14:paraId="000002F0">
            <w:pPr>
              <w:spacing w:after="30" w:before="0" w:line="288" w:lineRule="auto"/>
              <w:jc w:val="left"/>
              <w:rPr/>
            </w:pPr>
            <w:r w:rsidDel="00000000" w:rsidR="00000000" w:rsidRPr="00000000">
              <w:rPr>
                <w:rFonts w:ascii="Arial" w:cs="Arial" w:eastAsia="Arial" w:hAnsi="Arial"/>
                <w:b w:val="0"/>
                <w:bCs w:val="0"/>
                <w:i w:val="0"/>
                <w:iCs w:val="0"/>
                <w:smallCaps w:val="0"/>
                <w:color w:val="888888"/>
                <w:sz w:val="18"/>
                <w:szCs w:val="18"/>
                <w:rtl w:val="0"/>
              </w:rPr>
              <w:t xml:space="preserve">Revenue:  </w:t>
            </w:r>
            <w:r w:rsidDel="00000000" w:rsidR="00000000" w:rsidRPr="00000000">
              <w:rPr>
                <w:rFonts w:ascii="Arial" w:cs="Arial" w:eastAsia="Arial" w:hAnsi="Arial"/>
                <w:b w:val="1"/>
                <w:bCs w:val="1"/>
                <w:i w:val="0"/>
                <w:iCs w:val="0"/>
                <w:smallCaps w:val="0"/>
                <w:color w:val="1f3864"/>
                <w:sz w:val="18"/>
                <w:szCs w:val="18"/>
                <w:rtl w:val="0"/>
              </w:rPr>
              <w:t xml:space="preserve">€1,169,245/yr</w:t>
            </w:r>
            <w:r w:rsidDel="00000000" w:rsidR="00000000" w:rsidRPr="00000000">
              <w:rPr>
                <w:rtl w:val="0"/>
              </w:rPr>
            </w:r>
          </w:p>
          <w:p w:rsidR="00000000" w:rsidDel="00000000" w:rsidP="00000000" w:rsidRDefault="00000000" w:rsidRPr="00000000" w14:paraId="000002F1">
            <w:pPr>
              <w:spacing w:after="30" w:before="0" w:line="288" w:lineRule="auto"/>
              <w:jc w:val="left"/>
              <w:rPr/>
            </w:pPr>
            <w:r w:rsidDel="00000000" w:rsidR="00000000" w:rsidRPr="00000000">
              <w:rPr>
                <w:rFonts w:ascii="Arial" w:cs="Arial" w:eastAsia="Arial" w:hAnsi="Arial"/>
                <w:b w:val="0"/>
                <w:bCs w:val="0"/>
                <w:i w:val="0"/>
                <w:iCs w:val="0"/>
                <w:smallCaps w:val="0"/>
                <w:color w:val="888888"/>
                <w:sz w:val="18"/>
                <w:szCs w:val="18"/>
                <w:rtl w:val="0"/>
              </w:rPr>
              <w:t xml:space="preserve">EBITDA:  </w:t>
            </w:r>
            <w:r w:rsidDel="00000000" w:rsidR="00000000" w:rsidRPr="00000000">
              <w:rPr>
                <w:rFonts w:ascii="Arial" w:cs="Arial" w:eastAsia="Arial" w:hAnsi="Arial"/>
                <w:b w:val="1"/>
                <w:bCs w:val="1"/>
                <w:i w:val="0"/>
                <w:iCs w:val="0"/>
                <w:smallCaps w:val="0"/>
                <w:color w:val="1f3864"/>
                <w:sz w:val="18"/>
                <w:szCs w:val="18"/>
                <w:rtl w:val="0"/>
              </w:rPr>
              <w:t>€893,745/yr</w:t>
            </w:r>
            <w:r w:rsidDel="00000000" w:rsidR="00000000" w:rsidRPr="00000000">
              <w:rPr>
                <w:rtl w:val="0"/>
              </w:rPr>
            </w:r>
          </w:p>
          <w:p w:rsidR="00000000" w:rsidDel="00000000" w:rsidP="00000000" w:rsidRDefault="00000000" w:rsidRPr="00000000" w14:paraId="000002F2">
            <w:pPr>
              <w:spacing w:after="80" w:before="0" w:line="288" w:lineRule="auto"/>
              <w:jc w:val="left"/>
              <w:rPr/>
            </w:pPr>
            <w:r w:rsidDel="00000000" w:rsidR="00000000" w:rsidRPr="00000000">
              <w:rPr>
                <w:rFonts w:ascii="Arial" w:cs="Arial" w:eastAsia="Arial" w:hAnsi="Arial"/>
                <w:b w:val="0"/>
                <w:bCs w:val="0"/>
                <w:i w:val="0"/>
                <w:iCs w:val="0"/>
                <w:smallCaps w:val="0"/>
                <w:color w:val="888888"/>
                <w:sz w:val="18"/>
                <w:szCs w:val="18"/>
                <w:rtl w:val="0"/>
              </w:rPr>
              <w:t>EBITDA margin:  76.4%</w:t>
            </w:r>
            <w:r w:rsidDel="00000000" w:rsidR="00000000" w:rsidRPr="00000000">
              <w:rPr>
                <w:rFonts w:ascii="Arial" w:cs="Arial" w:eastAsia="Arial" w:hAnsi="Arial"/>
                <w:b w:val="1"/>
                <w:bCs w:val="1"/>
                <w:i w:val="0"/>
                <w:iCs w:val="0"/>
                <w:smallCaps w:val="0"/>
                <w:color w:val="1f3864"/>
                <w:sz w:val="18"/>
                <w:szCs w:val="18"/>
                <w:rtl w:val="0"/>
              </w:rPr>
            </w:r>
            <w:r w:rsidDel="00000000" w:rsidR="00000000" w:rsidRPr="00000000">
              <w:rPr>
                <w:rtl w:val="0"/>
              </w:rPr>
            </w:r>
          </w:p>
          <w:p w:rsidR="00000000" w:rsidDel="00000000" w:rsidP="00000000" w:rsidRDefault="00000000" w:rsidRPr="00000000" w14:paraId="000002F3">
            <w:pPr>
              <w:spacing w:after="30" w:before="0" w:line="276" w:lineRule="auto"/>
              <w:jc w:val="left"/>
              <w:rPr/>
            </w:pPr>
            <w:r w:rsidDel="00000000" w:rsidR="00000000" w:rsidRPr="00000000">
              <w:rPr>
                <w:rFonts w:ascii="Arial" w:cs="Arial" w:eastAsia="Arial" w:hAnsi="Arial"/>
                <w:b w:val="1"/>
                <w:bCs w:val="1"/>
                <w:i w:val="0"/>
                <w:iCs w:val="0"/>
                <w:smallCaps w:val="1"/>
                <w:color w:val="888888"/>
                <w:sz w:val="15"/>
                <w:szCs w:val="15"/>
                <w:rtl w:val="0"/>
              </w:rPr>
              <w:t xml:space="preserve">DEV. LAW GRANT PATH</w:t>
            </w:r>
            <w:r w:rsidDel="00000000" w:rsidR="00000000" w:rsidRPr="00000000">
              <w:rPr>
                <w:rtl w:val="0"/>
              </w:rPr>
            </w:r>
          </w:p>
          <w:p w:rsidR="00000000" w:rsidDel="00000000" w:rsidP="00000000" w:rsidRDefault="00000000" w:rsidRPr="00000000" w14:paraId="000002F4">
            <w:pPr>
              <w:spacing w:after="2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Equity required:  </w:t>
            </w:r>
            <w:r w:rsidDel="00000000" w:rsidR="00000000" w:rsidRPr="00000000">
              <w:rPr>
                <w:rFonts w:ascii="Arial" w:cs="Arial" w:eastAsia="Arial" w:hAnsi="Arial"/>
                <w:b w:val="1"/>
                <w:bCs w:val="1"/>
                <w:i w:val="0"/>
                <w:iCs w:val="0"/>
                <w:smallCaps w:val="0"/>
                <w:color w:val="0b5563"/>
                <w:sz w:val="17"/>
                <w:szCs w:val="17"/>
                <w:rtl w:val="0"/>
              </w:rPr>
              <w:t xml:space="preserve">€819,900</w:t>
            </w:r>
            <w:r w:rsidDel="00000000" w:rsidR="00000000" w:rsidRPr="00000000">
              <w:rPr>
                <w:rtl w:val="0"/>
              </w:rPr>
            </w:r>
          </w:p>
          <w:p w:rsidR="00000000" w:rsidDel="00000000" w:rsidP="00000000" w:rsidRDefault="00000000" w:rsidRPr="00000000" w14:paraId="000002F5">
            <w:pPr>
              <w:spacing w:after="2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Debt service:  </w:t>
            </w:r>
            <w:r w:rsidDel="00000000" w:rsidR="00000000" w:rsidRPr="00000000">
              <w:rPr>
                <w:rFonts w:ascii="Arial Unicode MS" w:cs="Arial Unicode MS" w:eastAsia="Arial Unicode MS" w:hAnsi="Arial Unicode MS"/>
                <w:b w:val="1"/>
                <w:bCs w:val="1"/>
                <w:i w:val="0"/>
                <w:iCs w:val="0"/>
                <w:smallCaps w:val="0"/>
                <w:color w:val="0b5563"/>
                <w:sz w:val="17"/>
                <w:szCs w:val="17"/>
                <w:rtl w:val="0"/>
              </w:rPr>
              <w:t>≈€261,849/yr</w:t>
            </w:r>
            <w:r w:rsidDel="00000000" w:rsidR="00000000" w:rsidRPr="00000000">
              <w:rPr>
                <w:rtl w:val="0"/>
              </w:rPr>
            </w:r>
          </w:p>
          <w:p w:rsidR="00000000" w:rsidDel="00000000" w:rsidP="00000000" w:rsidRDefault="00000000" w:rsidRPr="00000000" w14:paraId="000002F6">
            <w:pPr>
              <w:spacing w:after="80" w:before="0" w:line="288" w:lineRule="auto"/>
              <w:jc w:val="left"/>
              <w:rPr/>
            </w:pPr>
            <w:r w:rsidDel="00000000" w:rsidR="00000000" w:rsidRPr="00000000">
              <w:rPr>
                <w:rFonts w:ascii="Arial" w:cs="Arial" w:eastAsia="Arial" w:hAnsi="Arial"/>
                <w:b w:val="0"/>
                <w:bCs w:val="0"/>
                <w:i w:val="0"/>
                <w:iCs w:val="0"/>
                <w:smallCaps w:val="0"/>
                <w:color w:val="888888"/>
                <w:sz w:val="17"/>
                <w:szCs w:val="17"/>
                <w:rtl w:val="0"/>
              </w:rPr>
              <w:t xml:space="preserve">DSCR (realistic):  </w:t>
            </w:r>
            <w:r w:rsidDel="00000000" w:rsidR="00000000" w:rsidRPr="00000000">
              <w:rPr>
                <w:rFonts w:ascii="Arial" w:cs="Arial" w:eastAsia="Arial" w:hAnsi="Arial"/>
                <w:b w:val="1"/>
                <w:bCs w:val="1"/>
                <w:i w:val="0"/>
                <w:iCs w:val="0"/>
                <w:smallCaps w:val="0"/>
                <w:color w:val="0b5563"/>
                <w:sz w:val="17"/>
                <w:szCs w:val="17"/>
                <w:rtl w:val="0"/>
              </w:rPr>
              <w:t>3.41×</w:t>
            </w:r>
            <w:r w:rsidDel="00000000" w:rsidR="00000000" w:rsidRPr="00000000">
              <w:rPr>
                <w:rtl w:val="0"/>
              </w:rPr>
            </w:r>
          </w:p>
        </w:tc>
      </w:tr>
    </w:tbl>
    <w:p w:rsidR="00000000" w:rsidDel="00000000" w:rsidP="00000000" w:rsidRDefault="00000000" w:rsidRPr="00000000" w14:paraId="000002F7">
      <w:pPr>
        <w:spacing w:after="80" w:before="80" w:lineRule="auto"/>
        <w:rPr/>
      </w:pPr>
      <w:r w:rsidDel="00000000" w:rsidR="00000000" w:rsidRPr="00000000">
        <w:rPr>
          <w:rtl w:val="0"/>
        </w:rPr>
      </w:r>
    </w:p>
    <w:p w:rsidR="00000000" w:rsidDel="00000000" w:rsidP="00000000" w:rsidRDefault="00000000" w:rsidRPr="00000000" w14:paraId="000002F8">
      <w:pPr>
        <w:spacing w:after="40" w:before="0" w:line="276" w:lineRule="auto"/>
        <w:jc w:val="center"/>
        <w:rPr/>
      </w:pPr>
      <w:r w:rsidDel="00000000" w:rsidR="00000000" w:rsidRPr="00000000">
        <w:rPr>
          <w:rFonts w:ascii="Arial" w:cs="Arial" w:eastAsia="Arial" w:hAnsi="Arial"/>
          <w:b w:val="0"/>
          <w:bCs w:val="0"/>
          <w:i w:val="1"/>
          <w:iCs w:val="1"/>
          <w:smallCaps w:val="0"/>
          <w:color w:val="888888"/>
          <w:sz w:val="16"/>
          <w:szCs w:val="16"/>
          <w:rtl w:val="0"/>
        </w:rPr>
        <w:t xml:space="preserve">Detailed supporting documentation (market study, comparable transactions, booking data) available upon request.</w:t>
      </w:r>
      <w:r w:rsidDel="00000000" w:rsidR="00000000" w:rsidRPr="00000000">
        <w:rPr>
          <w:rtl w:val="0"/>
        </w:rPr>
      </w:r>
    </w:p>
    <w:p w:rsidR="00000000" w:rsidDel="00000000" w:rsidP="00000000" w:rsidRDefault="00000000" w:rsidRPr="00000000" w14:paraId="000002F9">
      <w:pPr>
        <w:spacing w:after="80" w:before="0" w:line="276" w:lineRule="auto"/>
        <w:jc w:val="center"/>
        <w:rPr/>
      </w:pPr>
      <w:r w:rsidDel="00000000" w:rsidR="00000000" w:rsidRPr="00000000">
        <w:rPr>
          <w:rFonts w:ascii="Arial" w:cs="Arial" w:eastAsia="Arial" w:hAnsi="Arial"/>
          <w:b w:val="0"/>
          <w:bCs w:val="0"/>
          <w:i w:val="1"/>
          <w:iCs w:val="1"/>
          <w:smallCaps w:val="0"/>
          <w:color w:val="888888"/>
          <w:sz w:val="16"/>
          <w:szCs w:val="16"/>
          <w:rtl w:val="0"/>
        </w:rPr>
        <w:t xml:space="preserve">Villa Lev Group  ·  Agios Georgios, Antiparos, Greece  ·  www.villalevantiparos.com  ·  Confidential — March 2026</w:t>
      </w:r>
      <w:r w:rsidDel="00000000" w:rsidR="00000000" w:rsidRPr="00000000">
        <w:rPr>
          <w:rtl w:val="0"/>
        </w:rPr>
      </w:r>
    </w:p>
    <w:sectPr>
      <w:pgSz w:h="15840" w:w="12240"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