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34"/>
        </w:rPr>
        <w:t>YazLab II - Proje II Raporu</w:t>
      </w:r>
    </w:p>
    <w:p>
      <w:pPr>
        <w:jc w:val="center"/>
      </w:pPr>
      <w:r>
        <w:rPr>
          <w:rFonts w:ascii="Times New Roman" w:hAnsi="Times New Roman"/>
          <w:b w:val="0"/>
          <w:i w:val="0"/>
          <w:color w:val="000000"/>
          <w:sz w:val="24"/>
        </w:rPr>
        <w:t>Deney Sonuçları ve Karşılaştırmalı Analiz Tabloları</w:t>
      </w:r>
    </w:p>
    <w:p>
      <w:pPr>
        <w:jc w:val="center"/>
      </w:pPr>
      <w:r>
        <w:rPr>
          <w:rFonts w:ascii="Times New Roman" w:hAnsi="Times New Roman"/>
          <w:b w:val="0"/>
          <w:i/>
          <w:color w:val="000000"/>
          <w:sz w:val="22"/>
        </w:rPr>
        <w:t>From Black-Box to Explainability: Probabilistic Automata for Time Series Analysis</w:t>
      </w:r>
    </w:p>
    <w:p/>
    <w:p>
      <w:pPr>
        <w:jc w:val="center"/>
      </w:pPr>
      <w:r>
        <w:rPr>
          <w:rFonts w:ascii="Times New Roman" w:hAnsi="Times New Roman"/>
          <w:b w:val="0"/>
          <w:i w:val="0"/>
          <w:color w:val="000000"/>
          <w:sz w:val="20"/>
        </w:rPr>
        <w:t>Grup No: 34. Grup</w:t>
      </w:r>
    </w:p>
    <w:p>
      <w:pPr>
        <w:jc w:val="center"/>
      </w:pPr>
      <w:r>
        <w:rPr>
          <w:rFonts w:ascii="Times New Roman" w:hAnsi="Times New Roman"/>
          <w:b w:val="0"/>
          <w:i w:val="0"/>
          <w:color w:val="000000"/>
          <w:sz w:val="20"/>
        </w:rPr>
        <w:t>Tarih: 07.06.2026</w:t>
      </w:r>
    </w:p>
    <w:p>
      <w:pPr>
        <w:jc w:val="center"/>
      </w:pPr>
      <w:r>
        <w:rPr>
          <w:rFonts w:ascii="Times New Roman" w:hAnsi="Times New Roman"/>
          <w:b w:val="0"/>
          <w:i w:val="0"/>
          <w:color w:val="000000"/>
          <w:sz w:val="20"/>
        </w:rPr>
        <w:t>GitHub: https://github.com/eyupcanpolat/YazLab-II-Proje-II-Probabilistic-Automata</w:t>
      </w:r>
    </w:p>
    <w:p/>
    <w:p>
      <w:pPr>
        <w:spacing w:before="240" w:after="80"/>
      </w:pPr>
      <w:r>
        <w:rPr>
          <w:rFonts w:ascii="Times New Roman" w:hAnsi="Times New Roman"/>
          <w:b/>
          <w:i w:val="0"/>
          <w:color w:val="000000"/>
          <w:sz w:val="26"/>
        </w:rPr>
        <w:t>Giriş</w:t>
      </w:r>
    </w:p>
    <w:p>
      <w:pPr>
        <w:spacing w:after="120"/>
        <w:jc w:val="both"/>
      </w:pPr>
      <w:r>
        <w:rPr>
          <w:rFonts w:ascii="Times New Roman" w:hAnsi="Times New Roman"/>
          <w:b w:val="0"/>
          <w:i w:val="0"/>
          <w:color w:val="000000"/>
          <w:sz w:val="22"/>
        </w:rPr>
        <w:t>Bu doküman, "From Black-Box to Explainability: Probabilistic Automata for Time Series Analysis" başlıklı projenin SKAB ve BATADAL veri setleri üzerinde elde edilen gerçek deney sonuçlarını ve karşılaştırmalı analiz tablolarını içermektedir. Tüm sayısal değerler projenin outputs/ klasöründeki çıktılardan alınmıştır. LSTM ve GRU black-box performansı, Probabilistic Automata ise açıklanabilirlik tarafını temsil eder.</w:t>
      </w:r>
    </w:p>
    <w:p>
      <w:pPr>
        <w:spacing w:before="240" w:after="80"/>
      </w:pPr>
      <w:r>
        <w:rPr>
          <w:rFonts w:ascii="Times New Roman" w:hAnsi="Times New Roman"/>
          <w:b/>
          <w:i w:val="0"/>
          <w:color w:val="000000"/>
          <w:sz w:val="26"/>
        </w:rPr>
        <w:t>1  Temel Performans ve Stabilite</w:t>
      </w:r>
    </w:p>
    <w:p>
      <w:pPr>
        <w:spacing w:after="120"/>
        <w:jc w:val="both"/>
      </w:pPr>
      <w:r>
        <w:rPr>
          <w:rFonts w:ascii="Times New Roman" w:hAnsi="Times New Roman"/>
          <w:b w:val="0"/>
          <w:i w:val="0"/>
          <w:color w:val="000000"/>
          <w:sz w:val="22"/>
        </w:rPr>
        <w:t>Aşağıdaki tablo, modellerin SKAB ve BATADAL veri setleri üzerindeki ortalama F1-skorlarını ve 5 farklı random seed ile elde edilen standart sapma değerlerini göstermektedir.</w:t>
      </w:r>
    </w:p>
    <w:p>
      <w:pPr>
        <w:spacing w:before="120" w:after="60"/>
        <w:jc w:val="center"/>
      </w:pPr>
      <w:r>
        <w:rPr>
          <w:rFonts w:ascii="Times New Roman" w:hAnsi="Times New Roman"/>
          <w:b/>
          <w:i w:val="0"/>
          <w:color w:val="000000"/>
          <w:sz w:val="20"/>
        </w:rPr>
        <w:t>Tablo 1: Model Performansı ve Stabilitesi (Ortalama F1-score ± Standart Sapma)</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135"/>
        <w:gridCol w:w="3135"/>
        <w:gridCol w:w="3135"/>
      </w:tblGrid>
      <w:tr>
        <w:tc>
          <w:tcPr>
            <w:tcW w:type="dxa" w:w="2268"/>
            <w:tcBorders>
              <w:bottom w:val="single" w:sz="6" w:space="0" w:color="000000"/>
            </w:tcBorders>
          </w:tcPr>
          <w:p>
            <w:pPr>
              <w:jc w:val="center"/>
            </w:pPr>
            <w:r>
              <w:rPr>
                <w:rFonts w:ascii="Times New Roman" w:hAnsi="Times New Roman"/>
                <w:b/>
                <w:i w:val="0"/>
                <w:color w:val="000000"/>
                <w:sz w:val="20"/>
              </w:rPr>
              <w:t>Model</w:t>
            </w:r>
          </w:p>
        </w:tc>
        <w:tc>
          <w:tcPr>
            <w:tcW w:type="dxa" w:w="3118"/>
            <w:tcBorders>
              <w:bottom w:val="single" w:sz="6" w:space="0" w:color="000000"/>
            </w:tcBorders>
          </w:tcPr>
          <w:p>
            <w:pPr>
              <w:jc w:val="center"/>
            </w:pPr>
            <w:r>
              <w:rPr>
                <w:rFonts w:ascii="Times New Roman" w:hAnsi="Times New Roman"/>
                <w:b/>
                <w:i w:val="0"/>
                <w:color w:val="000000"/>
                <w:sz w:val="20"/>
              </w:rPr>
              <w:t>SKAB F1-score</w:t>
            </w:r>
          </w:p>
        </w:tc>
        <w:tc>
          <w:tcPr>
            <w:tcW w:type="dxa" w:w="3118"/>
            <w:tcBorders>
              <w:bottom w:val="single" w:sz="6" w:space="0" w:color="000000"/>
            </w:tcBorders>
          </w:tcPr>
          <w:p>
            <w:pPr>
              <w:jc w:val="center"/>
            </w:pPr>
            <w:r>
              <w:rPr>
                <w:rFonts w:ascii="Times New Roman" w:hAnsi="Times New Roman"/>
                <w:b/>
                <w:i w:val="0"/>
                <w:color w:val="000000"/>
                <w:sz w:val="20"/>
              </w:rPr>
              <w:t>BATADAL F1-score</w:t>
            </w:r>
          </w:p>
        </w:tc>
      </w:tr>
      <w:tr>
        <w:tc>
          <w:tcPr>
            <w:tcW w:type="dxa" w:w="2268"/>
          </w:tcPr>
          <w:p>
            <w:pPr>
              <w:jc w:val="left"/>
            </w:pPr>
            <w:r>
              <w:rPr>
                <w:rFonts w:ascii="Times New Roman" w:hAnsi="Times New Roman"/>
                <w:b w:val="0"/>
                <w:i w:val="0"/>
                <w:color w:val="000000"/>
                <w:sz w:val="20"/>
              </w:rPr>
              <w:t>LSTM</w:t>
            </w:r>
          </w:p>
        </w:tc>
        <w:tc>
          <w:tcPr>
            <w:tcW w:type="dxa" w:w="3118"/>
          </w:tcPr>
          <w:p>
            <w:pPr>
              <w:jc w:val="center"/>
            </w:pPr>
            <w:r>
              <w:rPr>
                <w:rFonts w:ascii="Times New Roman" w:hAnsi="Times New Roman"/>
                <w:b w:val="0"/>
                <w:i w:val="0"/>
                <w:color w:val="000000"/>
                <w:sz w:val="20"/>
              </w:rPr>
              <w:t>0.8015 ± 0.0588</w:t>
            </w:r>
          </w:p>
        </w:tc>
        <w:tc>
          <w:tcPr>
            <w:tcW w:type="dxa" w:w="3118"/>
          </w:tcPr>
          <w:p>
            <w:pPr>
              <w:jc w:val="center"/>
            </w:pPr>
            <w:r>
              <w:rPr>
                <w:rFonts w:ascii="Times New Roman" w:hAnsi="Times New Roman"/>
                <w:b w:val="0"/>
                <w:i w:val="0"/>
                <w:color w:val="000000"/>
                <w:sz w:val="20"/>
              </w:rPr>
              <w:t>0.0000 ± 0.0000</w:t>
            </w:r>
          </w:p>
        </w:tc>
      </w:tr>
      <w:tr>
        <w:tc>
          <w:tcPr>
            <w:tcW w:type="dxa" w:w="2268"/>
          </w:tcPr>
          <w:p>
            <w:pPr>
              <w:jc w:val="left"/>
            </w:pPr>
            <w:r>
              <w:rPr>
                <w:rFonts w:ascii="Times New Roman" w:hAnsi="Times New Roman"/>
                <w:b w:val="0"/>
                <w:i w:val="0"/>
                <w:color w:val="000000"/>
                <w:sz w:val="20"/>
              </w:rPr>
              <w:t>GRU</w:t>
            </w:r>
          </w:p>
        </w:tc>
        <w:tc>
          <w:tcPr>
            <w:tcW w:type="dxa" w:w="3118"/>
          </w:tcPr>
          <w:p>
            <w:pPr>
              <w:jc w:val="center"/>
            </w:pPr>
            <w:r>
              <w:rPr>
                <w:rFonts w:ascii="Times New Roman" w:hAnsi="Times New Roman"/>
                <w:b w:val="0"/>
                <w:i w:val="0"/>
                <w:color w:val="000000"/>
                <w:sz w:val="20"/>
              </w:rPr>
              <w:t>0.8064 ± 0.0622</w:t>
            </w:r>
          </w:p>
        </w:tc>
        <w:tc>
          <w:tcPr>
            <w:tcW w:type="dxa" w:w="3118"/>
          </w:tcPr>
          <w:p>
            <w:pPr>
              <w:jc w:val="center"/>
            </w:pPr>
            <w:r>
              <w:rPr>
                <w:rFonts w:ascii="Times New Roman" w:hAnsi="Times New Roman"/>
                <w:b w:val="0"/>
                <w:i w:val="0"/>
                <w:color w:val="000000"/>
                <w:sz w:val="20"/>
              </w:rPr>
              <w:t>0.0086 ± 0.0173</w:t>
            </w:r>
          </w:p>
        </w:tc>
      </w:tr>
      <w:tr>
        <w:tc>
          <w:tcPr>
            <w:tcW w:type="dxa" w:w="2268"/>
          </w:tcPr>
          <w:p>
            <w:pPr>
              <w:jc w:val="left"/>
            </w:pPr>
            <w:r>
              <w:rPr>
                <w:rFonts w:ascii="Times New Roman" w:hAnsi="Times New Roman"/>
                <w:b w:val="0"/>
                <w:i w:val="0"/>
                <w:color w:val="000000"/>
                <w:sz w:val="20"/>
              </w:rPr>
              <w:t>1D-CNN</w:t>
            </w:r>
          </w:p>
        </w:tc>
        <w:tc>
          <w:tcPr>
            <w:tcW w:type="dxa" w:w="3118"/>
          </w:tcPr>
          <w:p>
            <w:pPr>
              <w:jc w:val="center"/>
            </w:pPr>
            <w:r>
              <w:rPr>
                <w:rFonts w:ascii="Times New Roman" w:hAnsi="Times New Roman"/>
                <w:b w:val="0"/>
                <w:i w:val="0"/>
                <w:color w:val="000000"/>
                <w:sz w:val="20"/>
              </w:rPr>
              <w:t>N/A (opsiyonel, final koşuda kapalı)</w:t>
            </w:r>
          </w:p>
        </w:tc>
        <w:tc>
          <w:tcPr>
            <w:tcW w:type="dxa" w:w="3118"/>
          </w:tcPr>
          <w:p>
            <w:pPr>
              <w:jc w:val="center"/>
            </w:pPr>
            <w:r>
              <w:rPr>
                <w:rFonts w:ascii="Times New Roman" w:hAnsi="Times New Roman"/>
                <w:b w:val="0"/>
                <w:i w:val="0"/>
                <w:color w:val="000000"/>
                <w:sz w:val="20"/>
              </w:rPr>
              <w:t>N/A</w:t>
            </w:r>
          </w:p>
        </w:tc>
      </w:tr>
      <w:tr>
        <w:tc>
          <w:tcPr>
            <w:tcW w:type="dxa" w:w="2268"/>
          </w:tcPr>
          <w:p>
            <w:pPr>
              <w:jc w:val="left"/>
            </w:pPr>
            <w:r>
              <w:rPr>
                <w:rFonts w:ascii="Times New Roman" w:hAnsi="Times New Roman"/>
                <w:b w:val="0"/>
                <w:i w:val="0"/>
                <w:color w:val="000000"/>
                <w:sz w:val="20"/>
              </w:rPr>
              <w:t>Automata</w:t>
            </w:r>
          </w:p>
        </w:tc>
        <w:tc>
          <w:tcPr>
            <w:tcW w:type="dxa" w:w="3118"/>
          </w:tcPr>
          <w:p>
            <w:pPr>
              <w:jc w:val="center"/>
            </w:pPr>
            <w:r>
              <w:rPr>
                <w:rFonts w:ascii="Times New Roman" w:hAnsi="Times New Roman"/>
                <w:b w:val="0"/>
                <w:i w:val="0"/>
                <w:color w:val="000000"/>
                <w:sz w:val="20"/>
              </w:rPr>
              <w:t>0.1429 ± 0.0253</w:t>
            </w:r>
          </w:p>
        </w:tc>
        <w:tc>
          <w:tcPr>
            <w:tcW w:type="dxa" w:w="3118"/>
          </w:tcPr>
          <w:p>
            <w:pPr>
              <w:jc w:val="center"/>
            </w:pPr>
            <w:r>
              <w:rPr>
                <w:rFonts w:ascii="Times New Roman" w:hAnsi="Times New Roman"/>
                <w:b w:val="0"/>
                <w:i w:val="0"/>
                <w:color w:val="000000"/>
                <w:sz w:val="20"/>
              </w:rPr>
              <w:t>0.0685 ± 0.0000</w:t>
            </w:r>
          </w:p>
        </w:tc>
      </w:tr>
    </w:tbl>
    <w:p>
      <w:pPr>
        <w:spacing w:after="40"/>
      </w:pPr>
    </w:p>
    <w:p>
      <w:pPr>
        <w:spacing w:after="120"/>
        <w:jc w:val="both"/>
      </w:pPr>
      <w:r>
        <w:rPr>
          <w:rFonts w:ascii="Times New Roman" w:hAnsi="Times New Roman"/>
          <w:b w:val="0"/>
          <w:i w:val="0"/>
          <w:color w:val="000000"/>
          <w:sz w:val="22"/>
        </w:rPr>
        <w:t>SKAB üzerinde LSTM ve GRU yüksek F1 değerleri üretmiştir. BATADAL üzerinde ise anomaly oranının düşük olması nedeniyle derin öğrenme modelleri çoğunluk sınıfına yönelmiştir. Automata modeli daha düşük F1 üretse de açıklanabilir karar mekanizması sağlamaktadır.</w:t>
      </w:r>
    </w:p>
    <w:p>
      <w:pPr>
        <w:spacing w:before="240" w:after="80"/>
      </w:pPr>
      <w:r>
        <w:rPr>
          <w:rFonts w:ascii="Times New Roman" w:hAnsi="Times New Roman"/>
          <w:b/>
          <w:i w:val="0"/>
          <w:color w:val="000000"/>
          <w:sz w:val="26"/>
        </w:rPr>
        <w:t>2  Gürültü ve Unseen Veri Analizi</w:t>
      </w:r>
    </w:p>
    <w:p>
      <w:pPr>
        <w:spacing w:after="120"/>
        <w:jc w:val="both"/>
      </w:pPr>
      <w:r>
        <w:rPr>
          <w:rFonts w:ascii="Times New Roman" w:hAnsi="Times New Roman"/>
          <w:b w:val="0"/>
          <w:i w:val="0"/>
          <w:color w:val="000000"/>
          <w:sz w:val="22"/>
        </w:rPr>
        <w:t>Modellerin veri kalitesindeki düşüşlere ve daha önce karşılaşılmamış örüntülere (unseen patterns) karşı dayanıklılığını ölçmek için Gaussian gürültü eklenmiş veri seti ve görülmemiş veri senaryosu test edilmiştir. Gürültü deneyi PDF IX-A uyarınca 5 random seed ile çalıştırılmış olup F1/Accuracy/Precision/Recall değerleri 5 seed ortalamasıdır (mean ± std). Automata model+veri açısından deterministik olduğundan tek kez (gürültü çekimi sabit seed=42) üretilmiştir.</w:t>
      </w:r>
    </w:p>
    <w:p>
      <w:pPr>
        <w:spacing w:before="120" w:after="60"/>
        <w:jc w:val="center"/>
      </w:pPr>
      <w:r>
        <w:rPr>
          <w:rFonts w:ascii="Times New Roman" w:hAnsi="Times New Roman"/>
          <w:b/>
          <w:i w:val="0"/>
          <w:color w:val="000000"/>
          <w:sz w:val="20"/>
        </w:rPr>
        <w:t>Tablo 2: Gürültü Etkisi ve Unseen Senaryo Analizi</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176"/>
        <w:gridCol w:w="1176"/>
        <w:gridCol w:w="1176"/>
        <w:gridCol w:w="1176"/>
        <w:gridCol w:w="1176"/>
        <w:gridCol w:w="1176"/>
        <w:gridCol w:w="1176"/>
        <w:gridCol w:w="1176"/>
      </w:tblGrid>
      <w:tr>
        <w:tc>
          <w:tcPr>
            <w:tcW w:type="dxa" w:w="1077"/>
            <w:tcBorders>
              <w:bottom w:val="single" w:sz="6" w:space="0" w:color="000000"/>
            </w:tcBorders>
          </w:tcPr>
          <w:p>
            <w:pPr>
              <w:jc w:val="center"/>
            </w:pPr>
            <w:r>
              <w:rPr>
                <w:rFonts w:ascii="Times New Roman" w:hAnsi="Times New Roman"/>
                <w:b/>
                <w:i w:val="0"/>
                <w:color w:val="000000"/>
                <w:sz w:val="17"/>
              </w:rPr>
              <w:t>Model</w:t>
            </w:r>
          </w:p>
        </w:tc>
        <w:tc>
          <w:tcPr>
            <w:tcW w:type="dxa" w:w="1417"/>
            <w:tcBorders>
              <w:bottom w:val="single" w:sz="6" w:space="0" w:color="000000"/>
            </w:tcBorders>
          </w:tcPr>
          <w:p>
            <w:pPr>
              <w:jc w:val="center"/>
            </w:pPr>
            <w:r>
              <w:rPr>
                <w:rFonts w:ascii="Times New Roman" w:hAnsi="Times New Roman"/>
                <w:b/>
                <w:i w:val="0"/>
                <w:color w:val="000000"/>
                <w:sz w:val="17"/>
              </w:rPr>
              <w:t>Orijinal F1</w:t>
            </w:r>
          </w:p>
        </w:tc>
        <w:tc>
          <w:tcPr>
            <w:tcW w:type="dxa" w:w="1077"/>
            <w:tcBorders>
              <w:bottom w:val="single" w:sz="6" w:space="0" w:color="000000"/>
            </w:tcBorders>
          </w:tcPr>
          <w:p>
            <w:pPr>
              <w:jc w:val="center"/>
            </w:pPr>
            <w:r>
              <w:rPr>
                <w:rFonts w:ascii="Times New Roman" w:hAnsi="Times New Roman"/>
                <w:b/>
                <w:i w:val="0"/>
                <w:color w:val="000000"/>
                <w:sz w:val="17"/>
              </w:rPr>
              <w:t>Gürültülü F1</w:t>
            </w:r>
          </w:p>
        </w:tc>
        <w:tc>
          <w:tcPr>
            <w:tcW w:type="dxa" w:w="1020"/>
            <w:tcBorders>
              <w:bottom w:val="single" w:sz="6" w:space="0" w:color="000000"/>
            </w:tcBorders>
          </w:tcPr>
          <w:p>
            <w:pPr>
              <w:jc w:val="center"/>
            </w:pPr>
            <w:r>
              <w:rPr>
                <w:rFonts w:ascii="Times New Roman" w:hAnsi="Times New Roman"/>
                <w:b/>
                <w:i w:val="0"/>
                <w:color w:val="000000"/>
                <w:sz w:val="17"/>
              </w:rPr>
              <w:t>Accuracy</w:t>
            </w:r>
          </w:p>
        </w:tc>
        <w:tc>
          <w:tcPr>
            <w:tcW w:type="dxa" w:w="1020"/>
            <w:tcBorders>
              <w:bottom w:val="single" w:sz="6" w:space="0" w:color="000000"/>
            </w:tcBorders>
          </w:tcPr>
          <w:p>
            <w:pPr>
              <w:jc w:val="center"/>
            </w:pPr>
            <w:r>
              <w:rPr>
                <w:rFonts w:ascii="Times New Roman" w:hAnsi="Times New Roman"/>
                <w:b/>
                <w:i w:val="0"/>
                <w:color w:val="000000"/>
                <w:sz w:val="17"/>
              </w:rPr>
              <w:t>Precision</w:t>
            </w:r>
          </w:p>
        </w:tc>
        <w:tc>
          <w:tcPr>
            <w:tcW w:type="dxa" w:w="850"/>
            <w:tcBorders>
              <w:bottom w:val="single" w:sz="6" w:space="0" w:color="000000"/>
            </w:tcBorders>
          </w:tcPr>
          <w:p>
            <w:pPr>
              <w:jc w:val="center"/>
            </w:pPr>
            <w:r>
              <w:rPr>
                <w:rFonts w:ascii="Times New Roman" w:hAnsi="Times New Roman"/>
                <w:b/>
                <w:i w:val="0"/>
                <w:color w:val="000000"/>
                <w:sz w:val="17"/>
              </w:rPr>
              <w:t>Recall</w:t>
            </w:r>
          </w:p>
        </w:tc>
        <w:tc>
          <w:tcPr>
            <w:tcW w:type="dxa" w:w="1077"/>
            <w:tcBorders>
              <w:bottom w:val="single" w:sz="6" w:space="0" w:color="000000"/>
            </w:tcBorders>
          </w:tcPr>
          <w:p>
            <w:pPr>
              <w:jc w:val="center"/>
            </w:pPr>
            <w:r>
              <w:rPr>
                <w:rFonts w:ascii="Times New Roman" w:hAnsi="Times New Roman"/>
                <w:b/>
                <w:i w:val="0"/>
                <w:color w:val="000000"/>
                <w:sz w:val="17"/>
              </w:rPr>
              <w:t>Unseen Det./F1</w:t>
            </w:r>
          </w:p>
        </w:tc>
        <w:tc>
          <w:tcPr>
            <w:tcW w:type="dxa" w:w="1531"/>
            <w:tcBorders>
              <w:bottom w:val="single" w:sz="6" w:space="0" w:color="000000"/>
            </w:tcBorders>
          </w:tcPr>
          <w:p>
            <w:pPr>
              <w:jc w:val="center"/>
            </w:pPr>
            <w:r>
              <w:rPr>
                <w:rFonts w:ascii="Times New Roman" w:hAnsi="Times New Roman"/>
                <w:b/>
                <w:i w:val="0"/>
                <w:color w:val="000000"/>
                <w:sz w:val="17"/>
              </w:rPr>
              <w:t>Ek Bilgi</w:t>
            </w:r>
          </w:p>
        </w:tc>
      </w:tr>
      <w:tr>
        <w:tc>
          <w:tcPr>
            <w:tcW w:type="dxa" w:w="1077"/>
          </w:tcPr>
          <w:p>
            <w:pPr>
              <w:jc w:val="left"/>
            </w:pPr>
            <w:r>
              <w:rPr>
                <w:rFonts w:ascii="Times New Roman" w:hAnsi="Times New Roman"/>
                <w:b w:val="0"/>
                <w:i w:val="0"/>
                <w:color w:val="000000"/>
                <w:sz w:val="17"/>
              </w:rPr>
              <w:t>LSTM</w:t>
            </w:r>
          </w:p>
        </w:tc>
        <w:tc>
          <w:tcPr>
            <w:tcW w:type="dxa" w:w="1417"/>
          </w:tcPr>
          <w:p>
            <w:pPr>
              <w:jc w:val="center"/>
            </w:pPr>
            <w:r>
              <w:rPr>
                <w:rFonts w:ascii="Times New Roman" w:hAnsi="Times New Roman"/>
                <w:b w:val="0"/>
                <w:i w:val="0"/>
                <w:color w:val="000000"/>
                <w:sz w:val="17"/>
              </w:rPr>
              <w:t>0.0000 ± 0.0000</w:t>
            </w:r>
          </w:p>
        </w:tc>
        <w:tc>
          <w:tcPr>
            <w:tcW w:type="dxa" w:w="1077"/>
          </w:tcPr>
          <w:p>
            <w:pPr>
              <w:jc w:val="center"/>
            </w:pPr>
            <w:r>
              <w:rPr>
                <w:rFonts w:ascii="Times New Roman" w:hAnsi="Times New Roman"/>
                <w:b w:val="0"/>
                <w:i w:val="0"/>
                <w:color w:val="000000"/>
                <w:sz w:val="17"/>
              </w:rPr>
              <w:t>0.0142 ± 0.0098</w:t>
            </w:r>
          </w:p>
        </w:tc>
        <w:tc>
          <w:tcPr>
            <w:tcW w:type="dxa" w:w="1020"/>
          </w:tcPr>
          <w:p>
            <w:pPr>
              <w:jc w:val="center"/>
            </w:pPr>
            <w:r>
              <w:rPr>
                <w:rFonts w:ascii="Times New Roman" w:hAnsi="Times New Roman"/>
                <w:b w:val="0"/>
                <w:i w:val="0"/>
                <w:color w:val="000000"/>
                <w:sz w:val="17"/>
              </w:rPr>
              <w:t>0.7776</w:t>
            </w:r>
          </w:p>
        </w:tc>
        <w:tc>
          <w:tcPr>
            <w:tcW w:type="dxa" w:w="1020"/>
          </w:tcPr>
          <w:p>
            <w:pPr>
              <w:jc w:val="center"/>
            </w:pPr>
            <w:r>
              <w:rPr>
                <w:rFonts w:ascii="Times New Roman" w:hAnsi="Times New Roman"/>
                <w:b w:val="0"/>
                <w:i w:val="0"/>
                <w:color w:val="000000"/>
                <w:sz w:val="17"/>
              </w:rPr>
              <w:t>0.0124</w:t>
            </w:r>
          </w:p>
        </w:tc>
        <w:tc>
          <w:tcPr>
            <w:tcW w:type="dxa" w:w="850"/>
          </w:tcPr>
          <w:p>
            <w:pPr>
              <w:jc w:val="center"/>
            </w:pPr>
            <w:r>
              <w:rPr>
                <w:rFonts w:ascii="Times New Roman" w:hAnsi="Times New Roman"/>
                <w:b w:val="0"/>
                <w:i w:val="0"/>
                <w:color w:val="000000"/>
                <w:sz w:val="17"/>
              </w:rPr>
              <w:t>0.0175</w:t>
            </w:r>
          </w:p>
        </w:tc>
        <w:tc>
          <w:tcPr>
            <w:tcW w:type="dxa" w:w="1077"/>
          </w:tcPr>
          <w:p>
            <w:pPr>
              <w:jc w:val="center"/>
            </w:pPr>
            <w:r>
              <w:rPr>
                <w:rFonts w:ascii="Times New Roman" w:hAnsi="Times New Roman"/>
                <w:b w:val="0"/>
                <w:i w:val="0"/>
                <w:color w:val="000000"/>
                <w:sz w:val="17"/>
              </w:rPr>
              <w:t>-</w:t>
            </w:r>
          </w:p>
        </w:tc>
        <w:tc>
          <w:tcPr>
            <w:tcW w:type="dxa" w:w="1531"/>
          </w:tcPr>
          <w:p>
            <w:pPr>
              <w:jc w:val="center"/>
            </w:pPr>
            <w:r>
              <w:rPr>
                <w:rFonts w:ascii="Times New Roman" w:hAnsi="Times New Roman"/>
                <w:b w:val="0"/>
                <w:i w:val="0"/>
                <w:color w:val="000000"/>
                <w:sz w:val="17"/>
              </w:rPr>
              <w:t>Gaussian noise (5 seed)</w:t>
            </w:r>
          </w:p>
        </w:tc>
      </w:tr>
      <w:tr>
        <w:tc>
          <w:tcPr>
            <w:tcW w:type="dxa" w:w="1077"/>
          </w:tcPr>
          <w:p>
            <w:pPr>
              <w:jc w:val="left"/>
            </w:pPr>
            <w:r>
              <w:rPr>
                <w:rFonts w:ascii="Times New Roman" w:hAnsi="Times New Roman"/>
                <w:b w:val="0"/>
                <w:i w:val="0"/>
                <w:color w:val="000000"/>
                <w:sz w:val="17"/>
              </w:rPr>
              <w:t>GRU</w:t>
            </w:r>
          </w:p>
        </w:tc>
        <w:tc>
          <w:tcPr>
            <w:tcW w:type="dxa" w:w="1417"/>
          </w:tcPr>
          <w:p>
            <w:pPr>
              <w:jc w:val="center"/>
            </w:pPr>
            <w:r>
              <w:rPr>
                <w:rFonts w:ascii="Times New Roman" w:hAnsi="Times New Roman"/>
                <w:b w:val="0"/>
                <w:i w:val="0"/>
                <w:color w:val="000000"/>
                <w:sz w:val="17"/>
              </w:rPr>
              <w:t>0.0086 ± 0.0173</w:t>
            </w:r>
          </w:p>
        </w:tc>
        <w:tc>
          <w:tcPr>
            <w:tcW w:type="dxa" w:w="1077"/>
          </w:tcPr>
          <w:p>
            <w:pPr>
              <w:jc w:val="center"/>
            </w:pPr>
            <w:r>
              <w:rPr>
                <w:rFonts w:ascii="Times New Roman" w:hAnsi="Times New Roman"/>
                <w:b w:val="0"/>
                <w:i w:val="0"/>
                <w:color w:val="000000"/>
                <w:sz w:val="17"/>
              </w:rPr>
              <w:t>0.0133 ± 0.0100</w:t>
            </w:r>
          </w:p>
        </w:tc>
        <w:tc>
          <w:tcPr>
            <w:tcW w:type="dxa" w:w="1020"/>
          </w:tcPr>
          <w:p>
            <w:pPr>
              <w:jc w:val="center"/>
            </w:pPr>
            <w:r>
              <w:rPr>
                <w:rFonts w:ascii="Times New Roman" w:hAnsi="Times New Roman"/>
                <w:b w:val="0"/>
                <w:i w:val="0"/>
                <w:color w:val="000000"/>
                <w:sz w:val="17"/>
              </w:rPr>
              <w:t>0.7875</w:t>
            </w:r>
          </w:p>
        </w:tc>
        <w:tc>
          <w:tcPr>
            <w:tcW w:type="dxa" w:w="1020"/>
          </w:tcPr>
          <w:p>
            <w:pPr>
              <w:jc w:val="center"/>
            </w:pPr>
            <w:r>
              <w:rPr>
                <w:rFonts w:ascii="Times New Roman" w:hAnsi="Times New Roman"/>
                <w:b w:val="0"/>
                <w:i w:val="0"/>
                <w:color w:val="000000"/>
                <w:sz w:val="17"/>
              </w:rPr>
              <w:t>0.0124</w:t>
            </w:r>
          </w:p>
        </w:tc>
        <w:tc>
          <w:tcPr>
            <w:tcW w:type="dxa" w:w="850"/>
          </w:tcPr>
          <w:p>
            <w:pPr>
              <w:jc w:val="center"/>
            </w:pPr>
            <w:r>
              <w:rPr>
                <w:rFonts w:ascii="Times New Roman" w:hAnsi="Times New Roman"/>
                <w:b w:val="0"/>
                <w:i w:val="0"/>
                <w:color w:val="000000"/>
                <w:sz w:val="17"/>
              </w:rPr>
              <w:t>0.0150</w:t>
            </w:r>
          </w:p>
        </w:tc>
        <w:tc>
          <w:tcPr>
            <w:tcW w:type="dxa" w:w="1077"/>
          </w:tcPr>
          <w:p>
            <w:pPr>
              <w:jc w:val="center"/>
            </w:pPr>
            <w:r>
              <w:rPr>
                <w:rFonts w:ascii="Times New Roman" w:hAnsi="Times New Roman"/>
                <w:b w:val="0"/>
                <w:i w:val="0"/>
                <w:color w:val="000000"/>
                <w:sz w:val="17"/>
              </w:rPr>
              <w:t>-</w:t>
            </w:r>
          </w:p>
        </w:tc>
        <w:tc>
          <w:tcPr>
            <w:tcW w:type="dxa" w:w="1531"/>
          </w:tcPr>
          <w:p>
            <w:pPr>
              <w:jc w:val="center"/>
            </w:pPr>
            <w:r>
              <w:rPr>
                <w:rFonts w:ascii="Times New Roman" w:hAnsi="Times New Roman"/>
                <w:b w:val="0"/>
                <w:i w:val="0"/>
                <w:color w:val="000000"/>
                <w:sz w:val="17"/>
              </w:rPr>
              <w:t>Gaussian noise (5 seed)</w:t>
            </w:r>
          </w:p>
        </w:tc>
      </w:tr>
      <w:tr>
        <w:tc>
          <w:tcPr>
            <w:tcW w:type="dxa" w:w="1077"/>
          </w:tcPr>
          <w:p>
            <w:pPr>
              <w:jc w:val="left"/>
            </w:pPr>
            <w:r>
              <w:rPr>
                <w:rFonts w:ascii="Times New Roman" w:hAnsi="Times New Roman"/>
                <w:b w:val="0"/>
                <w:i w:val="0"/>
                <w:color w:val="000000"/>
                <w:sz w:val="17"/>
              </w:rPr>
              <w:t>1D-CNN</w:t>
            </w:r>
          </w:p>
        </w:tc>
        <w:tc>
          <w:tcPr>
            <w:tcW w:type="dxa" w:w="1417"/>
          </w:tcPr>
          <w:p>
            <w:pPr>
              <w:jc w:val="center"/>
            </w:pPr>
            <w:r>
              <w:rPr>
                <w:rFonts w:ascii="Times New Roman" w:hAnsi="Times New Roman"/>
                <w:b w:val="0"/>
                <w:i w:val="0"/>
                <w:color w:val="000000"/>
                <w:sz w:val="17"/>
              </w:rPr>
              <w:t>N/A</w:t>
            </w:r>
          </w:p>
        </w:tc>
        <w:tc>
          <w:tcPr>
            <w:tcW w:type="dxa" w:w="1077"/>
          </w:tcPr>
          <w:p>
            <w:pPr>
              <w:jc w:val="center"/>
            </w:pPr>
            <w:r>
              <w:rPr>
                <w:rFonts w:ascii="Times New Roman" w:hAnsi="Times New Roman"/>
                <w:b w:val="0"/>
                <w:i w:val="0"/>
                <w:color w:val="000000"/>
                <w:sz w:val="17"/>
              </w:rPr>
              <w:t>N/A</w:t>
            </w:r>
          </w:p>
        </w:tc>
        <w:tc>
          <w:tcPr>
            <w:tcW w:type="dxa" w:w="1020"/>
          </w:tcPr>
          <w:p>
            <w:pPr>
              <w:jc w:val="center"/>
            </w:pPr>
            <w:r>
              <w:rPr>
                <w:rFonts w:ascii="Times New Roman" w:hAnsi="Times New Roman"/>
                <w:b w:val="0"/>
                <w:i w:val="0"/>
                <w:color w:val="000000"/>
                <w:sz w:val="17"/>
              </w:rPr>
              <w:t>N/A</w:t>
            </w:r>
          </w:p>
        </w:tc>
        <w:tc>
          <w:tcPr>
            <w:tcW w:type="dxa" w:w="1020"/>
          </w:tcPr>
          <w:p>
            <w:pPr>
              <w:jc w:val="center"/>
            </w:pPr>
            <w:r>
              <w:rPr>
                <w:rFonts w:ascii="Times New Roman" w:hAnsi="Times New Roman"/>
                <w:b w:val="0"/>
                <w:i w:val="0"/>
                <w:color w:val="000000"/>
                <w:sz w:val="17"/>
              </w:rPr>
              <w:t>N/A</w:t>
            </w:r>
          </w:p>
        </w:tc>
        <w:tc>
          <w:tcPr>
            <w:tcW w:type="dxa" w:w="850"/>
          </w:tcPr>
          <w:p>
            <w:pPr>
              <w:jc w:val="center"/>
            </w:pPr>
            <w:r>
              <w:rPr>
                <w:rFonts w:ascii="Times New Roman" w:hAnsi="Times New Roman"/>
                <w:b w:val="0"/>
                <w:i w:val="0"/>
                <w:color w:val="000000"/>
                <w:sz w:val="17"/>
              </w:rPr>
              <w:t>N/A</w:t>
            </w:r>
          </w:p>
        </w:tc>
        <w:tc>
          <w:tcPr>
            <w:tcW w:type="dxa" w:w="1077"/>
          </w:tcPr>
          <w:p>
            <w:pPr>
              <w:jc w:val="center"/>
            </w:pPr>
            <w:r>
              <w:rPr>
                <w:rFonts w:ascii="Times New Roman" w:hAnsi="Times New Roman"/>
                <w:b w:val="0"/>
                <w:i w:val="0"/>
                <w:color w:val="000000"/>
                <w:sz w:val="17"/>
              </w:rPr>
              <w:t>N/A</w:t>
            </w:r>
          </w:p>
        </w:tc>
        <w:tc>
          <w:tcPr>
            <w:tcW w:type="dxa" w:w="1531"/>
          </w:tcPr>
          <w:p>
            <w:pPr>
              <w:jc w:val="center"/>
            </w:pPr>
            <w:r>
              <w:rPr>
                <w:rFonts w:ascii="Times New Roman" w:hAnsi="Times New Roman"/>
                <w:b w:val="0"/>
                <w:i w:val="0"/>
                <w:color w:val="000000"/>
                <w:sz w:val="17"/>
              </w:rPr>
              <w:t>Final koşuda kapalı</w:t>
            </w:r>
          </w:p>
        </w:tc>
      </w:tr>
      <w:tr>
        <w:tc>
          <w:tcPr>
            <w:tcW w:type="dxa" w:w="1077"/>
          </w:tcPr>
          <w:p>
            <w:pPr>
              <w:jc w:val="left"/>
            </w:pPr>
            <w:r>
              <w:rPr>
                <w:rFonts w:ascii="Times New Roman" w:hAnsi="Times New Roman"/>
                <w:b w:val="0"/>
                <w:i w:val="0"/>
                <w:color w:val="000000"/>
                <w:sz w:val="17"/>
              </w:rPr>
              <w:t>Automata</w:t>
            </w:r>
          </w:p>
        </w:tc>
        <w:tc>
          <w:tcPr>
            <w:tcW w:type="dxa" w:w="1417"/>
          </w:tcPr>
          <w:p>
            <w:pPr>
              <w:jc w:val="center"/>
            </w:pPr>
            <w:r>
              <w:rPr>
                <w:rFonts w:ascii="Times New Roman" w:hAnsi="Times New Roman"/>
                <w:b w:val="0"/>
                <w:i w:val="0"/>
                <w:color w:val="000000"/>
                <w:sz w:val="17"/>
              </w:rPr>
              <w:t>0.0685 ± 0.0000</w:t>
            </w:r>
          </w:p>
        </w:tc>
        <w:tc>
          <w:tcPr>
            <w:tcW w:type="dxa" w:w="1077"/>
          </w:tcPr>
          <w:p>
            <w:pPr>
              <w:jc w:val="center"/>
            </w:pPr>
            <w:r>
              <w:rPr>
                <w:rFonts w:ascii="Times New Roman" w:hAnsi="Times New Roman"/>
                <w:b w:val="0"/>
                <w:i w:val="0"/>
                <w:color w:val="000000"/>
                <w:sz w:val="17"/>
              </w:rPr>
              <w:t>0.1103</w:t>
            </w:r>
          </w:p>
        </w:tc>
        <w:tc>
          <w:tcPr>
            <w:tcW w:type="dxa" w:w="1020"/>
          </w:tcPr>
          <w:p>
            <w:pPr>
              <w:jc w:val="center"/>
            </w:pPr>
            <w:r>
              <w:rPr>
                <w:rFonts w:ascii="Times New Roman" w:hAnsi="Times New Roman"/>
                <w:b w:val="0"/>
                <w:i w:val="0"/>
                <w:color w:val="000000"/>
                <w:sz w:val="17"/>
              </w:rPr>
              <w:t>0.8444</w:t>
            </w:r>
          </w:p>
        </w:tc>
        <w:tc>
          <w:tcPr>
            <w:tcW w:type="dxa" w:w="1020"/>
          </w:tcPr>
          <w:p>
            <w:pPr>
              <w:jc w:val="center"/>
            </w:pPr>
            <w:r>
              <w:rPr>
                <w:rFonts w:ascii="Times New Roman" w:hAnsi="Times New Roman"/>
                <w:b w:val="0"/>
                <w:i w:val="0"/>
                <w:color w:val="000000"/>
                <w:sz w:val="17"/>
              </w:rPr>
              <w:t>0.1231</w:t>
            </w:r>
          </w:p>
        </w:tc>
        <w:tc>
          <w:tcPr>
            <w:tcW w:type="dxa" w:w="850"/>
          </w:tcPr>
          <w:p>
            <w:pPr>
              <w:jc w:val="center"/>
            </w:pPr>
            <w:r>
              <w:rPr>
                <w:rFonts w:ascii="Times New Roman" w:hAnsi="Times New Roman"/>
                <w:b w:val="0"/>
                <w:i w:val="0"/>
                <w:color w:val="000000"/>
                <w:sz w:val="17"/>
              </w:rPr>
              <w:t>0.1000</w:t>
            </w:r>
          </w:p>
        </w:tc>
        <w:tc>
          <w:tcPr>
            <w:tcW w:type="dxa" w:w="1077"/>
          </w:tcPr>
          <w:p>
            <w:pPr>
              <w:jc w:val="center"/>
            </w:pPr>
            <w:r>
              <w:rPr>
                <w:rFonts w:ascii="Times New Roman" w:hAnsi="Times New Roman"/>
                <w:b w:val="0"/>
                <w:i w:val="0"/>
                <w:color w:val="000000"/>
                <w:sz w:val="17"/>
              </w:rPr>
              <w:t>F1=0.1165</w:t>
            </w:r>
          </w:p>
        </w:tc>
        <w:tc>
          <w:tcPr>
            <w:tcW w:type="dxa" w:w="1531"/>
          </w:tcPr>
          <w:p>
            <w:pPr>
              <w:jc w:val="center"/>
            </w:pPr>
            <w:r>
              <w:rPr>
                <w:rFonts w:ascii="Times New Roman" w:hAnsi="Times New Roman"/>
                <w:b w:val="0"/>
                <w:i w:val="0"/>
                <w:color w:val="000000"/>
                <w:sz w:val="17"/>
              </w:rPr>
              <w:t>unseen=1/829, %0.1 (deterministik)</w:t>
            </w:r>
          </w:p>
        </w:tc>
      </w:tr>
    </w:tbl>
    <w:p>
      <w:pPr>
        <w:spacing w:after="40"/>
      </w:pPr>
    </w:p>
    <w:p>
      <w:pPr>
        <w:spacing w:after="120"/>
        <w:jc w:val="both"/>
      </w:pPr>
      <w:r>
        <w:rPr>
          <w:rFonts w:ascii="Times New Roman" w:hAnsi="Times New Roman"/>
          <w:b w:val="0"/>
          <w:i w:val="0"/>
          <w:color w:val="000000"/>
          <w:sz w:val="22"/>
        </w:rPr>
        <w:t>Unseen senaryosunda 829 pattern içinden 1 unseen pattern görülmüştür. Bu pattern Levenshtein/Edit Distance ile en yakın train pattern'ına map edilmiştir. Gürültü deneyi 5 random seed ile çalıştırılmıştır; unseen senaryosu deterministik otomata üzerinde çalıştığından seed etkisi yoktur.</w:t>
      </w:r>
    </w:p>
    <w:p>
      <w:pPr>
        <w:spacing w:before="240" w:after="80"/>
      </w:pPr>
      <w:r>
        <w:rPr>
          <w:rFonts w:ascii="Times New Roman" w:hAnsi="Times New Roman"/>
          <w:b/>
          <w:i w:val="0"/>
          <w:color w:val="000000"/>
          <w:sz w:val="26"/>
        </w:rPr>
        <w:t>3  Çapraz Veri Seti (Cross-Dataset) Genellenebilirliği</w:t>
      </w:r>
    </w:p>
    <w:p>
      <w:pPr>
        <w:spacing w:after="120"/>
        <w:jc w:val="both"/>
      </w:pPr>
      <w:r>
        <w:rPr>
          <w:rFonts w:ascii="Times New Roman" w:hAnsi="Times New Roman"/>
          <w:b w:val="0"/>
          <w:i w:val="0"/>
          <w:color w:val="000000"/>
          <w:sz w:val="22"/>
        </w:rPr>
        <w:t>Bu bölümde modellerin bir veri setinde eğitilip diğerinde test edilmesiyle elde edilen genellenebilirlik durumu sunulmaktadır.</w:t>
      </w:r>
    </w:p>
    <w:p>
      <w:pPr>
        <w:spacing w:before="120" w:after="60"/>
        <w:jc w:val="center"/>
      </w:pPr>
      <w:r>
        <w:rPr>
          <w:rFonts w:ascii="Times New Roman" w:hAnsi="Times New Roman"/>
          <w:b/>
          <w:i w:val="0"/>
          <w:color w:val="000000"/>
          <w:sz w:val="20"/>
        </w:rPr>
        <w:t>Tablo 3: Cross-Dataset Performans Karşılaştırması</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135"/>
        <w:gridCol w:w="3135"/>
        <w:gridCol w:w="3135"/>
      </w:tblGrid>
      <w:tr>
        <w:tc>
          <w:tcPr>
            <w:tcW w:type="dxa" w:w="2268"/>
            <w:tcBorders>
              <w:bottom w:val="single" w:sz="6" w:space="0" w:color="000000"/>
            </w:tcBorders>
          </w:tcPr>
          <w:p>
            <w:pPr>
              <w:jc w:val="center"/>
            </w:pPr>
            <w:r>
              <w:rPr>
                <w:rFonts w:ascii="Times New Roman" w:hAnsi="Times New Roman"/>
                <w:b/>
                <w:i w:val="0"/>
                <w:color w:val="000000"/>
                <w:sz w:val="20"/>
              </w:rPr>
              <w:t>Train / Test</w:t>
            </w:r>
          </w:p>
        </w:tc>
        <w:tc>
          <w:tcPr>
            <w:tcW w:type="dxa" w:w="3118"/>
            <w:tcBorders>
              <w:bottom w:val="single" w:sz="6" w:space="0" w:color="000000"/>
            </w:tcBorders>
          </w:tcPr>
          <w:p>
            <w:pPr>
              <w:jc w:val="center"/>
            </w:pPr>
            <w:r>
              <w:rPr>
                <w:rFonts w:ascii="Times New Roman" w:hAnsi="Times New Roman"/>
                <w:b/>
                <w:i w:val="0"/>
                <w:color w:val="000000"/>
                <w:sz w:val="20"/>
              </w:rPr>
              <w:t>SKAB</w:t>
            </w:r>
          </w:p>
        </w:tc>
        <w:tc>
          <w:tcPr>
            <w:tcW w:type="dxa" w:w="3118"/>
            <w:tcBorders>
              <w:bottom w:val="single" w:sz="6" w:space="0" w:color="000000"/>
            </w:tcBorders>
          </w:tcPr>
          <w:p>
            <w:pPr>
              <w:jc w:val="center"/>
            </w:pPr>
            <w:r>
              <w:rPr>
                <w:rFonts w:ascii="Times New Roman" w:hAnsi="Times New Roman"/>
                <w:b/>
                <w:i w:val="0"/>
                <w:color w:val="000000"/>
                <w:sz w:val="20"/>
              </w:rPr>
              <w:t>BATADAL</w:t>
            </w:r>
          </w:p>
        </w:tc>
      </w:tr>
      <w:tr>
        <w:tc>
          <w:tcPr>
            <w:tcW w:type="dxa" w:w="2268"/>
          </w:tcPr>
          <w:p>
            <w:pPr>
              <w:jc w:val="left"/>
            </w:pPr>
            <w:r>
              <w:rPr>
                <w:rFonts w:ascii="Times New Roman" w:hAnsi="Times New Roman"/>
                <w:b w:val="0"/>
                <w:i w:val="0"/>
                <w:color w:val="000000"/>
                <w:sz w:val="20"/>
              </w:rPr>
              <w:t>Train: SKAB</w:t>
            </w:r>
          </w:p>
        </w:tc>
        <w:tc>
          <w:tcPr>
            <w:tcW w:type="dxa" w:w="3118"/>
          </w:tcPr>
          <w:p>
            <w:pPr>
              <w:jc w:val="center"/>
            </w:pPr>
            <w:r>
              <w:rPr>
                <w:rFonts w:ascii="Times New Roman" w:hAnsi="Times New Roman"/>
                <w:b w:val="0"/>
                <w:i w:val="0"/>
                <w:color w:val="000000"/>
                <w:sz w:val="20"/>
              </w:rPr>
              <w:t>-</w:t>
            </w:r>
          </w:p>
        </w:tc>
        <w:tc>
          <w:tcPr>
            <w:tcW w:type="dxa" w:w="3118"/>
          </w:tcPr>
          <w:p>
            <w:pPr>
              <w:jc w:val="center"/>
            </w:pPr>
            <w:r>
              <w:rPr>
                <w:rFonts w:ascii="Times New Roman" w:hAnsi="Times New Roman"/>
                <w:b w:val="0"/>
                <w:i w:val="0"/>
                <w:color w:val="000000"/>
                <w:sz w:val="20"/>
              </w:rPr>
              <w:t>Kapsam dışı / opsiyonel kapalı</w:t>
            </w:r>
          </w:p>
        </w:tc>
      </w:tr>
      <w:tr>
        <w:tc>
          <w:tcPr>
            <w:tcW w:type="dxa" w:w="2268"/>
          </w:tcPr>
          <w:p>
            <w:pPr>
              <w:jc w:val="left"/>
            </w:pPr>
            <w:r>
              <w:rPr>
                <w:rFonts w:ascii="Times New Roman" w:hAnsi="Times New Roman"/>
                <w:b w:val="0"/>
                <w:i w:val="0"/>
                <w:color w:val="000000"/>
                <w:sz w:val="20"/>
              </w:rPr>
              <w:t>Train: BATADAL</w:t>
            </w:r>
          </w:p>
        </w:tc>
        <w:tc>
          <w:tcPr>
            <w:tcW w:type="dxa" w:w="3118"/>
          </w:tcPr>
          <w:p>
            <w:pPr>
              <w:jc w:val="center"/>
            </w:pPr>
            <w:r>
              <w:rPr>
                <w:rFonts w:ascii="Times New Roman" w:hAnsi="Times New Roman"/>
                <w:b w:val="0"/>
                <w:i w:val="0"/>
                <w:color w:val="000000"/>
                <w:sz w:val="20"/>
              </w:rPr>
              <w:t>Kapsam dışı / opsiyonel kapalı</w:t>
            </w:r>
          </w:p>
        </w:tc>
        <w:tc>
          <w:tcPr>
            <w:tcW w:type="dxa" w:w="3118"/>
          </w:tcPr>
          <w:p>
            <w:pPr>
              <w:jc w:val="center"/>
            </w:pPr>
            <w:r>
              <w:rPr>
                <w:rFonts w:ascii="Times New Roman" w:hAnsi="Times New Roman"/>
                <w:b w:val="0"/>
                <w:i w:val="0"/>
                <w:color w:val="000000"/>
                <w:sz w:val="20"/>
              </w:rPr>
              <w:t>-</w:t>
            </w:r>
          </w:p>
        </w:tc>
      </w:tr>
    </w:tbl>
    <w:p>
      <w:pPr>
        <w:spacing w:after="40"/>
      </w:pPr>
    </w:p>
    <w:p>
      <w:pPr>
        <w:spacing w:after="120"/>
        <w:jc w:val="both"/>
      </w:pPr>
      <w:r>
        <w:rPr>
          <w:rFonts w:ascii="Times New Roman" w:hAnsi="Times New Roman"/>
          <w:b w:val="0"/>
          <w:i w:val="0"/>
          <w:color w:val="000000"/>
          <w:sz w:val="22"/>
        </w:rPr>
        <w:t>Cross-dataset deneyleri final koşuda kapalı tutulmuştur. SKAB ve BATADAL farklı özellik uzaylarına sahip olduğu için bu deney leakage riski ve yorumlama güçlüğü nedeniyle opsiyonel bırakılmıştır.</w:t>
      </w:r>
    </w:p>
    <w:p>
      <w:pPr>
        <w:spacing w:before="240" w:after="80"/>
      </w:pPr>
      <w:r>
        <w:rPr>
          <w:rFonts w:ascii="Times New Roman" w:hAnsi="Times New Roman"/>
          <w:b/>
          <w:i w:val="0"/>
          <w:color w:val="000000"/>
          <w:sz w:val="26"/>
        </w:rPr>
        <w:t>4  Automata Parametre ve Süre Analizi</w:t>
      </w:r>
    </w:p>
    <w:p>
      <w:pPr>
        <w:spacing w:after="120"/>
        <w:jc w:val="both"/>
      </w:pPr>
      <w:r>
        <w:rPr>
          <w:rFonts w:ascii="Times New Roman" w:hAnsi="Times New Roman"/>
          <w:b w:val="0"/>
          <w:i w:val="0"/>
          <w:color w:val="000000"/>
          <w:sz w:val="22"/>
        </w:rPr>
        <w:t>Otomata modelinin iç parametrelerinin (Window Size ve Alphabet Size) performans üzerindeki etkisi ile modellerin eğitim/çıkarım süreleri aşağıda listelenmiştir.</w:t>
      </w:r>
    </w:p>
    <w:p>
      <w:pPr>
        <w:spacing w:before="120" w:after="60"/>
        <w:jc w:val="center"/>
      </w:pPr>
      <w:r>
        <w:rPr>
          <w:rFonts w:ascii="Times New Roman" w:hAnsi="Times New Roman"/>
          <w:b/>
          <w:i w:val="0"/>
          <w:color w:val="000000"/>
          <w:sz w:val="20"/>
        </w:rPr>
        <w:t>Tablo 4: Automata Parametre Duyarlılık Analizi (F1-score)</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81"/>
        <w:gridCol w:w="1881"/>
        <w:gridCol w:w="1881"/>
        <w:gridCol w:w="1881"/>
        <w:gridCol w:w="1881"/>
      </w:tblGrid>
      <w:tr>
        <w:tc>
          <w:tcPr>
            <w:tcW w:type="dxa" w:w="2551"/>
            <w:tcBorders>
              <w:bottom w:val="single" w:sz="6" w:space="0" w:color="000000"/>
            </w:tcBorders>
          </w:tcPr>
          <w:p>
            <w:pPr>
              <w:jc w:val="center"/>
            </w:pPr>
            <w:r>
              <w:rPr>
                <w:rFonts w:ascii="Times New Roman" w:hAnsi="Times New Roman"/>
                <w:b/>
                <w:i w:val="0"/>
                <w:color w:val="000000"/>
                <w:sz w:val="20"/>
              </w:rPr>
              <w:t>Parametre</w:t>
            </w:r>
          </w:p>
        </w:tc>
        <w:tc>
          <w:tcPr>
            <w:tcW w:type="dxa" w:w="1474"/>
            <w:tcBorders>
              <w:bottom w:val="single" w:sz="6" w:space="0" w:color="000000"/>
            </w:tcBorders>
          </w:tcPr>
          <w:p>
            <w:pPr>
              <w:jc w:val="center"/>
            </w:pPr>
            <w:r>
              <w:rPr>
                <w:rFonts w:ascii="Times New Roman" w:hAnsi="Times New Roman"/>
                <w:b/>
                <w:i w:val="0"/>
                <w:color w:val="000000"/>
                <w:sz w:val="20"/>
              </w:rPr>
              <w:t>Değer=3</w:t>
            </w:r>
          </w:p>
        </w:tc>
        <w:tc>
          <w:tcPr>
            <w:tcW w:type="dxa" w:w="1474"/>
            <w:tcBorders>
              <w:bottom w:val="single" w:sz="6" w:space="0" w:color="000000"/>
            </w:tcBorders>
          </w:tcPr>
          <w:p>
            <w:pPr>
              <w:jc w:val="center"/>
            </w:pPr>
            <w:r>
              <w:rPr>
                <w:rFonts w:ascii="Times New Roman" w:hAnsi="Times New Roman"/>
                <w:b/>
                <w:i w:val="0"/>
                <w:color w:val="000000"/>
                <w:sz w:val="20"/>
              </w:rPr>
              <w:t>Değer=4</w:t>
            </w:r>
          </w:p>
        </w:tc>
        <w:tc>
          <w:tcPr>
            <w:tcW w:type="dxa" w:w="1474"/>
            <w:tcBorders>
              <w:bottom w:val="single" w:sz="6" w:space="0" w:color="000000"/>
            </w:tcBorders>
          </w:tcPr>
          <w:p>
            <w:pPr>
              <w:jc w:val="center"/>
            </w:pPr>
            <w:r>
              <w:rPr>
                <w:rFonts w:ascii="Times New Roman" w:hAnsi="Times New Roman"/>
                <w:b/>
                <w:i w:val="0"/>
                <w:color w:val="000000"/>
                <w:sz w:val="20"/>
              </w:rPr>
              <w:t>Değer=5</w:t>
            </w:r>
          </w:p>
        </w:tc>
        <w:tc>
          <w:tcPr>
            <w:tcW w:type="dxa" w:w="1474"/>
            <w:tcBorders>
              <w:bottom w:val="single" w:sz="6" w:space="0" w:color="000000"/>
            </w:tcBorders>
          </w:tcPr>
          <w:p>
            <w:pPr>
              <w:jc w:val="center"/>
            </w:pPr>
            <w:r>
              <w:rPr>
                <w:rFonts w:ascii="Times New Roman" w:hAnsi="Times New Roman"/>
                <w:b/>
                <w:i w:val="0"/>
                <w:color w:val="000000"/>
                <w:sz w:val="20"/>
              </w:rPr>
              <w:t>Değer=6</w:t>
            </w:r>
          </w:p>
        </w:tc>
      </w:tr>
      <w:tr>
        <w:tc>
          <w:tcPr>
            <w:tcW w:type="dxa" w:w="2551"/>
          </w:tcPr>
          <w:p>
            <w:pPr>
              <w:jc w:val="left"/>
            </w:pPr>
            <w:r>
              <w:rPr>
                <w:rFonts w:ascii="Times New Roman" w:hAnsi="Times New Roman"/>
                <w:b w:val="0"/>
                <w:i w:val="0"/>
                <w:color w:val="000000"/>
                <w:sz w:val="20"/>
              </w:rPr>
              <w:t>Window Size (alphabet=3)</w:t>
            </w:r>
          </w:p>
        </w:tc>
        <w:tc>
          <w:tcPr>
            <w:tcW w:type="dxa" w:w="1474"/>
          </w:tcPr>
          <w:p>
            <w:pPr>
              <w:jc w:val="center"/>
            </w:pPr>
            <w:r>
              <w:rPr>
                <w:rFonts w:ascii="Times New Roman" w:hAnsi="Times New Roman"/>
                <w:b w:val="0"/>
                <w:i w:val="0"/>
                <w:color w:val="000000"/>
                <w:sz w:val="20"/>
              </w:rPr>
              <w:t>0.0940</w:t>
            </w:r>
          </w:p>
        </w:tc>
        <w:tc>
          <w:tcPr>
            <w:tcW w:type="dxa" w:w="1474"/>
          </w:tcPr>
          <w:p>
            <w:pPr>
              <w:jc w:val="center"/>
            </w:pPr>
            <w:r>
              <w:rPr>
                <w:rFonts w:ascii="Times New Roman" w:hAnsi="Times New Roman"/>
                <w:b w:val="0"/>
                <w:i w:val="0"/>
                <w:color w:val="000000"/>
                <w:sz w:val="20"/>
              </w:rPr>
              <w:t>0.1363</w:t>
            </w:r>
          </w:p>
        </w:tc>
        <w:tc>
          <w:tcPr>
            <w:tcW w:type="dxa" w:w="1474"/>
          </w:tcPr>
          <w:p>
            <w:pPr>
              <w:jc w:val="center"/>
            </w:pPr>
            <w:r>
              <w:rPr>
                <w:rFonts w:ascii="Times New Roman" w:hAnsi="Times New Roman"/>
                <w:b w:val="0"/>
                <w:i w:val="0"/>
                <w:color w:val="000000"/>
                <w:sz w:val="20"/>
              </w:rPr>
              <w:t>0.3631</w:t>
            </w:r>
          </w:p>
        </w:tc>
        <w:tc>
          <w:tcPr>
            <w:tcW w:type="dxa" w:w="1474"/>
          </w:tcPr>
          <w:p>
            <w:pPr>
              <w:jc w:val="center"/>
            </w:pPr>
            <w:r>
              <w:rPr>
                <w:rFonts w:ascii="Times New Roman" w:hAnsi="Times New Roman"/>
                <w:b w:val="0"/>
                <w:i w:val="0"/>
                <w:color w:val="000000"/>
                <w:sz w:val="20"/>
              </w:rPr>
              <w:t>0.4792</w:t>
            </w:r>
          </w:p>
        </w:tc>
      </w:tr>
      <w:tr>
        <w:tc>
          <w:tcPr>
            <w:tcW w:type="dxa" w:w="2551"/>
          </w:tcPr>
          <w:p>
            <w:pPr>
              <w:jc w:val="left"/>
            </w:pPr>
            <w:r>
              <w:rPr>
                <w:rFonts w:ascii="Times New Roman" w:hAnsi="Times New Roman"/>
                <w:b w:val="0"/>
                <w:i w:val="0"/>
                <w:color w:val="000000"/>
                <w:sz w:val="20"/>
              </w:rPr>
              <w:t>Alphabet Size (window=4)</w:t>
            </w:r>
          </w:p>
        </w:tc>
        <w:tc>
          <w:tcPr>
            <w:tcW w:type="dxa" w:w="1474"/>
          </w:tcPr>
          <w:p>
            <w:pPr>
              <w:jc w:val="center"/>
            </w:pPr>
            <w:r>
              <w:rPr>
                <w:rFonts w:ascii="Times New Roman" w:hAnsi="Times New Roman"/>
                <w:b w:val="0"/>
                <w:i w:val="0"/>
                <w:color w:val="000000"/>
                <w:sz w:val="20"/>
              </w:rPr>
              <w:t>0.1363</w:t>
            </w:r>
          </w:p>
        </w:tc>
        <w:tc>
          <w:tcPr>
            <w:tcW w:type="dxa" w:w="1474"/>
          </w:tcPr>
          <w:p>
            <w:pPr>
              <w:jc w:val="center"/>
            </w:pPr>
            <w:r>
              <w:rPr>
                <w:rFonts w:ascii="Times New Roman" w:hAnsi="Times New Roman"/>
                <w:b w:val="0"/>
                <w:i w:val="0"/>
                <w:color w:val="000000"/>
                <w:sz w:val="20"/>
              </w:rPr>
              <w:t>0.2015</w:t>
            </w:r>
          </w:p>
        </w:tc>
        <w:tc>
          <w:tcPr>
            <w:tcW w:type="dxa" w:w="1474"/>
          </w:tcPr>
          <w:p>
            <w:pPr>
              <w:jc w:val="center"/>
            </w:pPr>
            <w:r>
              <w:rPr>
                <w:rFonts w:ascii="Times New Roman" w:hAnsi="Times New Roman"/>
                <w:b w:val="0"/>
                <w:i w:val="0"/>
                <w:color w:val="000000"/>
                <w:sz w:val="20"/>
              </w:rPr>
              <w:t>0.3835</w:t>
            </w:r>
          </w:p>
        </w:tc>
        <w:tc>
          <w:tcPr>
            <w:tcW w:type="dxa" w:w="1474"/>
          </w:tcPr>
          <w:p>
            <w:pPr>
              <w:jc w:val="center"/>
            </w:pPr>
            <w:r>
              <w:rPr>
                <w:rFonts w:ascii="Times New Roman" w:hAnsi="Times New Roman"/>
                <w:b w:val="0"/>
                <w:i w:val="0"/>
                <w:color w:val="000000"/>
                <w:sz w:val="20"/>
              </w:rPr>
              <w:t>0.4383</w:t>
            </w:r>
          </w:p>
        </w:tc>
      </w:tr>
    </w:tbl>
    <w:p>
      <w:pPr>
        <w:spacing w:after="40"/>
      </w:pPr>
    </w:p>
    <w:p>
      <w:pPr>
        <w:spacing w:after="120"/>
        <w:jc w:val="both"/>
      </w:pPr>
      <w:r>
        <w:rPr>
          <w:rFonts w:ascii="Times New Roman" w:hAnsi="Times New Roman"/>
          <w:b w:val="0"/>
          <w:i w:val="0"/>
          <w:color w:val="000000"/>
          <w:sz w:val="22"/>
        </w:rPr>
        <w:t>Window size ve alphabet size arttıkça F1 değeri artma eğilimi göstermiştir. Ancak state sayısının artması modelin seyrekleşmesine ve ezberleme riskine yol açabilir. Tam grid sonucu outputs/sensitivity_table.csv dosyasındadır.</w:t>
      </w:r>
    </w:p>
    <w:p>
      <w:pPr>
        <w:spacing w:before="120" w:after="60"/>
        <w:jc w:val="center"/>
      </w:pPr>
      <w:r>
        <w:rPr>
          <w:rFonts w:ascii="Times New Roman" w:hAnsi="Times New Roman"/>
          <w:b/>
          <w:i w:val="0"/>
          <w:color w:val="000000"/>
          <w:sz w:val="20"/>
        </w:rPr>
        <w:t>Tablo 5: Modellerin Çalışma Süresi (Runtime) Karşılaştırması</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135"/>
        <w:gridCol w:w="3135"/>
        <w:gridCol w:w="3135"/>
      </w:tblGrid>
      <w:tr>
        <w:tc>
          <w:tcPr>
            <w:tcW w:type="dxa" w:w="2551"/>
            <w:tcBorders>
              <w:bottom w:val="single" w:sz="6" w:space="0" w:color="000000"/>
            </w:tcBorders>
          </w:tcPr>
          <w:p>
            <w:pPr>
              <w:jc w:val="center"/>
            </w:pPr>
            <w:r>
              <w:rPr>
                <w:rFonts w:ascii="Times New Roman" w:hAnsi="Times New Roman"/>
                <w:b/>
                <w:i w:val="0"/>
                <w:color w:val="000000"/>
                <w:sz w:val="20"/>
              </w:rPr>
              <w:t>Model</w:t>
            </w:r>
          </w:p>
        </w:tc>
        <w:tc>
          <w:tcPr>
            <w:tcW w:type="dxa" w:w="2976"/>
            <w:tcBorders>
              <w:bottom w:val="single" w:sz="6" w:space="0" w:color="000000"/>
            </w:tcBorders>
          </w:tcPr>
          <w:p>
            <w:pPr>
              <w:jc w:val="center"/>
            </w:pPr>
            <w:r>
              <w:rPr>
                <w:rFonts w:ascii="Times New Roman" w:hAnsi="Times New Roman"/>
                <w:b/>
                <w:i w:val="0"/>
                <w:color w:val="000000"/>
                <w:sz w:val="20"/>
              </w:rPr>
              <w:t>Training Time</w:t>
            </w:r>
          </w:p>
        </w:tc>
        <w:tc>
          <w:tcPr>
            <w:tcW w:type="dxa" w:w="2976"/>
            <w:tcBorders>
              <w:bottom w:val="single" w:sz="6" w:space="0" w:color="000000"/>
            </w:tcBorders>
          </w:tcPr>
          <w:p>
            <w:pPr>
              <w:jc w:val="center"/>
            </w:pPr>
            <w:r>
              <w:rPr>
                <w:rFonts w:ascii="Times New Roman" w:hAnsi="Times New Roman"/>
                <w:b/>
                <w:i w:val="0"/>
                <w:color w:val="000000"/>
                <w:sz w:val="20"/>
              </w:rPr>
              <w:t>Inference Time</w:t>
            </w:r>
          </w:p>
        </w:tc>
      </w:tr>
      <w:tr>
        <w:tc>
          <w:tcPr>
            <w:tcW w:type="dxa" w:w="2551"/>
          </w:tcPr>
          <w:p>
            <w:pPr>
              <w:jc w:val="left"/>
            </w:pPr>
            <w:r>
              <w:rPr>
                <w:rFonts w:ascii="Times New Roman" w:hAnsi="Times New Roman"/>
                <w:b w:val="0"/>
                <w:i w:val="0"/>
                <w:color w:val="000000"/>
                <w:sz w:val="20"/>
              </w:rPr>
              <w:t>LSTM</w:t>
            </w:r>
          </w:p>
        </w:tc>
        <w:tc>
          <w:tcPr>
            <w:tcW w:type="dxa" w:w="2976"/>
          </w:tcPr>
          <w:p>
            <w:pPr>
              <w:jc w:val="center"/>
            </w:pPr>
            <w:r>
              <w:rPr>
                <w:rFonts w:ascii="Times New Roman" w:hAnsi="Times New Roman"/>
                <w:b w:val="0"/>
                <w:i w:val="0"/>
                <w:color w:val="000000"/>
                <w:sz w:val="20"/>
              </w:rPr>
              <w:t>6.195 sn</w:t>
            </w:r>
          </w:p>
        </w:tc>
        <w:tc>
          <w:tcPr>
            <w:tcW w:type="dxa" w:w="2976"/>
          </w:tcPr>
          <w:p>
            <w:pPr>
              <w:jc w:val="center"/>
            </w:pPr>
            <w:r>
              <w:rPr>
                <w:rFonts w:ascii="Times New Roman" w:hAnsi="Times New Roman"/>
                <w:b w:val="0"/>
                <w:i w:val="0"/>
                <w:color w:val="000000"/>
                <w:sz w:val="20"/>
              </w:rPr>
              <w:t>0.2161 sn</w:t>
            </w:r>
          </w:p>
        </w:tc>
      </w:tr>
      <w:tr>
        <w:tc>
          <w:tcPr>
            <w:tcW w:type="dxa" w:w="2551"/>
          </w:tcPr>
          <w:p>
            <w:pPr>
              <w:jc w:val="left"/>
            </w:pPr>
            <w:r>
              <w:rPr>
                <w:rFonts w:ascii="Times New Roman" w:hAnsi="Times New Roman"/>
                <w:b w:val="0"/>
                <w:i w:val="0"/>
                <w:color w:val="000000"/>
                <w:sz w:val="20"/>
              </w:rPr>
              <w:t>GRU</w:t>
            </w:r>
          </w:p>
        </w:tc>
        <w:tc>
          <w:tcPr>
            <w:tcW w:type="dxa" w:w="2976"/>
          </w:tcPr>
          <w:p>
            <w:pPr>
              <w:jc w:val="center"/>
            </w:pPr>
            <w:r>
              <w:rPr>
                <w:rFonts w:ascii="Times New Roman" w:hAnsi="Times New Roman"/>
                <w:b w:val="0"/>
                <w:i w:val="0"/>
                <w:color w:val="000000"/>
                <w:sz w:val="20"/>
              </w:rPr>
              <w:t>7.243 sn</w:t>
            </w:r>
          </w:p>
        </w:tc>
        <w:tc>
          <w:tcPr>
            <w:tcW w:type="dxa" w:w="2976"/>
          </w:tcPr>
          <w:p>
            <w:pPr>
              <w:jc w:val="center"/>
            </w:pPr>
            <w:r>
              <w:rPr>
                <w:rFonts w:ascii="Times New Roman" w:hAnsi="Times New Roman"/>
                <w:b w:val="0"/>
                <w:i w:val="0"/>
                <w:color w:val="000000"/>
                <w:sz w:val="20"/>
              </w:rPr>
              <w:t>0.2334 sn</w:t>
            </w:r>
          </w:p>
        </w:tc>
      </w:tr>
      <w:tr>
        <w:tc>
          <w:tcPr>
            <w:tcW w:type="dxa" w:w="2551"/>
          </w:tcPr>
          <w:p>
            <w:pPr>
              <w:jc w:val="left"/>
            </w:pPr>
            <w:r>
              <w:rPr>
                <w:rFonts w:ascii="Times New Roman" w:hAnsi="Times New Roman"/>
                <w:b w:val="0"/>
                <w:i w:val="0"/>
                <w:color w:val="000000"/>
                <w:sz w:val="20"/>
              </w:rPr>
              <w:t>1D-CNN</w:t>
            </w:r>
          </w:p>
        </w:tc>
        <w:tc>
          <w:tcPr>
            <w:tcW w:type="dxa" w:w="2976"/>
          </w:tcPr>
          <w:p>
            <w:pPr>
              <w:jc w:val="center"/>
            </w:pPr>
            <w:r>
              <w:rPr>
                <w:rFonts w:ascii="Times New Roman" w:hAnsi="Times New Roman"/>
                <w:b w:val="0"/>
                <w:i w:val="0"/>
                <w:color w:val="000000"/>
                <w:sz w:val="20"/>
              </w:rPr>
              <w:t>N/A</w:t>
            </w:r>
          </w:p>
        </w:tc>
        <w:tc>
          <w:tcPr>
            <w:tcW w:type="dxa" w:w="2976"/>
          </w:tcPr>
          <w:p>
            <w:pPr>
              <w:jc w:val="center"/>
            </w:pPr>
            <w:r>
              <w:rPr>
                <w:rFonts w:ascii="Times New Roman" w:hAnsi="Times New Roman"/>
                <w:b w:val="0"/>
                <w:i w:val="0"/>
                <w:color w:val="000000"/>
                <w:sz w:val="20"/>
              </w:rPr>
              <w:t>N/A</w:t>
            </w:r>
          </w:p>
        </w:tc>
      </w:tr>
      <w:tr>
        <w:tc>
          <w:tcPr>
            <w:tcW w:type="dxa" w:w="2551"/>
          </w:tcPr>
          <w:p>
            <w:pPr>
              <w:jc w:val="left"/>
            </w:pPr>
            <w:r>
              <w:rPr>
                <w:rFonts w:ascii="Times New Roman" w:hAnsi="Times New Roman"/>
                <w:b w:val="0"/>
                <w:i w:val="0"/>
                <w:color w:val="000000"/>
                <w:sz w:val="20"/>
              </w:rPr>
              <w:t>Automata</w:t>
            </w:r>
          </w:p>
        </w:tc>
        <w:tc>
          <w:tcPr>
            <w:tcW w:type="dxa" w:w="2976"/>
          </w:tcPr>
          <w:p>
            <w:pPr>
              <w:jc w:val="center"/>
            </w:pPr>
            <w:r>
              <w:rPr>
                <w:rFonts w:ascii="Times New Roman" w:hAnsi="Times New Roman"/>
                <w:b w:val="0"/>
                <w:i w:val="0"/>
                <w:color w:val="000000"/>
                <w:sz w:val="20"/>
              </w:rPr>
              <w:t>~0.00 sn</w:t>
            </w:r>
          </w:p>
        </w:tc>
        <w:tc>
          <w:tcPr>
            <w:tcW w:type="dxa" w:w="2976"/>
          </w:tcPr>
          <w:p>
            <w:pPr>
              <w:jc w:val="center"/>
            </w:pPr>
            <w:r>
              <w:rPr>
                <w:rFonts w:ascii="Times New Roman" w:hAnsi="Times New Roman"/>
                <w:b w:val="0"/>
                <w:i w:val="0"/>
                <w:color w:val="000000"/>
                <w:sz w:val="20"/>
              </w:rPr>
              <w:t>~0.00 sn</w:t>
            </w:r>
          </w:p>
        </w:tc>
      </w:tr>
    </w:tbl>
    <w:p>
      <w:pPr>
        <w:spacing w:after="40"/>
      </w:pPr>
    </w:p>
    <w:p>
      <w:pPr>
        <w:spacing w:after="120"/>
        <w:jc w:val="both"/>
      </w:pPr>
      <w:r>
        <w:rPr>
          <w:rFonts w:ascii="Times New Roman" w:hAnsi="Times New Roman"/>
          <w:b w:val="0"/>
          <w:i w:val="0"/>
          <w:color w:val="000000"/>
          <w:sz w:val="22"/>
        </w:rPr>
        <w:t>Automata modeli eğitim ve çıkarım süresi açısından çok hızlıdır. Bu durum açıklanabilirlik ile birlikte pratik kullanım açısından avantaj sağlamaktadır.</w:t>
      </w:r>
    </w:p>
    <w:p>
      <w:pPr>
        <w:spacing w:before="240" w:after="80"/>
      </w:pPr>
      <w:r>
        <w:rPr>
          <w:rFonts w:ascii="Times New Roman" w:hAnsi="Times New Roman"/>
          <w:b/>
          <w:i w:val="0"/>
          <w:color w:val="000000"/>
          <w:sz w:val="26"/>
        </w:rPr>
        <w:t>Açıklanabilirlik Çıktısı</w:t>
      </w:r>
    </w:p>
    <w:p>
      <w:pPr>
        <w:spacing w:after="120"/>
        <w:jc w:val="both"/>
      </w:pPr>
      <w:r>
        <w:rPr>
          <w:rFonts w:ascii="Times New Roman" w:hAnsi="Times New Roman"/>
          <w:b w:val="0"/>
          <w:i w:val="0"/>
          <w:color w:val="000000"/>
          <w:sz w:val="22"/>
        </w:rPr>
        <w:t>outputs/explainability_sample.json her karar için şu alanları üretir: state, pattern, status (seen/unseen), mapped_to, transition_prob, anomaly_score, path_probability, confidence ve decision. Örnek: normal bir adımda (time_step=8) state ccba → pattern ccaa, transition_prob=0.5327, karar=normal. Unseen örneği (outputs/unseen_sample_log.json, time_step=750): state acca, gelen pattern acaa (unseen) Levenshtein ile en yakın train pattern acac'a map edildi; transition_prob=0.005848, anomaly_score=5.1417 → karar=anomaly.</w:t>
      </w:r>
    </w:p>
    <w:p>
      <w:pPr>
        <w:spacing w:before="240" w:after="80"/>
      </w:pPr>
      <w:r>
        <w:rPr>
          <w:rFonts w:ascii="Times New Roman" w:hAnsi="Times New Roman"/>
          <w:b/>
          <w:i w:val="0"/>
          <w:color w:val="000000"/>
          <w:sz w:val="26"/>
        </w:rPr>
        <w:t>Metodoloji ve Leakage Önlemleri</w:t>
      </w:r>
    </w:p>
    <w:p>
      <w:pPr>
        <w:pStyle w:val="ListBullet"/>
        <w:spacing w:after="40"/>
      </w:pPr>
      <w:r>
        <w:rPr>
          <w:rFonts w:ascii="Times New Roman" w:hAnsi="Times New Roman"/>
          <w:b w:val="0"/>
          <w:i w:val="0"/>
          <w:color w:val="000000"/>
          <w:sz w:val="21"/>
        </w:rPr>
        <w:t>Scaler (MinMax) ve PCA yalnızca train verisinde fit edilmiştir.</w:t>
      </w:r>
    </w:p>
    <w:p>
      <w:pPr>
        <w:pStyle w:val="ListBullet"/>
        <w:spacing w:after="40"/>
      </w:pPr>
      <w:r>
        <w:rPr>
          <w:rFonts w:ascii="Times New Roman" w:hAnsi="Times New Roman"/>
          <w:b w:val="0"/>
          <w:i w:val="0"/>
          <w:color w:val="000000"/>
          <w:sz w:val="21"/>
        </w:rPr>
        <w:t>Automata sözlüğü ve geçiş olasılıkları yalnızca train verisinden kurulmuş; eşik train/validation skorundan kalibre edilmiştir.</w:t>
      </w:r>
    </w:p>
    <w:p>
      <w:pPr>
        <w:pStyle w:val="ListBullet"/>
        <w:spacing w:after="40"/>
      </w:pPr>
      <w:r>
        <w:rPr>
          <w:rFonts w:ascii="Times New Roman" w:hAnsi="Times New Roman"/>
          <w:b w:val="0"/>
          <w:i w:val="0"/>
          <w:color w:val="000000"/>
          <w:sz w:val="21"/>
        </w:rPr>
        <w:t>SKAB veri seti source_file bazlı GroupKFold ile bölünmüş; aynı CSV train ve testte karışmamıştır.</w:t>
      </w:r>
    </w:p>
    <w:p>
      <w:pPr>
        <w:pStyle w:val="ListBullet"/>
        <w:spacing w:after="40"/>
      </w:pPr>
      <w:r>
        <w:rPr>
          <w:rFonts w:ascii="Times New Roman" w:hAnsi="Times New Roman"/>
          <w:b w:val="0"/>
          <w:i w:val="0"/>
          <w:color w:val="000000"/>
          <w:sz w:val="21"/>
        </w:rPr>
        <w:t>BATADAL veri seti zaman sıralı %60/%20/%20 olarak bölünmüştür (shuffle yok).</w:t>
      </w:r>
    </w:p>
    <w:p>
      <w:pPr>
        <w:pStyle w:val="ListBullet"/>
        <w:spacing w:after="40"/>
      </w:pPr>
      <w:r>
        <w:rPr>
          <w:rFonts w:ascii="Times New Roman" w:hAnsi="Times New Roman"/>
          <w:b w:val="0"/>
          <w:i w:val="0"/>
          <w:color w:val="000000"/>
          <w:sz w:val="21"/>
        </w:rPr>
        <w:t>Zaman, source_file ve source_group sütunları model girdisi olarak kullanılmamıştır.</w:t>
      </w:r>
    </w:p>
    <w:p>
      <w:pPr>
        <w:spacing w:before="240" w:after="80"/>
      </w:pPr>
      <w:r>
        <w:rPr>
          <w:rFonts w:ascii="Times New Roman" w:hAnsi="Times New Roman"/>
          <w:b/>
          <w:i w:val="0"/>
          <w:color w:val="000000"/>
          <w:sz w:val="26"/>
        </w:rPr>
        <w:t>Sınırlılıklar</w:t>
      </w:r>
    </w:p>
    <w:p>
      <w:pPr>
        <w:pStyle w:val="ListBullet"/>
        <w:spacing w:after="40"/>
      </w:pPr>
      <w:r>
        <w:rPr>
          <w:rFonts w:ascii="Times New Roman" w:hAnsi="Times New Roman"/>
          <w:b w:val="0"/>
          <w:i w:val="0"/>
          <w:color w:val="000000"/>
          <w:sz w:val="21"/>
        </w:rPr>
        <w:t>BATADAL sınıf dengesizliği (~%5 anomali) nedeniyle derin öğrenme modellerinde F1 düşük kalmıştır.</w:t>
      </w:r>
    </w:p>
    <w:p>
      <w:pPr>
        <w:pStyle w:val="ListBullet"/>
        <w:spacing w:after="40"/>
      </w:pPr>
      <w:r>
        <w:rPr>
          <w:rFonts w:ascii="Times New Roman" w:hAnsi="Times New Roman"/>
          <w:b w:val="0"/>
          <w:i w:val="0"/>
          <w:color w:val="000000"/>
          <w:sz w:val="21"/>
        </w:rPr>
        <w:t>SKAB DL early stopping için validation, train fold içindeki source_file gruplarından (~%20) ayrılır; early stopping bu validation'ın val_loss değerini izler. Test fold'u early stopping'de kullanılmaz; aynı CSV inner-train / validation / test arasında karışmaz.</w:t>
      </w:r>
    </w:p>
    <w:p>
      <w:pPr>
        <w:pStyle w:val="ListBullet"/>
        <w:spacing w:after="40"/>
      </w:pPr>
      <w:r>
        <w:rPr>
          <w:rFonts w:ascii="Times New Roman" w:hAnsi="Times New Roman"/>
          <w:b w:val="0"/>
          <w:i w:val="0"/>
          <w:color w:val="000000"/>
          <w:sz w:val="21"/>
        </w:rPr>
        <w:t>Gürültü deneyi 5 random seed [42, 123, 2026, 7, 999] ile çalıştırılmıştır; unseen senaryosu deterministik otomata üzerinde çalıştığından tek koşu yeterlidir (seed etkisi yok).</w:t>
      </w:r>
    </w:p>
    <w:p>
      <w:pPr>
        <w:pStyle w:val="ListBullet"/>
        <w:spacing w:after="40"/>
      </w:pPr>
      <w:r>
        <w:rPr>
          <w:rFonts w:ascii="Times New Roman" w:hAnsi="Times New Roman"/>
          <w:b w:val="0"/>
          <w:i w:val="0"/>
          <w:color w:val="000000"/>
          <w:sz w:val="21"/>
        </w:rPr>
        <w:t>Cross-dataset deneyi leakage riski nedeniyle kapalı tutulmuştur.</w:t>
      </w:r>
    </w:p>
    <w:p>
      <w:pPr>
        <w:pStyle w:val="ListBullet"/>
        <w:spacing w:after="40"/>
      </w:pPr>
      <w:r>
        <w:rPr>
          <w:rFonts w:ascii="Times New Roman" w:hAnsi="Times New Roman"/>
          <w:b w:val="0"/>
          <w:i w:val="0"/>
          <w:color w:val="000000"/>
          <w:sz w:val="21"/>
        </w:rPr>
        <w:t>1D-CNN kodda opsiyonel olmakla birlikte final koşuda süre maliyeti nedeniyle kapalıdır.</w:t>
      </w:r>
    </w:p>
    <w:p>
      <w:pPr>
        <w:pStyle w:val="ListBullet"/>
        <w:spacing w:after="40"/>
      </w:pPr>
      <w:r>
        <w:rPr>
          <w:rFonts w:ascii="Times New Roman" w:hAnsi="Times New Roman"/>
          <w:b w:val="0"/>
          <w:i w:val="0"/>
          <w:color w:val="000000"/>
          <w:sz w:val="21"/>
        </w:rPr>
        <w:t>SKAB için Accuracy, Precision, Recall ve F1 metriklerinin tümü fold/seed bazında loglanır ve mean ± std olarak raporlanır.</w:t>
      </w:r>
    </w:p>
    <w:p>
      <w:pPr>
        <w:spacing w:before="240" w:after="80"/>
      </w:pPr>
      <w:r>
        <w:rPr>
          <w:rFonts w:ascii="Times New Roman" w:hAnsi="Times New Roman"/>
          <w:b/>
          <w:i w:val="0"/>
          <w:color w:val="000000"/>
          <w:sz w:val="26"/>
        </w:rPr>
        <w:t>Sonuç</w:t>
      </w:r>
    </w:p>
    <w:p>
      <w:pPr>
        <w:spacing w:after="120"/>
        <w:jc w:val="both"/>
      </w:pPr>
      <w:r>
        <w:rPr>
          <w:rFonts w:ascii="Times New Roman" w:hAnsi="Times New Roman"/>
          <w:b w:val="0"/>
          <w:i w:val="0"/>
          <w:color w:val="000000"/>
          <w:sz w:val="22"/>
        </w:rPr>
        <w:t>Bu çalışma, black-box derin öğrenme modelleri ile açıklanabilir probabilistic automata yaklaşımını karşılaştırmıştır. LSTM ve GRU SKAB üzerinde yüksek performans göstermiştir. Automata modeli performans olarak sınırlı kalsa da state, pattern ve transition probability üzerinden açıklanabilirlik sağlamıştır.</w:t>
      </w:r>
    </w:p>
    <w:p>
      <w:pPr>
        <w:spacing w:before="240" w:after="80"/>
      </w:pPr>
      <w:r>
        <w:rPr>
          <w:rFonts w:ascii="Times New Roman" w:hAnsi="Times New Roman"/>
          <w:b/>
          <w:i w:val="0"/>
          <w:color w:val="000000"/>
          <w:sz w:val="26"/>
        </w:rPr>
        <w:t>Ek Görseller</w:t>
      </w:r>
    </w:p>
    <w:p>
      <w:pPr>
        <w:jc w:val="center"/>
      </w:pPr>
      <w:r>
        <w:drawing>
          <wp:inline xmlns:a="http://schemas.openxmlformats.org/drawingml/2006/main" xmlns:pic="http://schemas.openxmlformats.org/drawingml/2006/picture">
            <wp:extent cx="5120640" cy="2098859"/>
            <wp:docPr id="1" name="Picture 1"/>
            <wp:cNvGraphicFramePr>
              <a:graphicFrameLocks noChangeAspect="1"/>
            </wp:cNvGraphicFramePr>
            <a:graphic>
              <a:graphicData uri="http://schemas.openxmlformats.org/drawingml/2006/picture">
                <pic:pic>
                  <pic:nvPicPr>
                    <pic:cNvPr id="0" name="cm_roc_LSTM_BATADAL.png"/>
                    <pic:cNvPicPr/>
                  </pic:nvPicPr>
                  <pic:blipFill>
                    <a:blip r:embed="rId9"/>
                    <a:stretch>
                      <a:fillRect/>
                    </a:stretch>
                  </pic:blipFill>
                  <pic:spPr>
                    <a:xfrm>
                      <a:off x="0" y="0"/>
                      <a:ext cx="5120640" cy="2098859"/>
                    </a:xfrm>
                    <a:prstGeom prst="rect"/>
                  </pic:spPr>
                </pic:pic>
              </a:graphicData>
            </a:graphic>
          </wp:inline>
        </w:drawing>
      </w:r>
    </w:p>
    <w:p>
      <w:pPr>
        <w:jc w:val="center"/>
      </w:pPr>
      <w:r>
        <w:rPr>
          <w:rFonts w:ascii="Times New Roman" w:hAnsi="Times New Roman"/>
          <w:b w:val="0"/>
          <w:i/>
          <w:color w:val="000000"/>
          <w:sz w:val="19"/>
        </w:rPr>
        <w:t>Şekil 1: LSTM (BATADAL) için Confusion Matrix ve ROC eğrisi.</w:t>
      </w:r>
    </w:p>
    <w:p>
      <w:pPr>
        <w:spacing w:after="80"/>
      </w:pPr>
    </w:p>
    <w:p>
      <w:pPr>
        <w:jc w:val="center"/>
      </w:pPr>
      <w:r>
        <w:drawing>
          <wp:inline xmlns:a="http://schemas.openxmlformats.org/drawingml/2006/main" xmlns:pic="http://schemas.openxmlformats.org/drawingml/2006/picture">
            <wp:extent cx="5120640" cy="2165384"/>
            <wp:docPr id="2" name="Picture 2"/>
            <wp:cNvGraphicFramePr>
              <a:graphicFrameLocks noChangeAspect="1"/>
            </wp:cNvGraphicFramePr>
            <a:graphic>
              <a:graphicData uri="http://schemas.openxmlformats.org/drawingml/2006/picture">
                <pic:pic>
                  <pic:nvPicPr>
                    <pic:cNvPr id="0" name="automata_BATADAL.png"/>
                    <pic:cNvPicPr/>
                  </pic:nvPicPr>
                  <pic:blipFill>
                    <a:blip r:embed="rId10"/>
                    <a:stretch>
                      <a:fillRect/>
                    </a:stretch>
                  </pic:blipFill>
                  <pic:spPr>
                    <a:xfrm>
                      <a:off x="0" y="0"/>
                      <a:ext cx="5120640" cy="2165384"/>
                    </a:xfrm>
                    <a:prstGeom prst="rect"/>
                  </pic:spPr>
                </pic:pic>
              </a:graphicData>
            </a:graphic>
          </wp:inline>
        </w:drawing>
      </w:r>
    </w:p>
    <w:p>
      <w:pPr>
        <w:jc w:val="center"/>
      </w:pPr>
      <w:r>
        <w:rPr>
          <w:rFonts w:ascii="Times New Roman" w:hAnsi="Times New Roman"/>
          <w:b w:val="0"/>
          <w:i/>
          <w:color w:val="000000"/>
          <w:sz w:val="19"/>
        </w:rPr>
        <w:t>Şekil 2: Otomata state diagramı ve geçiş olasılığı heatmap'i.</w:t>
      </w:r>
    </w:p>
    <w:p>
      <w:pPr>
        <w:spacing w:after="80"/>
      </w:pPr>
    </w:p>
    <w:p>
      <w:pPr>
        <w:jc w:val="center"/>
      </w:pPr>
      <w:r>
        <w:drawing>
          <wp:inline xmlns:a="http://schemas.openxmlformats.org/drawingml/2006/main" xmlns:pic="http://schemas.openxmlformats.org/drawingml/2006/picture">
            <wp:extent cx="5120640" cy="1814226"/>
            <wp:docPr id="3" name="Picture 3"/>
            <wp:cNvGraphicFramePr>
              <a:graphicFrameLocks noChangeAspect="1"/>
            </wp:cNvGraphicFramePr>
            <a:graphic>
              <a:graphicData uri="http://schemas.openxmlformats.org/drawingml/2006/picture">
                <pic:pic>
                  <pic:nvPicPr>
                    <pic:cNvPr id="0" name="parameter_sensitivity.png"/>
                    <pic:cNvPicPr/>
                  </pic:nvPicPr>
                  <pic:blipFill>
                    <a:blip r:embed="rId11"/>
                    <a:stretch>
                      <a:fillRect/>
                    </a:stretch>
                  </pic:blipFill>
                  <pic:spPr>
                    <a:xfrm>
                      <a:off x="0" y="0"/>
                      <a:ext cx="5120640" cy="1814226"/>
                    </a:xfrm>
                    <a:prstGeom prst="rect"/>
                  </pic:spPr>
                </pic:pic>
              </a:graphicData>
            </a:graphic>
          </wp:inline>
        </w:drawing>
      </w:r>
    </w:p>
    <w:p>
      <w:pPr>
        <w:jc w:val="center"/>
      </w:pPr>
      <w:r>
        <w:rPr>
          <w:rFonts w:ascii="Times New Roman" w:hAnsi="Times New Roman"/>
          <w:b w:val="0"/>
          <w:i/>
          <w:color w:val="000000"/>
          <w:sz w:val="19"/>
        </w:rPr>
        <w:t>Şekil 3: Window size ve alphabet size duyarlılık grafikleri.</w:t>
      </w:r>
    </w:p>
    <w:p>
      <w:pPr>
        <w:spacing w:after="8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