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68"/>
        <w:pBdr/>
        <w:spacing/>
        <w:ind/>
        <w:jc w:val="center"/>
        <w:rPr>
          <w:color w:val="auto"/>
          <w:highlight w:val="none"/>
        </w:rPr>
      </w:pP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  <w:t xml:space="preserve">Статья и слайды</w:t>
        <w:br/>
        <w:br/>
        <w:t xml:space="preserve">Методика оценки информационных показателей космической радиолокационной системы наблюдения в задачах планирования сьемки</w:t>
        <w:br/>
      </w:r>
      <w:r>
        <w:rPr>
          <w:color w:val="auto"/>
          <w:highlight w:val="none"/>
        </w:rPr>
      </w:r>
    </w:p>
    <w:p>
      <w:pPr>
        <w:pStyle w:val="668"/>
        <w:pBdr/>
        <w:spacing/>
        <w:ind/>
        <w:jc w:val="both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Во введении следует обосновать актуальность темы: важность космических радиолокационных систем для наблюдения Земли, и</w:t>
      </w:r>
      <w:r>
        <w:rPr>
          <w:color w:val="auto"/>
          <w:sz w:val="28"/>
          <w:szCs w:val="28"/>
          <w:highlight w:val="none"/>
        </w:rPr>
        <w:t xml:space="preserve">х преимущества перед оптическими (например, всепогодность), сложности планирования съёмки из-за ограничений системы и изменяющихся условий. Нужно также указать цель работы — разработать методику оценки информационных показателей для улучшения планирования.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Далее, возможно, разд</w:t>
      </w:r>
      <w:bookmarkStart w:id="0" w:name="_GoBack"/>
      <w:r>
        <w:rPr>
          <w:color w:val="auto"/>
          <w:highlight w:val="none"/>
        </w:rPr>
      </w:r>
      <w:bookmarkEnd w:id="0"/>
      <w:r>
        <w:rPr>
          <w:color w:val="auto"/>
          <w:sz w:val="28"/>
          <w:szCs w:val="28"/>
          <w:highlight w:val="none"/>
        </w:rPr>
        <w:t xml:space="preserve">ел с обзором литературы или существующих методов. Здесь можно упомянуть предыдущие исследования в области оценки эффективности радиолокационных систем, методы планирования съёмки, используемые подходы к оценке информативности данных.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Постановка задачи: формализовать проблему. Какие именно информационные показатели оц</w:t>
      </w:r>
      <w:r>
        <w:rPr>
          <w:color w:val="auto"/>
          <w:sz w:val="28"/>
          <w:szCs w:val="28"/>
          <w:highlight w:val="none"/>
        </w:rPr>
        <w:t xml:space="preserve">ениваются? Например, разрешающая способность, площадь покрытия, частота повторной съёмки, отношение сигнал-шум, точность геопозиционирования и т.д. Нужно определить, какие параметры системы влияют на эти показатели и как они связаны с планированием съёмки.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Методика: детальное описание предложенного метода. Возможно, математические модели, которые с</w:t>
      </w:r>
      <w:r>
        <w:rPr>
          <w:color w:val="auto"/>
          <w:sz w:val="28"/>
          <w:szCs w:val="28"/>
          <w:highlight w:val="none"/>
        </w:rPr>
        <w:t xml:space="preserve">вязывают параметры системы (частота, мощность, угол обзора и т.д.) с информационными показателями. Алгоритмы оценки, критерии оптимизации при планировании. Возможно, использование методов статистического анализа, теории информации, оптимизационных моделей.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Результаты: применение методики на практике. Моделирование различных сценариев планирования, сравнение с существующими методами. Здесь понадобятся графики и таблицы для наглядности.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Обсуждение: интерпретация результатов, ограничения метода, возможные улучшения.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Заключение: основные выводы, значимость работы.</w:t>
      </w:r>
      <w:r>
        <w:rPr>
          <w:color w:val="auto"/>
          <w:highlight w:val="none"/>
        </w:rPr>
      </w:r>
    </w:p>
    <w:p>
      <w:pPr>
        <w:pStyle w:val="668"/>
        <w:pBdr/>
        <w:spacing/>
        <w:ind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eastAsia="ru-RU"/>
        </w:rPr>
      </w:r>
      <w:r>
        <w:rPr>
          <w:color w:val="auto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eastAsia="ru-RU"/>
        </w:rPr>
      </w:r>
    </w:p>
    <w:p>
      <w:pPr>
        <w:pStyle w:val="680"/>
        <w:pBdr/>
        <w:spacing w:after="240" w:afterAutospacing="0" w:before="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Теперь графики. Нужно подумать, какие визуализации лучше всего продемонстрируют эффективность методики. Возможно: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1. Графики зависимости информационных показателей от параметров системы: например, разрешение vs. высота орбиты или угол обзора.</w:t>
        <w:br/>
        <w:br/>
      </w:r>
      <w:r>
        <w:rPr>
          <w:rStyle w:val="671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Для РСА (радиолокатор):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676"/>
        <w:widowControl w:val="true"/>
        <w:numPr>
          <w:ilvl w:val="0"/>
          <w:numId w:val="1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671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Азимутальное разрешение vs. Высота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676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 w:line="288" w:lineRule="auto"/>
        <w:ind w:right="0" w:firstLine="0" w:left="889"/>
        <w:jc w:val="left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Разрешение </w:t>
      </w:r>
      <w:r>
        <w:rPr>
          <w:rStyle w:val="671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ухудшается с ростом высоты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(зависит от 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H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/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L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ant​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).</w:t>
        <w:br/>
      </w:r>
      <w:r>
        <w:rPr>
          <w:rStyle w:val="673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Пример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 При 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H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=500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км и антенне 10 м разрешение ≈ 1.37 м.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676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202" type="#_x0000_t202" style="position:absolute;z-index:2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676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2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676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3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676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676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671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 Для улучшения азимутального разрешения нужно уменьшать высоту или увеличивать длину антенны.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676"/>
        <w:widowControl w:val="true"/>
        <w:numPr>
          <w:ilvl w:val="0"/>
          <w:numId w:val="1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671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Дальностное разрешение vs. Ширина полосы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676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 w:line="288" w:lineRule="auto"/>
        <w:ind w:right="0" w:firstLine="0" w:left="889"/>
        <w:jc w:val="left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671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Чем шире полоса сигнала, тем лучше разрешение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(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δr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​∝1/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B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).</w:t>
        <w:br/>
      </w:r>
      <w:r>
        <w:rPr>
          <w:rStyle w:val="673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Пример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 При 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B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=50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МГц разрешение ≈ 3 м, при 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B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=200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МГц — 0.75 м.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3" name="Врезк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676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4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676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4" name="Врез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676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202" type="#_x0000_t202" style="position:absolute;z-index:5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676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5" name="Врезка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676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6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676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676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671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 Широкая полоса улучшает детализацию, но требует более сложной аппаратуры.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676"/>
        <w:widowControl w:val="true"/>
        <w:numPr>
          <w:ilvl w:val="0"/>
          <w:numId w:val="1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671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Ширина полосы обзора vs. Угол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676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 w:line="288" w:lineRule="auto"/>
        <w:ind w:right="0" w:firstLine="0" w:left="0"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687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336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936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31.2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color w:val="auto"/>
          <w:highlight w:val="none"/>
        </w:rPr>
      </w: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Ширина уменьшается с ростом угла обзора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 (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Swath∝1/sin(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θ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).</w:t>
        <w:br/>
      </w:r>
      <w:r>
        <w:rPr>
          <w:rStyle w:val="673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Пример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При угле 30° ширина ≈ 55 км, при 60° — около 27 км.</w:t>
      </w:r>
      <w:r>
        <w:rPr>
          <w:color w:val="auto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7" name="Врезка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676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202" type="#_x0000_t202" style="position:absolute;z-index:7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676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Вывод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Узкие углы обзора дают большую зону покрытия, но снижают детализацию.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0"/>
          <w:numId w:val="1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Ограничения PRF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854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2020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9385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31.3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  <w:br/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 w:line="288" w:lineRule="auto"/>
        <w:ind w:right="0" w:firstLine="0" w:left="889"/>
        <w:jc w:val="left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 должна быть выше азимутального предела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 (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PRF&gt;2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v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/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δ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az​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 и </w:t>
      </w: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ниже дальностного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 (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PRF&lt;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c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/(2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H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sin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θ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).</w:t>
        <w:br/>
      </w:r>
      <w:r>
        <w:rPr>
          <w:rStyle w:val="673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Пример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На высоте 500 км и угле 30° PRF должна быть между ~1500 Гц и ~1400 Гц (противоречие!).</w:t>
      </w:r>
      <w:r>
        <w:rPr>
          <w:color w:val="auto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9" name="Врезк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676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202" type="#_x0000_t202" style="position:absolute;z-index:8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676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auto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10" name="Врезка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676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202" type="#_x0000_t202" style="position:absolute;z-index:9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676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Вывод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На некоторых высотах и углах возникает несовместимость требований к PRF, что ограничивает рабочие режимы РСА.</w:t>
      </w:r>
      <w:r>
        <w:rPr>
          <w:color w:val="auto"/>
          <w:highlight w:val="none"/>
        </w:rPr>
      </w:r>
    </w:p>
    <w:p>
      <w:pPr>
        <w:pStyle w:val="681"/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669"/>
        <w:widowControl w:val="true"/>
        <w:pBdr/>
        <w:spacing w:line="360" w:lineRule="auto"/>
        <w:ind w:right="0" w:firstLine="0" w:left="24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bCs/>
          <w:i w:val="0"/>
          <w:caps w:val="0"/>
          <w:smallCaps w:val="0"/>
          <w:color w:val="auto"/>
          <w:spacing w:val="0"/>
          <w:highlight w:val="none"/>
        </w:rPr>
        <w:t xml:space="preserve">3. С учетом кривизны Земли: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0"/>
          <w:numId w:val="2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Ширина полосы обзора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2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Реальная ширина (сферическая модель) больше, чем в плоской модели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, особенно при больших углах обзора.</w:t>
        <w:br/>
      </w:r>
      <w:r>
        <w:rPr>
          <w:rStyle w:val="673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Пример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При угле 30° разница составляет ~40 км (94 км vs 55 км).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2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Вывод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Игнорирование кривизны Земли приводит к значительной недооценке зоны покрытия.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0"/>
          <w:numId w:val="2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 ограничение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2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 снижается с увеличением угла обзора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, так как наклонная дальность растет.</w:t>
        <w:br/>
      </w:r>
      <w:r>
        <w:rPr>
          <w:rStyle w:val="673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Пример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При угле 60° PRF ≈ 800 Гц, при 20° — ~2500 Гц.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2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Вывод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Большие углы обзора накладывают более жесткие ограничения на PRF.</w:t>
      </w:r>
      <w:r>
        <w:rPr>
          <w:color w:val="auto"/>
          <w:highlight w:val="none"/>
        </w:rPr>
      </w:r>
    </w:p>
    <w:p>
      <w:pPr>
        <w:pStyle w:val="681"/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669"/>
        <w:widowControl w:val="true"/>
        <w:pBdr/>
        <w:spacing w:line="360" w:lineRule="auto"/>
        <w:ind w:right="0" w:firstLine="0" w:left="24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bCs/>
          <w:i w:val="0"/>
          <w:caps w:val="0"/>
          <w:smallCaps w:val="0"/>
          <w:color w:val="auto"/>
          <w:spacing w:val="0"/>
          <w:highlight w:val="none"/>
        </w:rPr>
        <w:t xml:space="preserve">Общие рекомендации: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0"/>
          <w:numId w:val="3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Выбор высоты орбиты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Для высокого разрешения (военные, мониторинг инфраструктуры) — низкие орбиты (300-600 км).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676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Для широкого покрытия (картографирование, сельское хозяйство) — высокие орбиты (800-1000 км).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676"/>
        <w:widowControl w:val="true"/>
        <w:numPr>
          <w:ilvl w:val="0"/>
          <w:numId w:val="3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Угол обзора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Узкие углы (20-30°) — для детализированной съемки.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676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Широкие углы (40-60°) — для охвата больших территорий.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676"/>
        <w:widowControl w:val="true"/>
        <w:numPr>
          <w:ilvl w:val="0"/>
          <w:numId w:val="3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Учет кривизны Земли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Обязателен при проектировании РСА для углов &gt;30°, чтобы избежать ошибок в расчетах.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676"/>
        <w:widowControl w:val="true"/>
        <w:numPr>
          <w:ilvl w:val="0"/>
          <w:numId w:val="3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671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Компромиссы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</w:p>
    <w:p>
      <w:pPr>
        <w:pStyle w:val="676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Между разрешением, шириной покрытия и PRF. Например, улучшение одного параметра часто ухудшает другой.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676"/>
        <w:pBdr/>
        <w:spacing/>
        <w:ind w:right="0" w:firstLine="0" w:left="0"/>
        <w:rPr>
          <w:color w:val="auto"/>
          <w:highlight w:val="none"/>
        </w:rPr>
      </w:pPr>
      <w:r>
        <w:rPr>
          <w:color w:val="auto"/>
          <w:highlight w:val="none"/>
        </w:rPr>
        <w:t xml:space="preserve">Эти выводы помогают оптимизировать параметры космических аппаратов для конкретных задач, минимизируя затраты и повышая эффективность миссий.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br/>
        <w:br/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2. Сравнение покрытия территории при разных стратегиях планирования съёмки (например, карты покрытия за определённый период).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3. Графики оптимизационных процессов: как изменяются критерии оценки в процессе оптимизации расписания съёмки.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4. Гистограммы или барчарты сравнения предложенного метода с существующими по ключевым показателям (время покрытия, количество снимков и т.д.).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5. Временные диаграммы расписания съёмки, показывающие, когда и какие участки снимаются.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2866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43407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928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30.6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color w:val="auto"/>
          <w:sz w:val="28"/>
          <w:szCs w:val="28"/>
          <w:highlight w:val="none"/>
        </w:rPr>
      </w:r>
      <w:r>
        <w:rPr>
          <w:color w:val="auto"/>
          <w:sz w:val="28"/>
          <w:szCs w:val="28"/>
          <w:highlight w:val="none"/>
        </w:rPr>
      </w:r>
      <w:r>
        <w:rPr>
          <w:color w:val="auto"/>
          <w:sz w:val="28"/>
          <w:szCs w:val="28"/>
          <w:highlight w:val="none"/>
        </w:rPr>
      </w:r>
    </w:p>
    <w:p>
      <w:pPr>
        <w:pStyle w:val="66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line="360" w:lineRule="auto"/>
        <w:ind w:right="0" w:firstLine="0" w:left="0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6. Зависимость точности геопозиционирования или SNR от рабочих параметров радиолокатора.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3868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5358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938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88.8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color w:val="auto"/>
          <w:highlight w:val="none"/>
        </w:rPr>
        <w:t xml:space="preserve">Рекомендации по анализу: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6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b/>
          <w:color w:val="auto"/>
          <w:sz w:val="24"/>
          <w:highlight w:val="none"/>
        </w:rPr>
        <w:t xml:space="preserve">SNR</w:t>
      </w:r>
      <w:r>
        <w:rPr>
          <w:rFonts w:ascii="Arial" w:hAnsi="Arial" w:eastAsia="Arial" w:cs="Arial"/>
          <w:color w:val="auto"/>
          <w:highlight w:val="none"/>
        </w:rPr>
        <w:t xml:space="preserve">: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Увеличивается с ростом угла визирования (из-за уменьшения наклонной дальности)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6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Для улучшения SNR можно: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Увеличить мощность передатчика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Использовать антенну с большим усилением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Уменьшить ширину полосы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6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b/>
          <w:color w:val="auto"/>
          <w:sz w:val="24"/>
          <w:highlight w:val="none"/>
        </w:rPr>
        <w:t xml:space="preserve">Точность позиционирования</w:t>
      </w:r>
      <w:r>
        <w:rPr>
          <w:rFonts w:ascii="Arial" w:hAnsi="Arial" w:eastAsia="Arial" w:cs="Arial"/>
          <w:color w:val="auto"/>
          <w:highlight w:val="none"/>
        </w:rPr>
        <w:t xml:space="preserve">: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Улучшается (уменьшается ошибка) с ростом угла визирования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Зависит от разрешающей способности РСА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6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Для улучшения точности: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Уменьшить длину волны (перейти на более высокочастотный диапазон)</w:t>
      </w:r>
      <w:r>
        <w:rPr>
          <w:color w:val="auto"/>
          <w:highlight w:val="none"/>
        </w:rPr>
      </w:r>
    </w:p>
    <w:p>
      <w:pPr>
        <w:pStyle w:val="1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Увеличить размер антенны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7. Возможно, 3D-визуализация зоны обзора спутника в зависимости от угла и орбиты.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Важно, чтобы графики были информативными, подписанными, с пояснениями в подписях. Нужно выбрать те, которые наиболее ярко демонстрируют преимущества предлагаемой методики.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Нужно также убедиться, что все разделы логически связаны, методика чётко описана, результаты подтверждают эффективность подхода. Возможно, стоит включить блок с описанием моделирования или экспериментальной проверки, если таковые были.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Возможно, я что-то упустил. Например, раздел с описанием радиолокационной системы и её параметров, если это важно для понимания методики. Или раздел с определением информационных показателей — что именно под ними понимается в контексте работы.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Также стоит подумать о том, как связаны информационные показатели с задачами планирования. Например, как оценка этих показателей влияет на выбор времени съёмки, продолжительности, угла обзора и т.д. Это важно для обоснования методики.</w:t>
      </w:r>
      <w:r>
        <w:rPr>
          <w:color w:val="auto"/>
          <w:highlight w:val="none"/>
        </w:rPr>
      </w:r>
    </w:p>
    <w:p>
      <w:pPr>
        <w:pStyle w:val="680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В общем, структура должна быть логичной, переходя от постановки проблемы к решению, демонстрации результатов и их обсуждению. Графики должны иллюстрировать ключевые моменты каждого раздела, особенно результаты моделирования и сравнения.</w:t>
      </w:r>
      <w:r>
        <w:rPr>
          <w:color w:val="auto"/>
          <w:highlight w:val="none"/>
        </w:rPr>
      </w:r>
    </w:p>
    <w:p>
      <w:pPr>
        <w:pStyle w:val="668"/>
        <w:pBdr/>
        <w:spacing w:after="160" w:before="0"/>
        <w:ind/>
        <w:jc w:val="both"/>
        <w:rPr/>
      </w:pP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1159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074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5811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457.6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38918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944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6389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503.0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668"/>
        <w:pBdr/>
        <w:spacing w:after="160" w:before="0"/>
        <w:ind/>
        <w:jc w:val="both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/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26917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2241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626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493.6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  <w:r/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64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292a2d" w:fill="292a2d"/>
        <w:spacing w:after="60" w:before="0"/>
        <w:ind w:right="0"/>
        <w:rPr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Arial" w:hAnsi="Arial" w:eastAsia="Arial" w:cs="Arial"/>
          <w:b/>
          <w:color w:val="f8faff"/>
          <w:sz w:val="24"/>
        </w:rPr>
        <w:t xml:space="preserve">Сравнение с другими режимами</w:t>
      </w:r>
      <w:r>
        <w:rPr>
          <w:rFonts w:ascii="Arial" w:hAnsi="Arial" w:eastAsia="Arial" w:cs="Arial"/>
          <w:color w:val="f8faff"/>
        </w:rPr>
        <w:t xml:space="preserve">:</w:t>
      </w:r>
      <w:r/>
    </w:p>
    <w:p>
      <w:pPr>
        <w:pStyle w:val="16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292a2d" w:fill="292a2d"/>
        <w:spacing w:after="0" w:before="0"/>
        <w:ind w:right="0"/>
        <w:rPr/>
      </w:pPr>
      <w:r>
        <w:rPr>
          <w:rFonts w:ascii="Arial" w:hAnsi="Arial" w:eastAsia="Arial" w:cs="Arial"/>
          <w:b/>
          <w:color w:val="f8faff"/>
          <w:sz w:val="24"/>
        </w:rPr>
        <w:t xml:space="preserve">Stripmap</w:t>
      </w:r>
      <w:r>
        <w:rPr>
          <w:rFonts w:ascii="Arial" w:hAnsi="Arial" w:eastAsia="Arial" w:cs="Arial"/>
          <w:color w:val="f8faff"/>
        </w:rPr>
        <w:t xml:space="preserve">: PRF обычно фиксирована, так как антенна не меняет ориентацию.</w:t>
      </w:r>
      <w:r/>
    </w:p>
    <w:p>
      <w:pPr>
        <w:pStyle w:val="16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292a2d" w:fill="292a2d"/>
        <w:spacing w:after="0" w:before="0"/>
        <w:ind w:right="0"/>
        <w:rPr/>
      </w:pPr>
      <w:r>
        <w:rPr>
          <w:rFonts w:ascii="Arial" w:hAnsi="Arial" w:eastAsia="Arial" w:cs="Arial"/>
          <w:b/>
          <w:color w:val="f8faff"/>
          <w:sz w:val="24"/>
        </w:rPr>
        <w:t xml:space="preserve">Spotlight</w:t>
      </w:r>
      <w:r>
        <w:rPr>
          <w:rFonts w:ascii="Arial" w:hAnsi="Arial" w:eastAsia="Arial" w:cs="Arial"/>
          <w:color w:val="f8faff"/>
        </w:rPr>
        <w:t xml:space="preserve">: PRF может быть выше для высокого разрешения, но не требует такого широкого диапазона, как ScanSAR.</w:t>
      </w:r>
      <w:r/>
    </w:p>
    <w:p>
      <w:pPr>
        <w:pStyle w:val="164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292a2d" w:fill="292a2d"/>
        <w:spacing w:after="0" w:before="0"/>
        <w:ind w:right="0"/>
        <w:rPr/>
      </w:pPr>
      <w:r>
        <w:rPr>
          <w:rFonts w:ascii="Arial" w:hAnsi="Arial" w:eastAsia="Arial" w:cs="Arial"/>
          <w:b/>
          <w:color w:val="f8faff"/>
          <w:sz w:val="24"/>
        </w:rPr>
        <w:t xml:space="preserve">ScanSAR</w:t>
      </w:r>
      <w:r>
        <w:rPr>
          <w:rFonts w:ascii="Arial" w:hAnsi="Arial" w:eastAsia="Arial" w:cs="Arial"/>
          <w:color w:val="f8faff"/>
        </w:rPr>
        <w:t xml:space="preserve">: PRF адаптируется под разные участки полосы обзора, что соответствует динамике на графике.</w:t>
      </w:r>
      <w:r/>
    </w:p>
    <w:p>
      <w:pPr>
        <w:pBdr/>
        <w:tabs>
          <w:tab w:val="left" w:leader="none" w:pos="2696"/>
        </w:tabs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sectPr>
      <w:footnotePr/>
      <w:endnotePr/>
      <w:type w:val="nextPage"/>
      <w:pgSz w:h="16838" w:orient="portrait" w:w="11906"/>
      <w:pgMar w:top="1134" w:right="850" w:bottom="1134" w:left="1701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KaTeX Math">
    <w:panose1 w:val="05040102010807070707"/>
  </w:font>
  <w:font w:name="Symbol">
    <w:panose1 w:val="05010000000000000000"/>
  </w:font>
  <w:font w:name="Times New Roman">
    <w:panose1 w:val="02020603050405020304"/>
  </w:font>
  <w:font w:name="Noto Sans CJK SC">
    <w:panose1 w:val="020B0500000000000000"/>
  </w:font>
  <w:font w:name="KaTeX Main;Times New Roman;serif">
    <w:panose1 w:val="05040102010807070707"/>
  </w:font>
  <w:font w:name="DeepSeek-CJK-patch;Inter;system-ui;apple-system;BlinkMacSystemFont;Segoe UI;Roboto;Noto Sans;Ubuntu;Cantarell;Helvetica Neue;Oxygen;Open Sans;sans-serif">
    <w:panose1 w:val="05040102010807070707"/>
  </w:font>
  <w:font w:name="Liberation Sans">
    <w:panose1 w:val="020B0604020202020204"/>
  </w:font>
  <w:font w:name="OpenSymbol">
    <w:panose1 w:val="05010000000000000000"/>
  </w:font>
  <w:font w:name="DejaVu Sans">
    <w:panose1 w:val="020B0603030804020204"/>
  </w:font>
  <w:font w:name="Noto Sans Devanagari">
    <w:panose1 w:val="020B0502040504020204"/>
  </w:font>
  <w:font w:name="Noto Sans Arabic">
    <w:panose1 w:val="020B0502040504020204"/>
  </w:font>
  <w:font w:name="Liberation Serif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180"/>
        </w:tabs>
        <w:spacing/>
        <w:ind w:firstLine="0" w:left="180"/>
      </w:pPr>
      <w:rPr>
        <w:rFonts w:hint="default" w:ascii="Symbol" w:hAnsi="Symbol" w:cs="Symbol"/>
      </w:rPr>
      <w:start w:val="1"/>
      <w:suff w:val="nothing"/>
    </w:lvl>
    <w:lvl w:ilvl="1">
      <w:isLgl w:val="false"/>
      <w:lvlJc w:val="left"/>
      <w:lvlText w:val=""/>
      <w:numFmt w:val="bullet"/>
      <w:pPr>
        <w:pBdr/>
        <w:tabs>
          <w:tab w:val="num" w:leader="none" w:pos="889"/>
        </w:tabs>
        <w:spacing/>
        <w:ind w:firstLine="0" w:left="889"/>
      </w:pPr>
      <w:rPr>
        <w:rFonts w:hint="default" w:ascii="Symbol" w:hAnsi="Symbol" w:cs="Symbol"/>
      </w:rPr>
      <w:start w:val="1"/>
      <w:suff w:val="nothing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180"/>
        </w:tabs>
        <w:spacing/>
        <w:ind w:firstLine="0" w:left="180"/>
      </w:pPr>
      <w:rPr>
        <w:rFonts w:hint="default" w:ascii="Symbol" w:hAnsi="Symbol" w:cs="Symbol"/>
      </w:rPr>
      <w:start w:val="1"/>
      <w:suff w:val="nothing"/>
    </w:lvl>
    <w:lvl w:ilvl="1">
      <w:isLgl w:val="false"/>
      <w:lvlJc w:val="left"/>
      <w:lvlText w:val=""/>
      <w:numFmt w:val="bullet"/>
      <w:pPr>
        <w:pBdr/>
        <w:tabs>
          <w:tab w:val="num" w:leader="none" w:pos="889"/>
        </w:tabs>
        <w:spacing/>
        <w:ind w:firstLine="0" w:left="889"/>
      </w:pPr>
      <w:rPr>
        <w:rFonts w:hint="default" w:ascii="Symbol" w:hAnsi="Symbol" w:cs="Symbol"/>
      </w:rPr>
      <w:start w:val="1"/>
      <w:suff w:val="nothing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180"/>
        </w:tabs>
        <w:spacing/>
        <w:ind w:firstLine="0" w:left="180"/>
      </w:pPr>
      <w:rPr/>
      <w:start w:val="1"/>
      <w:suff w:val="nothing"/>
    </w:lvl>
    <w:lvl w:ilvl="1">
      <w:isLgl w:val="false"/>
      <w:lvlJc w:val="left"/>
      <w:lvlText w:val=""/>
      <w:numFmt w:val="bullet"/>
      <w:pPr>
        <w:pBdr/>
        <w:tabs>
          <w:tab w:val="num" w:leader="none" w:pos="889"/>
        </w:tabs>
        <w:spacing/>
        <w:ind w:firstLine="0" w:left="889"/>
      </w:pPr>
      <w:rPr>
        <w:rFonts w:hint="default" w:ascii="Symbol" w:hAnsi="Symbol" w:cs="Symbol"/>
      </w:rPr>
      <w:start w:val="1"/>
      <w:suff w:val="nothing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abstractNum w:abstractNumId="3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pStyle w:val="669"/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8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8"/>
    <w:next w:val="668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8"/>
    <w:next w:val="668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4"/>
    <w:basedOn w:val="668"/>
    <w:next w:val="668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8"/>
    <w:next w:val="668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8"/>
    <w:next w:val="668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8"/>
    <w:next w:val="668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8"/>
    <w:next w:val="668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8"/>
    <w:next w:val="668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670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70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70"/>
    <w:link w:val="6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70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70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70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70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70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7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8"/>
    <w:next w:val="668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70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8"/>
    <w:next w:val="668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70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8"/>
    <w:next w:val="668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7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68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7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8"/>
    <w:next w:val="668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7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7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68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7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3">
    <w:name w:val="Subtle Reference"/>
    <w:basedOn w:val="67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8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70"/>
    <w:link w:val="175"/>
    <w:uiPriority w:val="99"/>
    <w:pPr>
      <w:pBdr/>
      <w:spacing/>
      <w:ind/>
    </w:pPr>
  </w:style>
  <w:style w:type="paragraph" w:styleId="177">
    <w:name w:val="Footer"/>
    <w:basedOn w:val="668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70"/>
    <w:link w:val="177"/>
    <w:uiPriority w:val="99"/>
    <w:pPr>
      <w:pBdr/>
      <w:spacing/>
      <w:ind/>
    </w:pPr>
  </w:style>
  <w:style w:type="paragraph" w:styleId="180">
    <w:name w:val="footnote text"/>
    <w:basedOn w:val="668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8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0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67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67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8"/>
    <w:next w:val="668"/>
    <w:uiPriority w:val="39"/>
    <w:unhideWhenUsed/>
    <w:pPr>
      <w:pBdr/>
      <w:spacing w:after="100"/>
      <w:ind/>
    </w:pPr>
  </w:style>
  <w:style w:type="paragraph" w:styleId="189">
    <w:name w:val="toc 2"/>
    <w:basedOn w:val="668"/>
    <w:next w:val="668"/>
    <w:uiPriority w:val="39"/>
    <w:unhideWhenUsed/>
    <w:pPr>
      <w:pBdr/>
      <w:spacing w:after="100"/>
      <w:ind w:left="220"/>
    </w:pPr>
  </w:style>
  <w:style w:type="paragraph" w:styleId="190">
    <w:name w:val="toc 3"/>
    <w:basedOn w:val="668"/>
    <w:next w:val="668"/>
    <w:uiPriority w:val="39"/>
    <w:unhideWhenUsed/>
    <w:pPr>
      <w:pBdr/>
      <w:spacing w:after="100"/>
      <w:ind w:left="440"/>
    </w:pPr>
  </w:style>
  <w:style w:type="paragraph" w:styleId="191">
    <w:name w:val="toc 4"/>
    <w:basedOn w:val="668"/>
    <w:next w:val="668"/>
    <w:uiPriority w:val="39"/>
    <w:unhideWhenUsed/>
    <w:pPr>
      <w:pBdr/>
      <w:spacing w:after="100"/>
      <w:ind w:left="660"/>
    </w:pPr>
  </w:style>
  <w:style w:type="paragraph" w:styleId="192">
    <w:name w:val="toc 5"/>
    <w:basedOn w:val="668"/>
    <w:next w:val="668"/>
    <w:uiPriority w:val="39"/>
    <w:unhideWhenUsed/>
    <w:pPr>
      <w:pBdr/>
      <w:spacing w:after="100"/>
      <w:ind w:left="880"/>
    </w:pPr>
  </w:style>
  <w:style w:type="paragraph" w:styleId="193">
    <w:name w:val="toc 6"/>
    <w:basedOn w:val="668"/>
    <w:next w:val="668"/>
    <w:uiPriority w:val="39"/>
    <w:unhideWhenUsed/>
    <w:pPr>
      <w:pBdr/>
      <w:spacing w:after="100"/>
      <w:ind w:left="1100"/>
    </w:pPr>
  </w:style>
  <w:style w:type="paragraph" w:styleId="194">
    <w:name w:val="toc 7"/>
    <w:basedOn w:val="668"/>
    <w:next w:val="668"/>
    <w:uiPriority w:val="39"/>
    <w:unhideWhenUsed/>
    <w:pPr>
      <w:pBdr/>
      <w:spacing w:after="100"/>
      <w:ind w:left="1320"/>
    </w:pPr>
  </w:style>
  <w:style w:type="paragraph" w:styleId="195">
    <w:name w:val="toc 8"/>
    <w:basedOn w:val="668"/>
    <w:next w:val="668"/>
    <w:uiPriority w:val="39"/>
    <w:unhideWhenUsed/>
    <w:pPr>
      <w:pBdr/>
      <w:spacing w:after="100"/>
      <w:ind w:left="1540"/>
    </w:pPr>
  </w:style>
  <w:style w:type="paragraph" w:styleId="196">
    <w:name w:val="toc 9"/>
    <w:basedOn w:val="668"/>
    <w:next w:val="668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8"/>
    <w:next w:val="668"/>
    <w:uiPriority w:val="99"/>
    <w:unhideWhenUsed/>
    <w:pPr>
      <w:pBdr/>
      <w:spacing w:after="0" w:afterAutospacing="0"/>
      <w:ind/>
    </w:pPr>
  </w:style>
  <w:style w:type="paragraph" w:styleId="668" w:default="1">
    <w:name w:val="Normal"/>
    <w:qFormat/>
    <w:pPr>
      <w:widowControl w:val="true"/>
      <w:pBdr/>
      <w:bidi w:val="false"/>
      <w:spacing w:after="160" w:before="0" w:line="259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ru-RU" w:eastAsia="en-US" w:bidi="ar-SA"/>
    </w:rPr>
  </w:style>
  <w:style w:type="paragraph" w:styleId="669">
    <w:name w:val="Heading 3"/>
    <w:basedOn w:val="675"/>
    <w:next w:val="676"/>
    <w:qFormat/>
    <w:pPr>
      <w:pBdr/>
      <w:spacing w:after="120" w:before="140"/>
      <w:ind/>
      <w:outlineLvl w:val="2"/>
    </w:pPr>
    <w:rPr>
      <w:rFonts w:ascii="Liberation Serif" w:hAnsi="Liberation Serif" w:eastAsia="DejaVu Sans" w:cs="Noto Sans Arabic"/>
      <w:b/>
      <w:bCs/>
      <w:sz w:val="28"/>
      <w:szCs w:val="28"/>
    </w:rPr>
  </w:style>
  <w:style w:type="character" w:styleId="670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671">
    <w:name w:val="Strong"/>
    <w:qFormat/>
    <w:pPr>
      <w:pBdr/>
      <w:spacing/>
      <w:ind/>
    </w:pPr>
    <w:rPr>
      <w:b/>
      <w:bCs/>
    </w:rPr>
  </w:style>
  <w:style w:type="character" w:styleId="672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character" w:styleId="673">
    <w:name w:val="Emphasis"/>
    <w:qFormat/>
    <w:pPr>
      <w:pBdr/>
      <w:spacing/>
      <w:ind/>
    </w:pPr>
    <w:rPr>
      <w:i/>
      <w:iCs/>
    </w:rPr>
  </w:style>
  <w:style w:type="character" w:styleId="674">
    <w:name w:val="Символ нумерации"/>
    <w:qFormat/>
    <w:pPr>
      <w:pBdr/>
      <w:spacing/>
      <w:ind/>
    </w:pPr>
  </w:style>
  <w:style w:type="paragraph" w:styleId="675">
    <w:name w:val="Заголовок"/>
    <w:basedOn w:val="668"/>
    <w:next w:val="676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676">
    <w:name w:val="Body Text"/>
    <w:basedOn w:val="668"/>
    <w:pPr>
      <w:pBdr/>
      <w:spacing w:after="140" w:before="0" w:line="276" w:lineRule="auto"/>
      <w:ind/>
    </w:pPr>
  </w:style>
  <w:style w:type="paragraph" w:styleId="677">
    <w:name w:val="List"/>
    <w:basedOn w:val="676"/>
    <w:pPr>
      <w:pBdr/>
      <w:spacing/>
      <w:ind/>
    </w:pPr>
    <w:rPr>
      <w:rFonts w:cs="Noto Sans Devanagari"/>
    </w:rPr>
  </w:style>
  <w:style w:type="paragraph" w:styleId="678">
    <w:name w:val="Caption"/>
    <w:basedOn w:val="668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679">
    <w:name w:val="Указатель"/>
    <w:basedOn w:val="668"/>
    <w:qFormat/>
    <w:pPr>
      <w:suppressLineNumbers w:val="true"/>
      <w:pBdr/>
      <w:spacing/>
      <w:ind/>
    </w:pPr>
    <w:rPr>
      <w:rFonts w:cs="Noto Sans Devanagari"/>
    </w:rPr>
  </w:style>
  <w:style w:type="paragraph" w:styleId="680" w:customStyle="1">
    <w:name w:val="ba94db8a"/>
    <w:basedOn w:val="668"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681">
    <w:name w:val="Горизонтальная линия"/>
    <w:basedOn w:val="668"/>
    <w:next w:val="676"/>
    <w:qFormat/>
    <w:pPr>
      <w:suppressLineNumbers w:val="true"/>
      <w:pBdr>
        <w:bottom w:val="single" w:color="808080" w:sz="2" w:space="0"/>
      </w:pBdr>
      <w:spacing w:after="283" w:before="0"/>
      <w:ind/>
    </w:pPr>
    <w:rPr>
      <w:sz w:val="12"/>
      <w:szCs w:val="12"/>
    </w:rPr>
  </w:style>
  <w:style w:type="numbering" w:styleId="682">
    <w:name w:val="Без списка"/>
    <w:uiPriority w:val="99"/>
    <w:semiHidden/>
    <w:unhideWhenUsed/>
    <w:qFormat/>
    <w:pPr>
      <w:pBdr/>
      <w:spacing/>
      <w:ind/>
    </w:pPr>
  </w:style>
  <w:style w:type="table" w:styleId="683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Kudinov</dc:creator>
  <dc:description/>
  <dc:language>ru-RU</dc:language>
  <cp:revision>8</cp:revision>
  <dcterms:created xsi:type="dcterms:W3CDTF">2025-04-14T08:50:00Z</dcterms:created>
  <dcterms:modified xsi:type="dcterms:W3CDTF">2025-04-15T15:04:47Z</dcterms:modified>
</cp:coreProperties>
</file>