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Статья и слайды</w:t>
        <w:br/>
        <w:br/>
        <w:t>Методика оценки информационных показателей космической радиолокационной системы наблюдения в задачах планирования сьемки</w:t>
        <w:br/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Во введении следует обосновать актуальность темы: важность космических радиолокационных систем для наблюдения Земли, их преимущества перед оптическими (например, всепогодность), сложности планирования съёмки из-за ограничений системы и изменяющихся условий. Нужно также указать цель работы — разработать методику оценки информационных показателей для улучшения планирования.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Далее, возможно, разд</w:t>
      </w:r>
      <w:bookmarkStart w:id="0" w:name="_GoBack"/>
      <w:bookmarkEnd w:id="0"/>
      <w:r>
        <w:rPr>
          <w:color w:val="000000"/>
          <w:sz w:val="28"/>
          <w:szCs w:val="28"/>
        </w:rPr>
        <w:t>ел с обзором литературы или существующих методов. Здесь можно упомянуть предыдущие исследования в области оценки эффективности радиолокационных систем, методы планирования съёмки, используемые подходы к оценке информативности данных.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Постановка задачи: формализовать проблему. Какие именно информационные показатели оцениваются? Например, разрешающая способность, площадь покрытия, частота повторной съёмки, отношение сигнал-шум, точность геопозиционирования и т.д. Нужно определить, какие параметры системы влияют на эти показатели и как они связаны с планированием съёмки.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Методика: детальное описание предложенного метода. Возможно, математические модели, которые связывают параметры системы (частота, мощность, угол обзора и т.д.) с информационными показателями. Алгоритмы оценки, критерии оптимизации при планировании. Возможно, использование методов статистического анализа, теории информации, оптимизационных моделей.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Результаты: применение методики на практике. Моделирование различных сценариев планирования, сравнение с существующими методами. Здесь понадобятся графики и таблицы для наглядности.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Обсуждение: интерпретация результатов, ограничения метода, возможные улучшения.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Заключение: основные выводы, значимость работы.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ba94db8a"/>
        <w:spacing w:beforeAutospacing="0" w:before="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Теперь графики. Нужно подумать, какие визуализации лучше всего продемонстрируют эффективность методики. Возможно:</w:t>
      </w:r>
    </w:p>
    <w:p>
      <w:pPr>
        <w:pStyle w:val="ba94db8a"/>
        <w:spacing w:beforeAutospacing="0" w:before="240" w:afterAutospacing="0" w:after="240"/>
        <w:jc w:val="both"/>
        <w:rPr/>
      </w:pPr>
      <w:r>
        <w:rPr>
          <w:color w:val="000000"/>
          <w:sz w:val="28"/>
          <w:szCs w:val="28"/>
        </w:rPr>
        <w:t>1. Графики зависимости информационных показателей от параметров системы: например, разрешение vs. высота орбиты или угол обзора.</w:t>
        <w:br/>
        <w:br/>
      </w: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РСА (радиолокатор):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Азимутальное разрешение vs. Высота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1"/>
        </w:numPr>
        <w:tabs>
          <w:tab w:val="clear" w:pos="708"/>
          <w:tab w:val="left" w:pos="0" w:leader="none"/>
        </w:tabs>
        <w:spacing w:lineRule="auto" w:line="288" w:before="0" w:after="0"/>
        <w:ind w:hanging="0" w:left="889" w:right="0"/>
        <w:jc w:val="left"/>
        <w:rPr/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Разрешение </w:t>
      </w: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ухудшается с ростом высоты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(зависит от 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/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L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ant​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  <w:br/>
      </w:r>
      <w:r>
        <w:rPr>
          <w:rStyle w:val="Emphasis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Пример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При 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=500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км и антенне 10 м разрешение ≈ 1.37 м.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9050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90500"/>
                <wp:effectExtent l="0" t="0" r="0" b="0"/>
                <wp:wrapNone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Для улучшения азимутального разрешения нужно уменьшать высоту или увеличивать длину антенны.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Дальностное разрешение vs. Ширина полосы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1"/>
        </w:numPr>
        <w:tabs>
          <w:tab w:val="clear" w:pos="708"/>
          <w:tab w:val="left" w:pos="0" w:leader="none"/>
        </w:tabs>
        <w:spacing w:lineRule="auto" w:line="288" w:before="0" w:after="0"/>
        <w:ind w:hanging="0" w:left="889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Чем шире полоса сигнала, тем лучше разрешение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δr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​∝1/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  <w:br/>
      </w:r>
      <w:r>
        <w:rPr>
          <w:rStyle w:val="Emphasis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Пример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При 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=50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МГц разрешение ≈ 3 м, при 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=200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МГц — 0.75 м.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90500"/>
                <wp:effectExtent l="0" t="0" r="0" b="0"/>
                <wp:wrapNone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90500"/>
                <wp:effectExtent l="0" t="0" r="0" b="0"/>
                <wp:wrapNone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90500"/>
                <wp:effectExtent l="0" t="0" r="0" b="0"/>
                <wp:wrapNone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Широкая полоса улучшает детализацию, но требует более сложной аппаратуры.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Ширина полосы обзора vs. Угол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1"/>
        </w:numPr>
        <w:tabs>
          <w:tab w:val="clear" w:pos="708"/>
          <w:tab w:val="left" w:pos="0" w:leader="none"/>
        </w:tabs>
        <w:spacing w:lineRule="auto" w:line="288" w:before="0" w:after="0"/>
        <w:ind w:hanging="0" w:left="889" w:right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425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Ширина уменьшается с ростом угла обзора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Swath∝1/sin(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θ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  <w:br/>
      </w:r>
      <w:r>
        <w:rPr>
          <w:rStyle w:val="Emphasis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Пример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При угле 30° ширина ≈ 55 км, при 60° — около 27 км.</w: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90500"/>
                <wp:effectExtent l="0" t="0" r="0" b="0"/>
                <wp:wrapNone/>
                <wp:docPr id="7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Узкие углы обзора дают большую зону покрытия, но снижают детализацию.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Ограничения PRF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5455" cy="356425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  <w:br/>
      </w:r>
    </w:p>
    <w:p>
      <w:pPr>
        <w:pStyle w:val="BodyText"/>
        <w:widowControl/>
        <w:numPr>
          <w:ilvl w:val="1"/>
          <w:numId w:val="1"/>
        </w:numPr>
        <w:tabs>
          <w:tab w:val="clear" w:pos="708"/>
          <w:tab w:val="left" w:pos="0" w:leader="none"/>
        </w:tabs>
        <w:spacing w:lineRule="auto" w:line="288" w:before="0" w:after="0"/>
        <w:ind w:hanging="0" w:left="889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PRF должна быть выше азимутального предела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PRF&gt;2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v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/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δ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az​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 и </w:t>
      </w: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ниже дальностного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PRF&lt;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c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/(2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sin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θ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  <w:br/>
      </w:r>
      <w:r>
        <w:rPr>
          <w:rStyle w:val="Emphasis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Пример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На высоте 500 км и угле 30° PRF должна быть между ~1500 Гц и ~1400 Гц (противоречие!).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90500"/>
                <wp:effectExtent l="0" t="0" r="0" b="0"/>
                <wp:wrapNone/>
                <wp:docPr id="9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90500"/>
                <wp:effectExtent l="0" t="0" r="0" b="0"/>
                <wp:wrapNone/>
                <wp:docPr id="10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На некоторых высотах и углах возникает несовместимость требований к PRF, что ограничивает рабочие режимы РСА.</w:t>
      </w:r>
    </w:p>
    <w:p>
      <w:pPr>
        <w:pStyle w:val="Style17"/>
        <w:rPr>
          <w:color w:val="000000"/>
        </w:rPr>
      </w:pPr>
      <w:r>
        <w:rPr>
          <w:color w:val="000000"/>
        </w:rPr>
      </w:r>
    </w:p>
    <w:p>
      <w:pPr>
        <w:pStyle w:val="Heading3"/>
        <w:widowControl/>
        <w:spacing w:lineRule="auto" w:line="360"/>
        <w:ind w:hanging="0" w:left="24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</w:rPr>
        <w:t>3. С учетом кривизны Земли: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Ширина полосы обзора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Реальная ширина (сферическая модель) больше, чем в плоской модели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особенно при больших углах обзора.</w:t>
        <w:br/>
      </w:r>
      <w:r>
        <w:rPr>
          <w:rStyle w:val="Emphasis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Пример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При угле 30° разница составляет ~40 км (94 км vs 55 км).</w:t>
      </w:r>
    </w:p>
    <w:p>
      <w:pPr>
        <w:pStyle w:val="BodyText"/>
        <w:widowControl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Игнорирование кривизны Земли приводит к значительной недооценке зоны покрытия.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PRF ограничение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PRF снижается с увеличением угла обзора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так как наклонная дальность растет.</w:t>
        <w:br/>
      </w:r>
      <w:r>
        <w:rPr>
          <w:rStyle w:val="Emphasis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Пример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При угле 60° PRF ≈ 800 Гц, при 20° — ~2500 Гц.</w:t>
      </w:r>
    </w:p>
    <w:p>
      <w:pPr>
        <w:pStyle w:val="BodyText"/>
        <w:widowControl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Большие углы обзора накладывают более жесткие ограничения на PRF.</w:t>
      </w:r>
    </w:p>
    <w:p>
      <w:pPr>
        <w:pStyle w:val="Style17"/>
        <w:rPr>
          <w:color w:val="000000"/>
        </w:rPr>
      </w:pPr>
      <w:r>
        <w:rPr>
          <w:color w:val="000000"/>
        </w:rPr>
      </w:r>
    </w:p>
    <w:p>
      <w:pPr>
        <w:pStyle w:val="Heading3"/>
        <w:widowControl/>
        <w:spacing w:lineRule="auto" w:line="360"/>
        <w:ind w:hanging="0" w:left="24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</w:rPr>
        <w:t>Общие рекомендации: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Выбор высоты орбиты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0" w:left="889" w:right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Для высокого разрешения (военные, мониторинг инфраструктуры) — низкие орбиты (300-600 км).</w:t>
      </w:r>
    </w:p>
    <w:p>
      <w:pPr>
        <w:pStyle w:val="BodyText"/>
        <w:widowControl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0" w:left="889" w:right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Для широкого покрытия (картографирование, сельское хозяйство) — высокие орбиты (800-1000 км).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Угол обзора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0" w:left="889" w:right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Узкие углы (20-30°) — для детализированной съемки.</w:t>
      </w:r>
    </w:p>
    <w:p>
      <w:pPr>
        <w:pStyle w:val="BodyText"/>
        <w:widowControl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0" w:left="889" w:right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Широкие углы (40-60°) — для охвата больших территорий.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Учет кривизны Земли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0" w:left="889" w:right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Обязателен при проектировании РСА для углов &gt;30°, чтобы избежать ошибок в расчетах.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Компромиссы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0" w:left="889" w:right="0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Между разрешением, шириной покрытия и PRF. Например, улучшение одного параметра часто ухудшает другой.</w:t>
      </w:r>
    </w:p>
    <w:p>
      <w:pPr>
        <w:pStyle w:val="BodyText"/>
        <w:ind w:hanging="0" w:left="0" w:right="0"/>
        <w:rPr>
          <w:color w:val="000000"/>
        </w:rPr>
      </w:pPr>
      <w:r>
        <w:rPr>
          <w:color w:val="000000"/>
        </w:rPr>
        <w:t>Эти выводы помогают оптимизировать параметры космических аппаратов для конкретных задач, минимизируя затраты и повышая эффективность миссий.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br/>
        <w:br/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2. Сравнение покрытия территории при разных стратегиях планирования съёмки (например, карты покрытия за определённый период).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3. Графики оптимизационных процессов: как изменяются критерии оценки в процессе оптимизации расписания съёмки.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4. Гистограммы или барчарты сравнения предложенного метода с существующими по ключевым показателям (время покрытия, количество снимков и т.д.).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5. Временные диаграммы расписания съёмки, показывающие, когда и какие участки снимаются.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6. Зависимость точности геопозиционирования или SNR от рабочих параметров радиолокатора.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7. Возможно, 3D-визуализация зоны обзора спутника в зависимости от угла и орбиты.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Важно, чтобы графики были информативными, подписанными, с пояснениями в подписях. Нужно выбрать те, которые наиболее ярко демонстрируют преимущества предлагаемой методики.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Нужно также убедиться, что все разделы логически связаны, методика чётко описана, результаты подтверждают эффективность подхода. Возможно, стоит включить блок с описанием моделирования или экспериментальной проверки, если таковые были.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Возможно, я что-то упустил. Например, раздел с описанием радиолокационной системы и её параметров, если это важно для понимания методики. Или раздел с определением информационных показателей — что именно под ними понимается в контексте работы.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Также стоит подумать о том, как связаны информационные показатели с задачами планирования. Например, как оценка этих показателей влияет на выбор времени съёмки, продолжительности, угла обзора и т.д. Это важно для обоснования методики.</w:t>
      </w:r>
    </w:p>
    <w:p>
      <w:pPr>
        <w:pStyle w:val="ba94db8a"/>
        <w:spacing w:beforeAutospacing="0" w:before="240" w:afterAutospacing="0" w:after="240"/>
        <w:jc w:val="both"/>
        <w:rPr>
          <w:color w:val="000000"/>
        </w:rPr>
      </w:pPr>
      <w:r>
        <w:rPr>
          <w:color w:val="000000"/>
          <w:sz w:val="28"/>
          <w:szCs w:val="28"/>
        </w:rPr>
        <w:t>В общем, структура должна быть логичной, переходя от постановки проблемы к решению, демонстрации результатов и их обсуждению. Графики должны иллюстрировать ключевые моменты каждого раздела, особенно результаты моделирования и сравнения.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epSeek-CJK-patch">
    <w:altName w:val="Inter"/>
    <w:charset w:val="01"/>
    <w:family w:val="auto"/>
    <w:pitch w:val="default"/>
  </w:font>
  <w:font w:name="KaTeX Math">
    <w:charset w:val="01"/>
    <w:family w:val="auto"/>
    <w:pitch w:val="default"/>
  </w:font>
  <w:font w:name="KaTeX Main">
    <w:altName w:val="Times New Roman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a94db8a" w:customStyle="1">
    <w:name w:val="ba94db8a"/>
    <w:basedOn w:val="Normal"/>
    <w:qFormat/>
    <w:rsid w:val="00b75f8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LibreOffice/24.2.7.2$Linux_X86_64 LibreOffice_project/420$Build-2</Application>
  <AppVersion>15.0000</AppVersion>
  <Pages>5</Pages>
  <Words>745</Words>
  <Characters>5121</Characters>
  <CharactersWithSpaces>6064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2025-04-14T08:50:00Z</dcterms:created>
  <dc:creator>Kudinov</dc:creator>
  <dc:description/>
  <dc:language>ru-RU</dc:language>
  <cp:lastModifiedBy/>
  <dcterms:modified xsi:type="dcterms:W3CDTF">2025-04-14T17:10:19Z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