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42B" w:rsidRDefault="00EB242B" w:rsidP="00EB242B">
      <w:pPr>
        <w:pStyle w:val="PlainText"/>
      </w:pPr>
      <w:r>
        <w:t>Reviewer 1</w:t>
      </w:r>
    </w:p>
    <w:p w:rsidR="00EB242B" w:rsidRDefault="00EB242B" w:rsidP="00EB242B">
      <w:pPr>
        <w:pStyle w:val="PlainText"/>
      </w:pPr>
    </w:p>
    <w:p w:rsidR="00EB242B" w:rsidRDefault="00EB242B" w:rsidP="00EB242B">
      <w:pPr>
        <w:pStyle w:val="PlainText"/>
      </w:pPr>
      <w:r>
        <w:t xml:space="preserve">With some revisions, I think this will be a strong contribution to the conference proceedings. </w:t>
      </w:r>
    </w:p>
    <w:p w:rsidR="00EB242B" w:rsidRDefault="00EB242B" w:rsidP="00EB242B">
      <w:pPr>
        <w:pStyle w:val="PlainText"/>
      </w:pPr>
    </w:p>
    <w:p w:rsidR="00EB242B" w:rsidRDefault="00EB242B" w:rsidP="00EB242B">
      <w:pPr>
        <w:pStyle w:val="PlainText"/>
      </w:pPr>
      <w:r>
        <w:t xml:space="preserve">Please omit the results section from the previously published original study. Readers can simply refer to the original publication for the results. Publishing them a second time risks overrepresentation in a meta-analysis (though the authors do make it clear the results have been published before). The list of differences between the present and the prior study is helpful. </w:t>
      </w:r>
    </w:p>
    <w:p w:rsidR="00EB242B" w:rsidRDefault="00EB242B" w:rsidP="00F60733">
      <w:pPr>
        <w:pStyle w:val="PlainText"/>
        <w:numPr>
          <w:ilvl w:val="0"/>
          <w:numId w:val="17"/>
        </w:numPr>
      </w:pPr>
      <w:r>
        <w:t>I'm not sure what to do about this. You’d have to be pretty dumb to double-include the first study in a meta-analysis... I could just point to the original paper, and then summarize what was and was not significant?? Thoughts?</w:t>
      </w:r>
    </w:p>
    <w:p w:rsidR="00AF034D" w:rsidRDefault="00AF034D" w:rsidP="00AF034D">
      <w:pPr>
        <w:pStyle w:val="PlainText"/>
        <w:numPr>
          <w:ilvl w:val="1"/>
          <w:numId w:val="17"/>
        </w:numPr>
      </w:pPr>
      <w:r>
        <w:t>E.g. “</w:t>
      </w:r>
      <w:r w:rsidRPr="00AF034D">
        <w:t>A Wilcoxon signed-rank test determined that participants answered significantly more questions correctly in the Plain condition (median = 5) than in the Markup condition (median = 4.5, p=0.04). Among the 77 participants that showed an asymmetry in their accuracy counts across conditions, 46 (60%) scored higher in the Plain condition.</w:t>
      </w:r>
      <w:r>
        <w:t xml:space="preserve">” </w:t>
      </w:r>
      <w:r>
        <w:sym w:font="Wingdings" w:char="F0E0"/>
      </w:r>
      <w:r>
        <w:t xml:space="preserve"> “Participants answered significantly more questions correctly in the Plain condition than in the Markup condition.”</w:t>
      </w:r>
    </w:p>
    <w:p w:rsidR="00EB242B" w:rsidRDefault="00EB242B" w:rsidP="00EB242B">
      <w:pPr>
        <w:pStyle w:val="PlainText"/>
      </w:pPr>
    </w:p>
    <w:p w:rsidR="00EB242B" w:rsidRDefault="00EB242B" w:rsidP="00EB242B">
      <w:pPr>
        <w:pStyle w:val="PlainText"/>
      </w:pPr>
      <w:r>
        <w:t xml:space="preserve">From my perspective, ratings of workload and preference are just that. They are not subjective measures of comprehension. Measuring them is certainly helpful; I would just refer to them as separate constructs (p.1). </w:t>
      </w:r>
    </w:p>
    <w:p w:rsidR="00EB242B" w:rsidRDefault="00EB242B" w:rsidP="00F60733">
      <w:pPr>
        <w:pStyle w:val="PlainText"/>
        <w:numPr>
          <w:ilvl w:val="0"/>
          <w:numId w:val="16"/>
        </w:numPr>
      </w:pPr>
      <w:r>
        <w:t>It looks like I messed this up. I should have referred to workload and preference as subjective measures of "performance", not "comprehension". Does this seem ok?  Do they want workload and preference to be treated as separate constructs from each other, or together as separate from the objective measures?</w:t>
      </w:r>
    </w:p>
    <w:p w:rsidR="00EB242B" w:rsidRDefault="00EB242B" w:rsidP="00EB242B">
      <w:pPr>
        <w:pStyle w:val="PlainText"/>
      </w:pPr>
    </w:p>
    <w:p w:rsidR="00EB242B" w:rsidRDefault="00EB242B" w:rsidP="00EB242B">
      <w:pPr>
        <w:pStyle w:val="PlainText"/>
      </w:pPr>
      <w:r>
        <w:t xml:space="preserve">A few more details in method and results would be helpful: How was the two-minute cutoff selected? Are all response times given in seconds? Is 6 correct answered questions a good score (in rereading, I'm having trouble knowing the total number of questions the score is based on)? Why bin the NASA-TLX scores? More variance would be included by using it quantitatively. The resulting loss of power may explain the lack of significant differences between plain and markup conditions. </w:t>
      </w:r>
    </w:p>
    <w:p w:rsidR="00EB242B" w:rsidRDefault="00EB242B" w:rsidP="00EB242B">
      <w:pPr>
        <w:pStyle w:val="PlainText"/>
        <w:numPr>
          <w:ilvl w:val="0"/>
          <w:numId w:val="15"/>
        </w:numPr>
      </w:pPr>
      <w:r>
        <w:t>If we're cutting out some of the original study, we should have room to clarify (I think I did remove some reminders in the interest of space</w:t>
      </w:r>
      <w:r>
        <w:t>, and given that things are first introduced with an abbreviated description of the first experiment, I’m not shocked that there was confusion</w:t>
      </w:r>
      <w:r>
        <w:t>).</w:t>
      </w:r>
    </w:p>
    <w:p w:rsidR="00AF034D" w:rsidRDefault="00AF034D" w:rsidP="00AF034D">
      <w:pPr>
        <w:pStyle w:val="PlainText"/>
        <w:numPr>
          <w:ilvl w:val="1"/>
          <w:numId w:val="15"/>
        </w:numPr>
      </w:pPr>
      <w:r>
        <w:t xml:space="preserve">Does anyone know where the second confusion came from? As far as I can tell, response times are always given explicitly in minutes. </w:t>
      </w:r>
    </w:p>
    <w:p w:rsidR="004609F3" w:rsidRDefault="004609F3" w:rsidP="00AF034D">
      <w:pPr>
        <w:pStyle w:val="PlainText"/>
        <w:numPr>
          <w:ilvl w:val="1"/>
          <w:numId w:val="15"/>
        </w:numPr>
      </w:pPr>
      <w:r>
        <w:t>I actually need to think a bit about the TLX binning. It took a while to convince myself of the chi-square plan in the first place (a reviewer on the first experiment asked for it), but I’m having second thoughts.</w:t>
      </w:r>
    </w:p>
    <w:p w:rsidR="00EB242B" w:rsidRDefault="00EB242B" w:rsidP="00EB242B">
      <w:pPr>
        <w:pStyle w:val="PlainText"/>
      </w:pPr>
    </w:p>
    <w:p w:rsidR="00EB242B" w:rsidRDefault="00EB242B" w:rsidP="00EB242B">
      <w:pPr>
        <w:pStyle w:val="PlainText"/>
      </w:pPr>
      <w:r>
        <w:t xml:space="preserve">With a non-significant Chi-square test, I would suggest not interpreting the results further (fourth page, right column), because the change in the median cannot be distinguished from sampling error. A lack of significance in a quantitative study does not make the finding qualitative. Please remove all conclusions suggesting differences in trust in automation across conditions. If the conclusions about strategies (following the trust section) came from observations or participant comments, then those are appropriate. </w:t>
      </w:r>
    </w:p>
    <w:p w:rsidR="00EB242B" w:rsidRDefault="00133562" w:rsidP="00EB242B">
      <w:pPr>
        <w:pStyle w:val="PlainText"/>
        <w:numPr>
          <w:ilvl w:val="0"/>
          <w:numId w:val="13"/>
        </w:numPr>
      </w:pPr>
      <w:r>
        <w:t>This</w:t>
      </w:r>
      <w:r w:rsidR="00EB242B">
        <w:t xml:space="preserve"> seems reasonable</w:t>
      </w:r>
      <w:r>
        <w:t>, buys more space</w:t>
      </w:r>
      <w:r w:rsidR="00EB242B">
        <w:t>.</w:t>
      </w:r>
    </w:p>
    <w:p w:rsidR="00EB242B" w:rsidRDefault="00EB242B" w:rsidP="00EB242B">
      <w:pPr>
        <w:pStyle w:val="PlainText"/>
      </w:pPr>
    </w:p>
    <w:p w:rsidR="00EB242B" w:rsidRDefault="00EB242B" w:rsidP="00EB242B">
      <w:pPr>
        <w:pStyle w:val="PlainText"/>
      </w:pPr>
      <w:r>
        <w:lastRenderedPageBreak/>
        <w:t xml:space="preserve">The authors state, "In this paper, a preliminary look at recently collected data was presented, and there is much further analysis that can be done." If this paper is presented, I would like this analysis to be completed. This is because these data will already be published. To avoid double-publication, and to ensure CogSIMA readers get the full benefit of this research, please complete all analysis for the final presentation. </w:t>
      </w:r>
    </w:p>
    <w:p w:rsidR="00EB242B" w:rsidRDefault="00EB242B" w:rsidP="00EB242B">
      <w:pPr>
        <w:pStyle w:val="PlainText"/>
        <w:numPr>
          <w:ilvl w:val="0"/>
          <w:numId w:val="12"/>
        </w:numPr>
      </w:pPr>
      <w:r>
        <w:t>We'll have to think about how to balance this with AHFE</w:t>
      </w:r>
      <w:r w:rsidR="00133562">
        <w:t>.</w:t>
      </w:r>
    </w:p>
    <w:p w:rsidR="00EB242B" w:rsidRDefault="00EB242B" w:rsidP="00EB242B">
      <w:pPr>
        <w:pStyle w:val="PlainText"/>
      </w:pPr>
    </w:p>
    <w:p w:rsidR="00EB242B" w:rsidRDefault="00EB242B" w:rsidP="00EB242B">
      <w:pPr>
        <w:pStyle w:val="PlainText"/>
      </w:pPr>
      <w:r>
        <w:t>Minor comment: Situation awareness does not need to be capitalized.</w:t>
      </w:r>
    </w:p>
    <w:p w:rsidR="00EB242B" w:rsidRDefault="00EB242B" w:rsidP="00EB242B">
      <w:pPr>
        <w:pStyle w:val="PlainText"/>
        <w:numPr>
          <w:ilvl w:val="0"/>
          <w:numId w:val="10"/>
        </w:numPr>
      </w:pPr>
      <w:r>
        <w:t>I like to capitalize it before providing the abbreviation SA. Thoughts?</w:t>
      </w:r>
    </w:p>
    <w:p w:rsidR="00EB242B" w:rsidRDefault="00EB242B" w:rsidP="00EB242B">
      <w:pPr>
        <w:pStyle w:val="PlainText"/>
      </w:pPr>
    </w:p>
    <w:p w:rsidR="00EB242B" w:rsidRDefault="00EB242B" w:rsidP="00EB242B">
      <w:pPr>
        <w:pStyle w:val="PlainText"/>
      </w:pPr>
      <w:r>
        <w:t>-----</w:t>
      </w:r>
    </w:p>
    <w:p w:rsidR="00EB242B" w:rsidRDefault="00EB242B" w:rsidP="00EB242B">
      <w:pPr>
        <w:pStyle w:val="PlainText"/>
      </w:pPr>
      <w:r>
        <w:t>Reviewer 2</w:t>
      </w:r>
    </w:p>
    <w:p w:rsidR="00EB242B" w:rsidRDefault="00EB242B" w:rsidP="00EB242B">
      <w:pPr>
        <w:pStyle w:val="PlainText"/>
      </w:pPr>
    </w:p>
    <w:p w:rsidR="00EB242B" w:rsidRDefault="00EB242B" w:rsidP="00EB242B">
      <w:pPr>
        <w:pStyle w:val="PlainText"/>
      </w:pPr>
      <w:r>
        <w:t xml:space="preserve">The paper describes the result of an experiment aimed on comparing the comprehension of text documents with and without markup from information extraction pipeline. </w:t>
      </w:r>
    </w:p>
    <w:p w:rsidR="00EB242B" w:rsidRDefault="00EB242B" w:rsidP="00EB242B">
      <w:pPr>
        <w:pStyle w:val="PlainText"/>
      </w:pPr>
    </w:p>
    <w:p w:rsidR="00EB242B" w:rsidRDefault="00EB242B" w:rsidP="00EB242B">
      <w:pPr>
        <w:pStyle w:val="PlainText"/>
      </w:pPr>
      <w:r>
        <w:t xml:space="preserve">The paper is well-written and easy to follow. Research methodology fits well with the established standards in HCI area. The authors measure both subjective and objective effects of markup on human text processing and discuss the (somewhat surprising) results. </w:t>
      </w:r>
    </w:p>
    <w:p w:rsidR="00EB242B" w:rsidRDefault="00EB242B" w:rsidP="00EB242B">
      <w:pPr>
        <w:pStyle w:val="PlainText"/>
      </w:pPr>
    </w:p>
    <w:p w:rsidR="00EB242B" w:rsidRDefault="00EB242B" w:rsidP="00EB242B">
      <w:pPr>
        <w:pStyle w:val="PlainText"/>
      </w:pPr>
      <w:r>
        <w:t xml:space="preserve">However, in my point of view, the paper needs more precise positioning and limiting the scope. The title seem a) very broad (it is about automation in general, which includes variety of operations beside the markup), b) a bit misleading (as the markup in the experiment wasn't actually produced by some automated algorithm). Besides, the difference between "plain" text and "processed" text probably depends significantly on type of the text. The authors experiment with a very specific kind of text documents (intelligence messages) which are very concise and are mostly "raw facts". For the "normal" text documents with other information density the effect of markup might be quite different. However, the focus on intelligence messages isn't stated explicitly neither in the title, nor in the abstract. </w:t>
      </w:r>
    </w:p>
    <w:p w:rsidR="00EB242B" w:rsidRDefault="00EB242B" w:rsidP="00EB242B">
      <w:pPr>
        <w:pStyle w:val="PlainText"/>
        <w:numPr>
          <w:ilvl w:val="0"/>
          <w:numId w:val="8"/>
        </w:numPr>
      </w:pPr>
      <w:r>
        <w:t>I'm not sure what they want us to do here. I can add to the abstract that we used a simulated intelligence task.</w:t>
      </w:r>
    </w:p>
    <w:p w:rsidR="00EB242B" w:rsidRDefault="00EB242B" w:rsidP="00EB242B">
      <w:pPr>
        <w:pStyle w:val="PlainText"/>
      </w:pPr>
    </w:p>
    <w:p w:rsidR="00EB242B" w:rsidRDefault="00EB242B" w:rsidP="00EB242B">
      <w:pPr>
        <w:pStyle w:val="PlainText"/>
      </w:pPr>
      <w:r>
        <w:t xml:space="preserve">Typos/language issues: - p.2 missing period after the last sentence of the Section II. </w:t>
      </w:r>
    </w:p>
    <w:p w:rsidR="00EB242B" w:rsidRDefault="00EB242B" w:rsidP="00EB242B">
      <w:pPr>
        <w:pStyle w:val="PlainText"/>
        <w:numPr>
          <w:ilvl w:val="0"/>
          <w:numId w:val="6"/>
        </w:numPr>
      </w:pPr>
      <w:r>
        <w:t>Okay.</w:t>
      </w:r>
    </w:p>
    <w:p w:rsidR="00EB242B" w:rsidRDefault="00EB242B" w:rsidP="00EB242B">
      <w:pPr>
        <w:pStyle w:val="PlainText"/>
      </w:pPr>
    </w:p>
    <w:p w:rsidR="00EB242B" w:rsidRDefault="00EB242B" w:rsidP="00EB242B">
      <w:pPr>
        <w:pStyle w:val="PlainText"/>
      </w:pPr>
      <w:r>
        <w:t>Overall, the paper discusses a quality experiment that may be of interest for the scientific community, so I'd suggest to accept it.</w:t>
      </w:r>
    </w:p>
    <w:p w:rsidR="00EB242B" w:rsidRDefault="00EB242B" w:rsidP="00EB242B">
      <w:pPr>
        <w:pStyle w:val="PlainText"/>
        <w:pBdr>
          <w:bottom w:val="single" w:sz="6" w:space="1" w:color="auto"/>
        </w:pBdr>
      </w:pPr>
    </w:p>
    <w:p w:rsidR="0022341F" w:rsidRDefault="0022341F" w:rsidP="00EB242B">
      <w:pPr>
        <w:pStyle w:val="PlainText"/>
      </w:pPr>
    </w:p>
    <w:p w:rsidR="00EB242B" w:rsidRDefault="00EB242B" w:rsidP="00EB242B">
      <w:pPr>
        <w:pStyle w:val="PlainText"/>
      </w:pPr>
      <w:r>
        <w:t>Reviewer 3</w:t>
      </w:r>
    </w:p>
    <w:p w:rsidR="00EB242B" w:rsidRDefault="00EB242B" w:rsidP="00EB242B">
      <w:pPr>
        <w:pStyle w:val="PlainText"/>
      </w:pPr>
    </w:p>
    <w:p w:rsidR="00EB242B" w:rsidRDefault="00EB242B" w:rsidP="00EB242B">
      <w:pPr>
        <w:pStyle w:val="PlainText"/>
      </w:pPr>
      <w:r>
        <w:t xml:space="preserve">The author describes a paucity of results surrounding marked up text but the author must not have read up on the plethora of research on hypertext comprehension. The paper has some major limitations including mistaking conditions during explaining results (confusing the Markup and Plain conditions) and does not ever bring in the degree of markup as a variable. Too much markup would inevitably slow-down reading which was not discussed. Highlighting vs changing the color of text is a confound not addressed in the paper (fig 1 vs fig 3). The results of the current experiment show a clear lack of statistical power. </w:t>
      </w:r>
    </w:p>
    <w:p w:rsidR="00EB242B" w:rsidRDefault="00EB242B" w:rsidP="00EB242B">
      <w:pPr>
        <w:pStyle w:val="PlainText"/>
        <w:numPr>
          <w:ilvl w:val="0"/>
          <w:numId w:val="4"/>
        </w:numPr>
      </w:pPr>
      <w:r>
        <w:lastRenderedPageBreak/>
        <w:t>Huge reviewer pet peeve here. If there's a plethora of research that we haven't found, how can you not scrounge up at least one reference?!? My understanding is that hypertext is a non-linear, semantic network text representation, which has some relevance for the markup in the first experiment</w:t>
      </w:r>
      <w:r w:rsidR="00F60733">
        <w:t xml:space="preserve"> (though the only linking we had was at the sentence level)</w:t>
      </w:r>
      <w:r>
        <w:t xml:space="preserve">, but not much for the second. I'm fine </w:t>
      </w:r>
      <w:r>
        <w:t>t</w:t>
      </w:r>
      <w:r>
        <w:t>hrow</w:t>
      </w:r>
      <w:r>
        <w:t>ing</w:t>
      </w:r>
      <w:r>
        <w:t xml:space="preserve"> a reference in, but I'm not sure what the big deal is. Of course, if the reviewer had pointed directly to whatever lit they had in mind, it might be clear...</w:t>
      </w:r>
      <w:r>
        <w:t xml:space="preserve"> which makes me worry that it doesn’t actually exists…</w:t>
      </w:r>
    </w:p>
    <w:p w:rsidR="00F60733" w:rsidRDefault="00F60733" w:rsidP="00F60733">
      <w:pPr>
        <w:pStyle w:val="PlainText"/>
        <w:numPr>
          <w:ilvl w:val="1"/>
          <w:numId w:val="4"/>
        </w:numPr>
      </w:pPr>
      <w:r>
        <w:t xml:space="preserve">I skimmed </w:t>
      </w:r>
      <w:hyperlink r:id="rId5" w:history="1">
        <w:r w:rsidRPr="00F60733">
          <w:rPr>
            <w:rStyle w:val="Hyperlink"/>
          </w:rPr>
          <w:t>this overview</w:t>
        </w:r>
      </w:hyperlink>
      <w:r>
        <w:t xml:space="preserve"> </w:t>
      </w:r>
      <w:r w:rsidR="008C571C">
        <w:t>–</w:t>
      </w:r>
      <w:r>
        <w:t xml:space="preserve"> </w:t>
      </w:r>
      <w:r w:rsidR="008C571C">
        <w:t>the hypertext and reading people seem to be looking at is not super relevant. The hypertext is at a much higher level (e.g., linking topics), and they’re looking at thinks like the coherence of the text (e.g., hypertext might be more useful with less coherent text), navigation (the more you have to jump around to follow the hypertext, the less helpful it may be), etc. Not completely irrelevant, probably worth citing, but doesn’t seem to touch much on what we’re doing.</w:t>
      </w:r>
    </w:p>
    <w:p w:rsidR="00EB242B" w:rsidRDefault="00EB242B" w:rsidP="00EB242B">
      <w:pPr>
        <w:pStyle w:val="PlainText"/>
        <w:numPr>
          <w:ilvl w:val="0"/>
          <w:numId w:val="4"/>
        </w:numPr>
      </w:pPr>
      <w:r>
        <w:t xml:space="preserve">They seem to be saying that we said Markup when we meant Plain or vice versa somewhere, </w:t>
      </w:r>
      <w:r w:rsidR="0022341F">
        <w:t>but I can’t find it. Let me know if you see anything</w:t>
      </w:r>
      <w:r>
        <w:t>.</w:t>
      </w:r>
    </w:p>
    <w:p w:rsidR="00EB242B" w:rsidRDefault="00EB242B" w:rsidP="00EB242B">
      <w:pPr>
        <w:pStyle w:val="PlainText"/>
        <w:numPr>
          <w:ilvl w:val="0"/>
          <w:numId w:val="4"/>
        </w:numPr>
      </w:pPr>
      <w:r>
        <w:t>It's possible that quantity of markup didn't make an appearance in this paper (it did i</w:t>
      </w:r>
      <w:r w:rsidR="00255FBB">
        <w:t>n others, referencing cases where lower quanitify/higher quality forms of markup beat out other forms of markup), maybe I could add a sentence about the 2</w:t>
      </w:r>
      <w:r w:rsidR="00255FBB" w:rsidRPr="00255FBB">
        <w:rPr>
          <w:vertAlign w:val="superscript"/>
        </w:rPr>
        <w:t>nd</w:t>
      </w:r>
      <w:r w:rsidR="00255FBB">
        <w:t xml:space="preserve"> markup arguably being not only higher quality, but lower quantity than the 1st</w:t>
      </w:r>
      <w:bookmarkStart w:id="0" w:name="_GoBack"/>
      <w:bookmarkEnd w:id="0"/>
      <w:r w:rsidR="00255FBB">
        <w:t xml:space="preserve">, and it’s possible this was an important factor in no longer seeing a plain preference.  </w:t>
      </w:r>
    </w:p>
    <w:p w:rsidR="00EB242B" w:rsidRDefault="00EB242B" w:rsidP="00EB242B">
      <w:pPr>
        <w:pStyle w:val="PlainText"/>
        <w:numPr>
          <w:ilvl w:val="0"/>
          <w:numId w:val="4"/>
        </w:numPr>
      </w:pPr>
      <w:r>
        <w:t>I feel like we totally talk about the highlighting vs. font color change, and its implications are discussed in the discussion. Is there something else we can do to appease this person?</w:t>
      </w:r>
    </w:p>
    <w:p w:rsidR="00EB242B" w:rsidRDefault="00EB242B" w:rsidP="00EB242B">
      <w:pPr>
        <w:pStyle w:val="PlainText"/>
        <w:numPr>
          <w:ilvl w:val="0"/>
          <w:numId w:val="4"/>
        </w:numPr>
      </w:pPr>
      <w:r>
        <w:t xml:space="preserve">I'm getting worked up again - The clear lack of statistical power obviously wasn't clear to us, so what do you think the issue is?!? If there's room, maybe I could add discussion of how we chose 200 participants (more than enough for a medium effect) and add something about the participant attrition hurting our power. But as far as I can tell I included effect sizes, so I don't know what the big huff is about. </w:t>
      </w:r>
    </w:p>
    <w:p w:rsidR="00EB242B" w:rsidRDefault="00EB242B" w:rsidP="00EB242B">
      <w:pPr>
        <w:pStyle w:val="PlainText"/>
      </w:pPr>
    </w:p>
    <w:p w:rsidR="00EB242B" w:rsidRDefault="00EB242B" w:rsidP="00EB242B">
      <w:pPr>
        <w:pStyle w:val="PlainText"/>
      </w:pPr>
      <w:r>
        <w:t>To publish these results the authors require a more precise methodology, an IRB to conduct human studies, more statistical power, and a broader literature review.</w:t>
      </w:r>
    </w:p>
    <w:p w:rsidR="00EB242B" w:rsidRDefault="00EB242B" w:rsidP="00EB242B">
      <w:pPr>
        <w:pStyle w:val="PlainText"/>
        <w:numPr>
          <w:ilvl w:val="0"/>
          <w:numId w:val="2"/>
        </w:numPr>
      </w:pPr>
      <w:r>
        <w:t xml:space="preserve">What do you think needs to be more precise in the methodology? </w:t>
      </w:r>
    </w:p>
    <w:p w:rsidR="00EB242B" w:rsidRDefault="00EB242B" w:rsidP="00EB242B">
      <w:pPr>
        <w:pStyle w:val="PlainText"/>
        <w:numPr>
          <w:ilvl w:val="0"/>
          <w:numId w:val="2"/>
        </w:numPr>
      </w:pPr>
      <w:r>
        <w:t>Do they want a statement that this is not human subjects research and was deemed exempt by ou</w:t>
      </w:r>
      <w:r>
        <w:t>r</w:t>
      </w:r>
      <w:r>
        <w:t xml:space="preserve"> IRB??</w:t>
      </w:r>
    </w:p>
    <w:p w:rsidR="00EB242B" w:rsidRDefault="00EB242B" w:rsidP="00EB242B">
      <w:pPr>
        <w:pStyle w:val="PlainText"/>
        <w:numPr>
          <w:ilvl w:val="0"/>
          <w:numId w:val="2"/>
        </w:numPr>
      </w:pPr>
      <w:r>
        <w:t>Is the more statistical power request a weird way of asking for parametric statistics??</w:t>
      </w:r>
    </w:p>
    <w:p w:rsidR="00973D8B" w:rsidRDefault="00255FBB"/>
    <w:sectPr w:rsidR="0097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3009F"/>
    <w:multiLevelType w:val="hybridMultilevel"/>
    <w:tmpl w:val="E444AEE2"/>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15A53"/>
    <w:multiLevelType w:val="hybridMultilevel"/>
    <w:tmpl w:val="F4FAD5E0"/>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45303"/>
    <w:multiLevelType w:val="hybridMultilevel"/>
    <w:tmpl w:val="1C543D6A"/>
    <w:lvl w:ilvl="0" w:tplc="D7FA50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8012A"/>
    <w:multiLevelType w:val="hybridMultilevel"/>
    <w:tmpl w:val="C7E898E2"/>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9607D"/>
    <w:multiLevelType w:val="hybridMultilevel"/>
    <w:tmpl w:val="0BC87860"/>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8099F"/>
    <w:multiLevelType w:val="hybridMultilevel"/>
    <w:tmpl w:val="AE8E0F16"/>
    <w:lvl w:ilvl="0" w:tplc="D7FA50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A28DA"/>
    <w:multiLevelType w:val="hybridMultilevel"/>
    <w:tmpl w:val="F176D420"/>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80B12"/>
    <w:multiLevelType w:val="hybridMultilevel"/>
    <w:tmpl w:val="68EE1064"/>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43879"/>
    <w:multiLevelType w:val="hybridMultilevel"/>
    <w:tmpl w:val="751C5646"/>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D4C3A"/>
    <w:multiLevelType w:val="hybridMultilevel"/>
    <w:tmpl w:val="27E02456"/>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B5EA2"/>
    <w:multiLevelType w:val="hybridMultilevel"/>
    <w:tmpl w:val="56FA4AF4"/>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D40BC"/>
    <w:multiLevelType w:val="hybridMultilevel"/>
    <w:tmpl w:val="07546102"/>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867F7"/>
    <w:multiLevelType w:val="hybridMultilevel"/>
    <w:tmpl w:val="CA2E03AC"/>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543E1"/>
    <w:multiLevelType w:val="hybridMultilevel"/>
    <w:tmpl w:val="AB80D10E"/>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53227"/>
    <w:multiLevelType w:val="hybridMultilevel"/>
    <w:tmpl w:val="7140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7211A"/>
    <w:multiLevelType w:val="hybridMultilevel"/>
    <w:tmpl w:val="02AE4790"/>
    <w:lvl w:ilvl="0" w:tplc="D7FA50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56475"/>
    <w:multiLevelType w:val="hybridMultilevel"/>
    <w:tmpl w:val="5A12F7DA"/>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8"/>
  </w:num>
  <w:num w:numId="4">
    <w:abstractNumId w:val="2"/>
  </w:num>
  <w:num w:numId="5">
    <w:abstractNumId w:val="9"/>
  </w:num>
  <w:num w:numId="6">
    <w:abstractNumId w:val="7"/>
  </w:num>
  <w:num w:numId="7">
    <w:abstractNumId w:val="0"/>
  </w:num>
  <w:num w:numId="8">
    <w:abstractNumId w:val="12"/>
  </w:num>
  <w:num w:numId="9">
    <w:abstractNumId w:val="3"/>
  </w:num>
  <w:num w:numId="10">
    <w:abstractNumId w:val="11"/>
  </w:num>
  <w:num w:numId="11">
    <w:abstractNumId w:val="16"/>
  </w:num>
  <w:num w:numId="12">
    <w:abstractNumId w:val="1"/>
  </w:num>
  <w:num w:numId="13">
    <w:abstractNumId w:val="13"/>
  </w:num>
  <w:num w:numId="14">
    <w:abstractNumId w:val="10"/>
  </w:num>
  <w:num w:numId="15">
    <w:abstractNumId w:val="15"/>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2B"/>
    <w:rsid w:val="00133562"/>
    <w:rsid w:val="0022341F"/>
    <w:rsid w:val="00255FBB"/>
    <w:rsid w:val="004609F3"/>
    <w:rsid w:val="008C571C"/>
    <w:rsid w:val="00AF034D"/>
    <w:rsid w:val="00CC2A06"/>
    <w:rsid w:val="00E83940"/>
    <w:rsid w:val="00EB242B"/>
    <w:rsid w:val="00F6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A77C1-09DC-475C-84E3-19E4312C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B242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B242B"/>
    <w:rPr>
      <w:rFonts w:ascii="Calibri" w:hAnsi="Calibri"/>
      <w:szCs w:val="21"/>
    </w:rPr>
  </w:style>
  <w:style w:type="character" w:styleId="Hyperlink">
    <w:name w:val="Hyperlink"/>
    <w:basedOn w:val="DefaultParagraphFont"/>
    <w:uiPriority w:val="99"/>
    <w:unhideWhenUsed/>
    <w:rsid w:val="00F60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2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ych.nmsu.edu/~pfoltz/reprints/Ht-Cogni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Zaroukian, Erin G.</dc:creator>
  <cp:keywords/>
  <dc:description/>
  <cp:lastModifiedBy>Zaroukian, Erin G.</cp:lastModifiedBy>
  <cp:revision>6</cp:revision>
  <dcterms:created xsi:type="dcterms:W3CDTF">2019-02-11T15:08:00Z</dcterms:created>
  <dcterms:modified xsi:type="dcterms:W3CDTF">2019-02-11T16:54:00Z</dcterms:modified>
</cp:coreProperties>
</file>