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Loom setup notes</w:t>
      </w:r>
    </w:p>
    <w:p>
      <w:r>
        <w:t xml:space="preserve">The back beam is warped first.</w:t>
      </w:r>
    </w:p>
    <w:p>
      <w:pPr>
        <w:pStyle w:val="Heading2"/>
      </w:pPr>
      <w:r>
        <w:t xml:space="preserve">Warping</w:t>
      </w:r>
    </w:p>
    <w:p>
      <w:r>
        <w:t xml:space="preserve">Thread the raddle at one inch per section.</w:t>
      </w:r>
      <w:r>
        <w:rPr>
          <w:rStyle w:val="FootnoteReference"/>
        </w:rPr>
        <w:footnoteReference w:id="1"/>
      </w:r>
    </w:p>
    <w:p/>
    <w:p>
      <w:pPr>
        <w:pStyle w:val="Heading2"/>
      </w:pPr>
      <w:r>
        <w:t xml:space="preserve">Bullets</w:t>
      </w:r>
    </w:p>
    <w:p>
      <w:pPr>
        <w:pStyle w:val="ListParagraph"/>
        <w:numPr>
          <w:ilvl w:val="0"/>
          <w:numId w:val="1"/>
        </w:numPr>
      </w:pPr>
      <w:r>
        <w:t xml:space="preserve">Raddle</w:t>
      </w:r>
    </w:p>
    <w:p>
      <w:pPr>
        <w:pStyle w:val="ListParagraph"/>
        <w:numPr>
          <w:ilvl w:val="0"/>
          <w:numId w:val="1"/>
        </w:numPr>
      </w:pPr>
      <w:r>
        <w:t xml:space="preserve">Lease sticks</w:t>
      </w:r>
    </w:p>
    <w:p>
      <w:pPr>
        <w:pStyle w:val="ListParagraph"/>
        <w:numPr>
          <w:ilvl w:val="1"/>
          <w:numId w:val="1"/>
        </w:numPr>
      </w:pPr>
      <w:r>
        <w:t xml:space="preserve">Two of them</w:t>
      </w:r>
    </w:p>
    <w:p>
      <w:pPr>
        <w:pStyle w:val="Heading2"/>
      </w:pPr>
      <w:r>
        <w:t xml:space="preserve">Numbered</w:t>
      </w:r>
    </w:p>
    <w:p>
      <w:pPr>
        <w:pStyle w:val="ListParagraph"/>
        <w:numPr>
          <w:ilvl w:val="0"/>
          <w:numId w:val="2"/>
        </w:numPr>
      </w:pPr>
      <w:r>
        <w:t xml:space="preserve">Wind the warp</w:t>
      </w:r>
    </w:p>
    <w:p>
      <w:pPr>
        <w:pStyle w:val="ListParagraph"/>
        <w:numPr>
          <w:ilvl w:val="0"/>
          <w:numId w:val="2"/>
        </w:numPr>
      </w:pPr>
      <w:r>
        <w:t xml:space="preserve">Beam it on</w:t>
      </w:r>
    </w:p>
    <w:p>
      <w:pPr>
        <w:pStyle w:val="Heading2"/>
      </w:pPr>
      <w:r>
        <w:t xml:space="preserve">Sett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t xml:space="preserve">Yarn</w:t>
            </w:r>
          </w:p>
        </w:tc>
        <w:tc>
          <w:tcPr>
            <w:tcW w:type="pct" w:w="50%"/>
          </w:tcPr>
          <w:p>
            <w:r>
              <w:t xml:space="preserve">Sett</w:t>
            </w:r>
          </w:p>
        </w:tc>
      </w:tr>
      <w:tr>
        <w:tc>
          <w:tcPr>
            <w:tcW w:type="pct" w:w="50%"/>
          </w:tcPr>
          <w:p>
            <w:r>
              <w:t xml:space="preserve">8/2 cotton</w:t>
            </w:r>
          </w:p>
        </w:tc>
        <w:tc>
          <w:tcPr>
            <w:tcW w:type="pct" w:w="50%"/>
          </w:tcPr>
          <w:p>
            <w:r>
              <w:t xml:space="preserve">20 epi</w:t>
            </w:r>
          </w:p>
        </w:tc>
      </w:tr>
    </w:tbl>
    <w:p>
      <w:r>
        <w:t xml:space="preserve">After the table.</w:t>
      </w:r>
    </w:p>
    <w:p>
      <w:r>
        <w:t>Line one</w:t>
        <w:br/>
        <w:t>Line two</w:t>
      </w:r>
    </w:p>
    <w:p>
      <w:r>
        <w:t>Col A</w:t>
        <w:tab/>
        <w:t>Col B</w:t>
      </w:r>
    </w:p>
    <w:p>
      <w:r>
        <w:t xml:space="preserve">Leading and trailing   </w:t>
      </w:r>
    </w:p>
    <w:p>
      <w:r>
        <w:t>Smart “quotes” and an em—dash and NBSP here</w:t>
      </w:r>
    </w:p>
    <w:p>
      <w:r>
        <w:t>Astral 🧵 thread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Measured on a four-shaft table loom.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2026-09-20T19:37:39.525Z</dcterms:created>
  <dcterms:modified xsi:type="dcterms:W3CDTF">2026-09-20T19:37:39.526Z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